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line="940" w:lineRule="exact"/>
        <w:ind w:left="0" w:leftChars="0" w:firstLine="0" w:firstLineChars="0"/>
        <w:textAlignment w:val="auto"/>
      </w:pPr>
    </w:p>
    <w:p>
      <w:pPr>
        <w:keepNext w:val="0"/>
        <w:keepLines w:val="0"/>
        <w:pageBreakBefore w:val="0"/>
        <w:widowControl w:val="0"/>
        <w:kinsoku/>
        <w:wordWrap w:val="0"/>
        <w:overflowPunct w:val="0"/>
        <w:topLinePunct w:val="0"/>
        <w:autoSpaceDE/>
        <w:autoSpaceDN/>
        <w:bidi w:val="0"/>
        <w:adjustRightInd w:val="0"/>
        <w:snapToGrid w:val="0"/>
        <w:spacing w:before="200"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遂大环函〔</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val="en-US" w:eastAsia="zh-CN"/>
        </w:rPr>
        <w:t>96</w:t>
      </w:r>
      <w:r>
        <w:rPr>
          <w:rFonts w:hint="eastAsia" w:ascii="仿宋_GB2312" w:hAnsi="仿宋_GB2312" w:eastAsia="仿宋_GB2312" w:cs="仿宋_GB2312"/>
          <w:sz w:val="32"/>
          <w:szCs w:val="32"/>
        </w:rPr>
        <w:t>号</w:t>
      </w:r>
    </w:p>
    <w:p>
      <w:pPr>
        <w:pStyle w:val="3"/>
        <w:pageBreakBefore w:val="0"/>
        <w:widowControl w:val="0"/>
        <w:kinsoku/>
        <w:wordWrap/>
        <w:overflowPunct/>
        <w:topLinePunct w:val="0"/>
        <w:autoSpaceDE/>
        <w:autoSpaceDN/>
        <w:bidi w:val="0"/>
        <w:adjustRightInd/>
        <w:snapToGrid/>
        <w:spacing w:beforeLines="0" w:afterLines="0" w:line="560" w:lineRule="exact"/>
        <w:ind w:left="0" w:leftChars="0" w:firstLine="0" w:firstLineChars="0"/>
        <w:textAlignment w:val="auto"/>
        <w:rPr>
          <w:sz w:val="32"/>
          <w:szCs w:val="32"/>
        </w:rPr>
      </w:pPr>
    </w:p>
    <w:p>
      <w:pPr>
        <w:pageBreakBefore w:val="0"/>
        <w:widowControl w:val="0"/>
        <w:kinsoku/>
        <w:wordWrap/>
        <w:overflowPunct/>
        <w:topLinePunct w:val="0"/>
        <w:autoSpaceDE/>
        <w:autoSpaceDN/>
        <w:bidi w:val="0"/>
        <w:adjustRightInd/>
        <w:snapToGrid/>
        <w:spacing w:line="560"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遂宁市大英生态环境局</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关于南充至成都高速公路扩容工程LJ7标</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拌合站建设项目环境影响报告表的批复</w:t>
      </w:r>
    </w:p>
    <w:p>
      <w:pPr>
        <w:pStyle w:val="9"/>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rPr>
      </w:pPr>
    </w:p>
    <w:p>
      <w:pPr>
        <w:keepNext w:val="0"/>
        <w:keepLines w:val="0"/>
        <w:pageBreakBefore w:val="0"/>
        <w:widowControl w:val="0"/>
        <w:kinsoku/>
        <w:wordWrap/>
        <w:topLinePunct w:val="0"/>
        <w:autoSpaceDE/>
        <w:autoSpaceDN/>
        <w:bidi w:val="0"/>
        <w:adjustRightInd/>
        <w:spacing w:line="60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遂宁市力饰建筑装饰有限责任公司：</w:t>
      </w:r>
    </w:p>
    <w:p>
      <w:pPr>
        <w:keepNext w:val="0"/>
        <w:keepLines w:val="0"/>
        <w:pageBreakBefore w:val="0"/>
        <w:widowControl w:val="0"/>
        <w:kinsoku/>
        <w:wordWrap/>
        <w:topLinePunct w:val="0"/>
        <w:autoSpaceDE/>
        <w:autoSpaceDN/>
        <w:bidi w:val="0"/>
        <w:adjustRightInd/>
        <w:spacing w:line="600" w:lineRule="exact"/>
        <w:ind w:firstLine="640" w:firstLineChars="200"/>
        <w:textAlignment w:val="auto"/>
        <w:rPr>
          <w:rFonts w:ascii="仿宋_GB2312" w:hAnsi="仿宋_GB2312" w:eastAsia="仿宋_GB2312" w:cs="仿宋_GB2312"/>
          <w:sz w:val="32"/>
          <w:szCs w:val="32"/>
        </w:rPr>
      </w:pPr>
      <w:r>
        <w:rPr>
          <w:rFonts w:hint="default" w:ascii="Times New Roman" w:hAnsi="Times New Roman" w:eastAsia="仿宋_GB2312" w:cs="Times New Roman"/>
          <w:sz w:val="32"/>
          <w:szCs w:val="32"/>
        </w:rPr>
        <w:t>你公司报送的《南充至成都高速公路扩容工程LJ7标拌合站</w:t>
      </w:r>
      <w:r>
        <w:rPr>
          <w:rFonts w:hint="eastAsia" w:ascii="仿宋_GB2312" w:hAnsi="仿宋_GB2312" w:eastAsia="仿宋_GB2312" w:cs="仿宋_GB2312"/>
          <w:sz w:val="32"/>
          <w:szCs w:val="32"/>
        </w:rPr>
        <w:t>建设项目环境影响报告表》（以下简称《报告表》）收悉。经研究，批复如下：</w:t>
      </w:r>
    </w:p>
    <w:p>
      <w:pPr>
        <w:keepNext w:val="0"/>
        <w:keepLines w:val="0"/>
        <w:pageBreakBefore w:val="0"/>
        <w:widowControl w:val="0"/>
        <w:kinsoku/>
        <w:wordWrap/>
        <w:topLinePunct w:val="0"/>
        <w:autoSpaceDE/>
        <w:autoSpaceDN/>
        <w:bidi w:val="0"/>
        <w:adjustRightInd/>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一、项目概况及总体意见</w:t>
      </w:r>
    </w:p>
    <w:p>
      <w:pPr>
        <w:keepNext w:val="0"/>
        <w:keepLines w:val="0"/>
        <w:pageBreakBefore w:val="0"/>
        <w:widowControl w:val="0"/>
        <w:kinsoku/>
        <w:wordWrap/>
        <w:topLinePunct w:val="0"/>
        <w:autoSpaceDE/>
        <w:autoSpaceDN/>
        <w:bidi w:val="0"/>
        <w:adjustRightInd/>
        <w:spacing w:line="600" w:lineRule="exact"/>
        <w:ind w:firstLine="640" w:firstLineChars="200"/>
        <w:textAlignment w:val="auto"/>
        <w:rPr>
          <w:rFonts w:hint="eastAsia" w:ascii="Times New Roman" w:hAnsi="Times New Roman" w:eastAsia="仿宋_GB2312" w:cs="Times New Roman"/>
          <w:sz w:val="32"/>
          <w:szCs w:val="32"/>
        </w:rPr>
        <w:sectPr>
          <w:footerReference r:id="rId3" w:type="default"/>
          <w:pgSz w:w="11906" w:h="16838"/>
          <w:pgMar w:top="2098" w:right="1474" w:bottom="1417" w:left="1587" w:header="851" w:footer="992" w:gutter="0"/>
          <w:pgBorders>
            <w:top w:val="none" w:sz="0" w:space="0"/>
            <w:left w:val="none" w:sz="0" w:space="0"/>
            <w:bottom w:val="none" w:sz="0" w:space="0"/>
            <w:right w:val="none" w:sz="0" w:space="0"/>
          </w:pgBorders>
          <w:pgNumType w:fmt="decimal" w:start="2"/>
          <w:cols w:space="0" w:num="1"/>
          <w:rtlGutter w:val="0"/>
          <w:docGrid w:type="lines" w:linePitch="312" w:charSpace="0"/>
        </w:sectPr>
      </w:pPr>
      <w:r>
        <w:rPr>
          <w:rFonts w:hint="eastAsia" w:ascii="Times New Roman" w:hAnsi="Times New Roman" w:eastAsia="仿宋_GB2312" w:cs="Times New Roman"/>
          <w:sz w:val="32"/>
          <w:szCs w:val="32"/>
        </w:rPr>
        <w:t>项目位于大英县盐井街道梨子坝社区（原大英县蓬莱镇余粮村二组），占地面积约为4公顷，建设临时拌合站一座，用于生产公路工程用水稳料。主要建设内容为：建设一座封闭式水稳料搅拌站及配套给料机、破碎机、振动筛、洗砂机等砂石加工设备，来料经水洗、破碎、筛分、搅拌后制成水稳料。项目建成后年产水稳料50万吨，全部供南充至成都高速公路扩容工程LJ7标项目使用，不外售。项目总投资200万元，其中环保投资61万元。项目“未批先建”，遂宁市生态环境局已于2023年8月对其立</w:t>
      </w:r>
    </w:p>
    <w:p>
      <w:pPr>
        <w:keepNext w:val="0"/>
        <w:keepLines w:val="0"/>
        <w:pageBreakBefore w:val="0"/>
        <w:widowControl w:val="0"/>
        <w:kinsoku/>
        <w:wordWrap/>
        <w:topLinePunct w:val="0"/>
        <w:autoSpaceDE/>
        <w:autoSpaceDN/>
        <w:bidi w:val="0"/>
        <w:adjustRightIn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案调查。本项目为临时工程，不涉及砂石开采和销售，服务期至成南高速扩容工程项目LJ7标段施工结束（预计服务期为3年），项目在服务期满后拆除并完成迹地恢复。</w:t>
      </w:r>
    </w:p>
    <w:p>
      <w:pPr>
        <w:pStyle w:val="21"/>
        <w:keepNext w:val="0"/>
        <w:keepLines w:val="0"/>
        <w:pageBreakBefore w:val="0"/>
        <w:widowControl w:val="0"/>
        <w:kinsoku/>
        <w:wordWrap/>
        <w:topLinePunct w:val="0"/>
        <w:autoSpaceDE/>
        <w:autoSpaceDN/>
        <w:bidi w:val="0"/>
        <w:adjustRightInd/>
        <w:spacing w:line="600" w:lineRule="exact"/>
        <w:textAlignment w:val="auto"/>
        <w:rPr>
          <w:rFonts w:eastAsia="仿宋_GB2312"/>
          <w:szCs w:val="32"/>
        </w:rPr>
      </w:pPr>
      <w:r>
        <w:rPr>
          <w:rFonts w:hint="eastAsia" w:eastAsia="仿宋_GB2312"/>
          <w:szCs w:val="32"/>
        </w:rPr>
        <w:t>项目经大英县发展和改革局备案（备案号：川投资备【2306-510923-04-01-614205】FGQB-0052号），属于未列入</w:t>
      </w:r>
      <w:r>
        <w:rPr>
          <w:rFonts w:eastAsia="仿宋_GB2312"/>
          <w:szCs w:val="32"/>
        </w:rPr>
        <w:t>《产业结构调整指导目录（2019年本）》</w:t>
      </w:r>
      <w:r>
        <w:rPr>
          <w:rFonts w:hint="eastAsia" w:eastAsia="仿宋_GB2312"/>
          <w:szCs w:val="32"/>
        </w:rPr>
        <w:t>的允许</w:t>
      </w:r>
      <w:r>
        <w:rPr>
          <w:rFonts w:eastAsia="仿宋_GB2312"/>
          <w:szCs w:val="32"/>
        </w:rPr>
        <w:t>类</w:t>
      </w:r>
      <w:r>
        <w:rPr>
          <w:rFonts w:hint="eastAsia" w:eastAsia="仿宋_GB2312"/>
          <w:szCs w:val="32"/>
        </w:rPr>
        <w:t>项目</w:t>
      </w:r>
      <w:r>
        <w:rPr>
          <w:rFonts w:eastAsia="仿宋_GB2312"/>
          <w:szCs w:val="32"/>
        </w:rPr>
        <w:t>。</w:t>
      </w:r>
      <w:r>
        <w:rPr>
          <w:rFonts w:hint="eastAsia" w:eastAsia="仿宋_GB2312"/>
          <w:szCs w:val="32"/>
        </w:rPr>
        <w:t>项目拌合站、堆场用地性质为临时用地，已取得遂宁市自然资源和规划局、大英县自然资源和规划局临时用地批复。《报告表》认为</w:t>
      </w:r>
      <w:r>
        <w:rPr>
          <w:rFonts w:eastAsia="仿宋_GB2312"/>
          <w:szCs w:val="32"/>
        </w:rPr>
        <w:t>该项目建设符合国家产业政策和相关规划要求，符合遂宁</w:t>
      </w:r>
      <w:r>
        <w:rPr>
          <w:rFonts w:hint="eastAsia" w:ascii="仿宋_GB2312" w:hAnsi="仿宋_GB2312" w:eastAsia="仿宋_GB2312" w:cs="仿宋_GB2312"/>
          <w:szCs w:val="32"/>
        </w:rPr>
        <w:t>市“三线一单”</w:t>
      </w:r>
      <w:r>
        <w:rPr>
          <w:rFonts w:eastAsia="仿宋_GB2312"/>
          <w:szCs w:val="32"/>
        </w:rPr>
        <w:t>生态环境分区管控要求。</w:t>
      </w:r>
    </w:p>
    <w:p>
      <w:pPr>
        <w:keepNext w:val="0"/>
        <w:keepLines w:val="0"/>
        <w:pageBreakBefore w:val="0"/>
        <w:widowControl w:val="0"/>
        <w:kinsoku/>
        <w:wordWrap/>
        <w:topLinePunct w:val="0"/>
        <w:autoSpaceDE/>
        <w:autoSpaceDN/>
        <w:bidi w:val="0"/>
        <w:adjustRightIn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在严格落实《报告表》提出的生态环境保护对策及措施，严格执行环境保护“三同时”制度，认真落实环境风险防范措施及应急预案的前提下，项目建设从生态环境保护角度可行，我局原则同意《报告表》的总体结论和拟采取的各项生态环境保护措施。你公司应严格按照《报告表》中所列项目建设的性质、规模、工艺、地点和拟采取的环境保护措施进行建设和运行，以确保对环境的不利影响得到缓解和控制。</w:t>
      </w:r>
    </w:p>
    <w:p>
      <w:pPr>
        <w:keepNext w:val="0"/>
        <w:keepLines w:val="0"/>
        <w:pageBreakBefore w:val="0"/>
        <w:widowControl w:val="0"/>
        <w:kinsoku/>
        <w:wordWrap/>
        <w:topLinePunct w:val="0"/>
        <w:autoSpaceDE/>
        <w:autoSpaceDN/>
        <w:bidi w:val="0"/>
        <w:adjustRightInd/>
        <w:spacing w:line="600" w:lineRule="exact"/>
        <w:textAlignment w:val="auto"/>
        <w:rPr>
          <w:rFonts w:ascii="黑体" w:hAnsi="黑体" w:eastAsia="黑体" w:cs="黑体"/>
          <w:sz w:val="32"/>
          <w:szCs w:val="32"/>
        </w:rPr>
      </w:pPr>
      <w:r>
        <w:rPr>
          <w:rFonts w:hint="eastAsia" w:ascii="黑体" w:hAnsi="黑体" w:eastAsia="黑体" w:cs="黑体"/>
          <w:sz w:val="32"/>
          <w:szCs w:val="32"/>
        </w:rPr>
        <w:t xml:space="preserve">    二、项目建设及营运重点做好以下工作</w:t>
      </w:r>
    </w:p>
    <w:p>
      <w:pPr>
        <w:keepNext w:val="0"/>
        <w:keepLines w:val="0"/>
        <w:pageBreakBefore w:val="0"/>
        <w:widowControl w:val="0"/>
        <w:kinsoku/>
        <w:wordWrap/>
        <w:topLinePunct w:val="0"/>
        <w:autoSpaceDE/>
        <w:autoSpaceDN/>
        <w:bidi w:val="0"/>
        <w:adjustRightInd/>
        <w:spacing w:line="600" w:lineRule="exact"/>
        <w:ind w:firstLine="640" w:firstLineChars="200"/>
        <w:textAlignment w:val="auto"/>
        <w:rPr>
          <w:rFonts w:ascii="仿宋_GB2312" w:hAnsi="仿宋_GB2312" w:eastAsia="仿宋_GB2312" w:cs="仿宋_GB2312"/>
          <w:color w:val="000000"/>
          <w:kern w:val="18"/>
          <w:sz w:val="32"/>
          <w:szCs w:val="32"/>
        </w:rPr>
      </w:pPr>
      <w:r>
        <w:rPr>
          <w:rFonts w:hint="eastAsia" w:ascii="楷体_GB2312" w:hAnsi="楷体_GB2312" w:eastAsia="楷体_GB2312" w:cs="楷体_GB2312"/>
          <w:sz w:val="32"/>
          <w:szCs w:val="32"/>
        </w:rPr>
        <w:t>（一）落实污染防治和环境风险防范措施。</w:t>
      </w:r>
      <w:r>
        <w:rPr>
          <w:rFonts w:hint="eastAsia" w:ascii="仿宋_GB2312" w:hAnsi="仿宋_GB2312" w:eastAsia="仿宋_GB2312" w:cs="仿宋_GB2312"/>
          <w:color w:val="000000"/>
          <w:kern w:val="18"/>
          <w:sz w:val="32"/>
          <w:szCs w:val="32"/>
        </w:rPr>
        <w:t>加强运营期环保设施的日常管理和维护，确保环保设施正常运行及各类污染物稳定达标排放。制定并不断完善突发环境事件应急预案，规范内部管理，严格操作规范，定期开展自行监测，防止污染事故的发生。</w:t>
      </w:r>
    </w:p>
    <w:p>
      <w:pPr>
        <w:keepNext w:val="0"/>
        <w:keepLines w:val="0"/>
        <w:pageBreakBefore w:val="0"/>
        <w:widowControl w:val="0"/>
        <w:kinsoku/>
        <w:wordWrap/>
        <w:topLinePunct w:val="0"/>
        <w:autoSpaceDE/>
        <w:autoSpaceDN/>
        <w:bidi w:val="0"/>
        <w:adjustRightInd/>
        <w:spacing w:line="600" w:lineRule="exact"/>
        <w:ind w:firstLine="640" w:firstLineChars="200"/>
        <w:textAlignment w:val="auto"/>
        <w:rPr>
          <w:rFonts w:ascii="仿宋_GB2312" w:hAnsi="仿宋_GB2312" w:eastAsia="仿宋_GB2312" w:cs="仿宋_GB2312"/>
          <w:color w:val="000000"/>
          <w:kern w:val="18"/>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rPr>
        <w:t>二）落实施工期污染防治措施。</w:t>
      </w:r>
      <w:r>
        <w:rPr>
          <w:rFonts w:hint="eastAsia" w:ascii="仿宋_GB2312" w:hAnsi="仿宋_GB2312" w:eastAsia="仿宋_GB2312" w:cs="仿宋_GB2312"/>
          <w:color w:val="000000"/>
          <w:kern w:val="18"/>
          <w:sz w:val="32"/>
          <w:szCs w:val="32"/>
        </w:rPr>
        <w:t>严格落实建筑施工“六必须六不准”和“六个百分百”要求，防止扬尘污污染。洗车废水、施工废水经沉淀处理后回用于施工场地洒水降尘，不外排；施工人员生活污水依托周边已建设施处理。建筑垃圾及时清运至政府指定地点，生活垃圾集中收集交由市政环卫部门统一处置。施工场界噪声要满足《建筑施工场界环境噪声排放标准》</w:t>
      </w:r>
      <w:r>
        <w:rPr>
          <w:rFonts w:hint="default" w:ascii="Times New Roman" w:hAnsi="Times New Roman" w:eastAsia="仿宋_GB2312" w:cs="Times New Roman"/>
          <w:color w:val="000000"/>
          <w:kern w:val="18"/>
          <w:sz w:val="32"/>
          <w:szCs w:val="32"/>
        </w:rPr>
        <w:t>(GB12523-2011)的要求。落实运输车辆和非道路移动机械环境管</w:t>
      </w:r>
      <w:r>
        <w:rPr>
          <w:rFonts w:hint="eastAsia" w:ascii="仿宋_GB2312" w:hAnsi="仿宋_GB2312" w:eastAsia="仿宋_GB2312" w:cs="仿宋_GB2312"/>
          <w:color w:val="000000"/>
          <w:kern w:val="18"/>
          <w:sz w:val="32"/>
          <w:szCs w:val="32"/>
        </w:rPr>
        <w:t>理要求，落实重污染天气预警状况下大气污染防治管控要求。</w:t>
      </w:r>
    </w:p>
    <w:p>
      <w:pPr>
        <w:keepNext w:val="0"/>
        <w:keepLines w:val="0"/>
        <w:pageBreakBefore w:val="0"/>
        <w:widowControl w:val="0"/>
        <w:kinsoku/>
        <w:wordWrap/>
        <w:topLinePunct w:val="0"/>
        <w:autoSpaceDE/>
        <w:autoSpaceDN/>
        <w:bidi w:val="0"/>
        <w:adjustRightInd/>
        <w:spacing w:line="600" w:lineRule="exact"/>
        <w:ind w:firstLine="640" w:firstLineChars="200"/>
        <w:textAlignment w:val="auto"/>
        <w:rPr>
          <w:rFonts w:ascii="仿宋_GB2312" w:hAnsi="仿宋_GB2312" w:eastAsia="仿宋_GB2312" w:cs="仿宋_GB2312"/>
          <w:color w:val="000000"/>
          <w:kern w:val="18"/>
          <w:sz w:val="32"/>
          <w:szCs w:val="32"/>
        </w:rPr>
      </w:pPr>
      <w:r>
        <w:rPr>
          <w:rFonts w:hint="eastAsia" w:ascii="楷体_GB2312" w:hAnsi="楷体_GB2312" w:eastAsia="楷体_GB2312" w:cs="楷体_GB2312"/>
          <w:sz w:val="32"/>
          <w:szCs w:val="32"/>
        </w:rPr>
        <w:t>（三）落实大气污染防治措施。</w:t>
      </w:r>
      <w:r>
        <w:rPr>
          <w:rFonts w:hint="eastAsia" w:ascii="仿宋_GB2312" w:hAnsi="仿宋_GB2312" w:eastAsia="仿宋_GB2312" w:cs="仿宋_GB2312"/>
          <w:color w:val="000000"/>
          <w:kern w:val="18"/>
          <w:sz w:val="32"/>
          <w:szCs w:val="32"/>
        </w:rPr>
        <w:t>连砂石、碎石堆场三面设置不低于料堆高度的围挡，并采取防雨膜进行覆盖；机制砂、天然砂堆场设置于密闭厂房内并在进口和料堆上方设置喷雾降尘装置。砂石装卸进行人工湿法喷淋降尘；砂石加工设置于密闭厂房内，通过设置喷淋系统、封闭式传送带及湿法作业等方式抑尘降尘。搅拌工序采用封闭搅拌楼，在排气口设置布袋除尘系统，给料机及输送带设置封闭式传送带，仓顶粉尘通过在排气口设置布袋除尘器进行处理。道路运输扬尘通过厂区道路硬化、设置洗车设施、运输车辆篷布遮盖及洒水降尘等方式处理。</w:t>
      </w:r>
    </w:p>
    <w:p>
      <w:pPr>
        <w:pStyle w:val="6"/>
        <w:keepNext w:val="0"/>
        <w:keepLines w:val="0"/>
        <w:pageBreakBefore w:val="0"/>
        <w:widowControl w:val="0"/>
        <w:kinsoku/>
        <w:wordWrap/>
        <w:topLinePunct w:val="0"/>
        <w:autoSpaceDE/>
        <w:autoSpaceDN/>
        <w:bidi w:val="0"/>
        <w:adjustRightInd/>
        <w:spacing w:before="0" w:line="600" w:lineRule="exact"/>
        <w:ind w:firstLine="640" w:firstLineChars="200"/>
        <w:textAlignment w:val="auto"/>
        <w:rPr>
          <w:rFonts w:ascii="仿宋_GB2312" w:hAnsi="仿宋_GB2312" w:eastAsia="仿宋_GB2312" w:cs="仿宋_GB2312"/>
          <w:color w:val="000000"/>
          <w:kern w:val="18"/>
          <w:sz w:val="32"/>
          <w:szCs w:val="32"/>
        </w:rPr>
      </w:pPr>
      <w:r>
        <w:rPr>
          <w:rFonts w:hint="eastAsia" w:ascii="楷体_GB2312" w:hAnsi="楷体_GB2312" w:eastAsia="楷体_GB2312" w:cs="楷体_GB2312"/>
          <w:sz w:val="32"/>
          <w:szCs w:val="32"/>
        </w:rPr>
        <w:t>（四）落实废水污染防治措施。</w:t>
      </w:r>
      <w:r>
        <w:rPr>
          <w:rFonts w:ascii="Times New Roman" w:hAnsi="Times New Roman" w:eastAsia="仿宋_GB2312" w:cs="Times New Roman"/>
          <w:sz w:val="32"/>
          <w:szCs w:val="32"/>
        </w:rPr>
        <w:t>严格采取雨污分流制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生活污水全部经化粪池处理后定期由吸污车拉运至</w:t>
      </w:r>
      <w:r>
        <w:rPr>
          <w:rFonts w:hint="eastAsia" w:ascii="Times New Roman" w:hAnsi="Times New Roman" w:eastAsia="仿宋_GB2312" w:cs="Times New Roman"/>
          <w:sz w:val="32"/>
          <w:szCs w:val="32"/>
        </w:rPr>
        <w:t>大英县城市生活</w:t>
      </w:r>
      <w:r>
        <w:rPr>
          <w:rFonts w:ascii="Times New Roman" w:hAnsi="Times New Roman" w:eastAsia="仿宋_GB2312" w:cs="Times New Roman"/>
          <w:sz w:val="32"/>
          <w:szCs w:val="32"/>
        </w:rPr>
        <w:t>污水处理厂</w:t>
      </w:r>
      <w:r>
        <w:rPr>
          <w:rFonts w:hint="eastAsia" w:ascii="Times New Roman" w:hAnsi="Times New Roman" w:eastAsia="仿宋_GB2312" w:cs="Times New Roman"/>
          <w:sz w:val="32"/>
          <w:szCs w:val="32"/>
        </w:rPr>
        <w:t>处理；洗砂废水、搅拌机清洗废水、污泥压滤废水排入洗砂沉淀池经处理后回用；车辆冲洗清洗废水经隔油沉淀池处理后回用；初期雨水收集至雨水收集池沉淀后回用。</w:t>
      </w:r>
    </w:p>
    <w:p>
      <w:pPr>
        <w:keepNext w:val="0"/>
        <w:keepLines w:val="0"/>
        <w:pageBreakBefore w:val="0"/>
        <w:widowControl w:val="0"/>
        <w:kinsoku/>
        <w:wordWrap/>
        <w:topLinePunct w:val="0"/>
        <w:autoSpaceDE/>
        <w:autoSpaceDN/>
        <w:bidi w:val="0"/>
        <w:adjustRightInd/>
        <w:spacing w:line="600" w:lineRule="exact"/>
        <w:ind w:firstLine="640" w:firstLineChars="200"/>
        <w:textAlignment w:val="auto"/>
        <w:rPr>
          <w:rFonts w:ascii="Times New Roman" w:hAnsi="Times New Roman" w:eastAsia="仿宋_GB2312" w:cs="Times New Roman"/>
          <w:sz w:val="32"/>
          <w:szCs w:val="32"/>
        </w:rPr>
      </w:pPr>
      <w:r>
        <w:rPr>
          <w:rFonts w:hint="eastAsia" w:ascii="楷体_GB2312" w:hAnsi="楷体_GB2312" w:eastAsia="楷体_GB2312" w:cs="楷体_GB2312"/>
          <w:sz w:val="32"/>
          <w:szCs w:val="32"/>
        </w:rPr>
        <w:t>（五）落实固体废物处置措施</w:t>
      </w:r>
      <w:r>
        <w:rPr>
          <w:rFonts w:hint="eastAsia" w:ascii="楷体_GB2312" w:hAnsi="楷体_GB2312" w:eastAsia="楷体_GB2312" w:cs="楷体_GB2312"/>
          <w:color w:val="000000"/>
          <w:kern w:val="18"/>
          <w:sz w:val="32"/>
          <w:szCs w:val="32"/>
        </w:rPr>
        <w:t>。</w:t>
      </w:r>
      <w:r>
        <w:rPr>
          <w:rFonts w:hint="eastAsia" w:ascii="Times New Roman" w:hAnsi="Times New Roman" w:eastAsia="仿宋_GB2312" w:cs="Times New Roman"/>
          <w:sz w:val="32"/>
          <w:szCs w:val="32"/>
        </w:rPr>
        <w:t>固体废物按要求落实分类收集、贮存、运输及处置措施。砂石加工车间粉尘人工收集后与沉淀池底泥压制成泥饼，定期外运至砖厂制砖；生活垃圾统一收集交由环卫部门清运处理；废机油桶、废机油等危险废物暂存于危废间，建立危废处置台账，定期交由有资质的单位处理</w:t>
      </w:r>
      <w:r>
        <w:rPr>
          <w:rFonts w:eastAsia="仿宋_GB2312"/>
          <w:sz w:val="32"/>
          <w:szCs w:val="32"/>
        </w:rPr>
        <w:t>，转移过程严格落实《危险废物转移管理办法》要求</w:t>
      </w:r>
      <w:r>
        <w:rPr>
          <w:rFonts w:hint="eastAsia" w:ascii="Times New Roman" w:hAnsi="Times New Roman" w:eastAsia="仿宋_GB2312" w:cs="Times New Roman"/>
          <w:sz w:val="32"/>
          <w:szCs w:val="32"/>
        </w:rPr>
        <w:t>。</w:t>
      </w:r>
    </w:p>
    <w:p>
      <w:pPr>
        <w:keepNext w:val="0"/>
        <w:keepLines w:val="0"/>
        <w:pageBreakBefore w:val="0"/>
        <w:widowControl w:val="0"/>
        <w:kinsoku/>
        <w:wordWrap/>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000000"/>
          <w:kern w:val="18"/>
          <w:sz w:val="32"/>
          <w:szCs w:val="32"/>
        </w:rPr>
      </w:pPr>
      <w:r>
        <w:rPr>
          <w:rFonts w:hint="eastAsia" w:ascii="楷体_GB2312" w:hAnsi="楷体_GB2312" w:eastAsia="楷体_GB2312" w:cs="楷体_GB2312"/>
          <w:sz w:val="32"/>
          <w:szCs w:val="32"/>
        </w:rPr>
        <w:t>（六）落实噪声污染防治措施。</w:t>
      </w:r>
      <w:r>
        <w:rPr>
          <w:rFonts w:hint="eastAsia" w:ascii="仿宋_GB2312" w:hAnsi="仿宋_GB2312" w:eastAsia="仿宋_GB2312" w:cs="仿宋_GB2312"/>
          <w:color w:val="000000"/>
          <w:kern w:val="18"/>
          <w:sz w:val="32"/>
          <w:szCs w:val="32"/>
        </w:rPr>
        <w:t>设施设备应布局合理，采取隔声、减振、降噪等措施，确保项目噪声排放满足《工业企业厂</w:t>
      </w:r>
      <w:r>
        <w:rPr>
          <w:rFonts w:hint="default" w:ascii="Times New Roman" w:hAnsi="Times New Roman" w:eastAsia="仿宋_GB2312" w:cs="Times New Roman"/>
          <w:color w:val="000000"/>
          <w:kern w:val="18"/>
          <w:sz w:val="32"/>
          <w:szCs w:val="32"/>
        </w:rPr>
        <w:t>界环境噪声排放标准》(GB12348-2008）中的3类标准。</w:t>
      </w:r>
    </w:p>
    <w:p>
      <w:pPr>
        <w:keepNext w:val="0"/>
        <w:keepLines w:val="0"/>
        <w:pageBreakBefore w:val="0"/>
        <w:widowControl w:val="0"/>
        <w:kinsoku/>
        <w:wordWrap/>
        <w:topLinePunct w:val="0"/>
        <w:autoSpaceDE/>
        <w:autoSpaceDN/>
        <w:bidi w:val="0"/>
        <w:adjustRightInd/>
        <w:spacing w:line="600" w:lineRule="exact"/>
        <w:ind w:firstLine="640" w:firstLineChars="200"/>
        <w:textAlignment w:val="auto"/>
        <w:rPr>
          <w:rFonts w:ascii="仿宋_GB2312" w:hAnsi="仿宋_GB2312" w:eastAsia="仿宋_GB2312" w:cs="仿宋_GB2312"/>
          <w:color w:val="000000"/>
          <w:kern w:val="18"/>
          <w:sz w:val="32"/>
          <w:szCs w:val="32"/>
        </w:rPr>
      </w:pPr>
      <w:r>
        <w:rPr>
          <w:rFonts w:hint="eastAsia" w:ascii="楷体_GB2312" w:hAnsi="楷体_GB2312" w:eastAsia="楷体_GB2312" w:cs="楷体_GB2312"/>
          <w:sz w:val="32"/>
          <w:szCs w:val="32"/>
        </w:rPr>
        <w:t>（七）落实土壤和地下水污染防治措施。</w:t>
      </w:r>
      <w:r>
        <w:rPr>
          <w:rFonts w:hint="eastAsia" w:ascii="仿宋_GB2312" w:hAnsi="仿宋_GB2312" w:eastAsia="仿宋_GB2312" w:cs="仿宋_GB2312"/>
          <w:color w:val="000000"/>
          <w:kern w:val="18"/>
          <w:sz w:val="32"/>
          <w:szCs w:val="32"/>
        </w:rPr>
        <w:t>严格按照《报告表》要求，落实分区防渗措施，在危废暂存间、机油仓库进行重点防渗，对生产厂区进行一般防渗，堆场及办公区采用简单防渗。</w:t>
      </w:r>
    </w:p>
    <w:p>
      <w:pPr>
        <w:keepNext w:val="0"/>
        <w:keepLines w:val="0"/>
        <w:pageBreakBefore w:val="0"/>
        <w:widowControl w:val="0"/>
        <w:kinsoku/>
        <w:wordWrap/>
        <w:topLinePunct w:val="0"/>
        <w:autoSpaceDE/>
        <w:autoSpaceDN/>
        <w:bidi w:val="0"/>
        <w:adjustRightInd/>
        <w:spacing w:line="600" w:lineRule="exact"/>
        <w:ind w:firstLine="640" w:firstLineChars="200"/>
        <w:textAlignment w:val="auto"/>
        <w:rPr>
          <w:rFonts w:ascii="仿宋_GB2312" w:hAnsi="仿宋_GB2312" w:eastAsia="仿宋_GB2312" w:cs="仿宋_GB2312"/>
          <w:color w:val="000000"/>
          <w:kern w:val="18"/>
          <w:sz w:val="32"/>
          <w:szCs w:val="32"/>
        </w:rPr>
      </w:pPr>
      <w:r>
        <w:rPr>
          <w:rFonts w:hint="eastAsia" w:ascii="黑体" w:hAnsi="黑体" w:eastAsia="黑体" w:cs="黑体"/>
          <w:color w:val="000000"/>
          <w:kern w:val="18"/>
          <w:sz w:val="32"/>
          <w:szCs w:val="32"/>
        </w:rPr>
        <w:t>三、</w:t>
      </w:r>
      <w:r>
        <w:rPr>
          <w:rFonts w:hint="eastAsia" w:ascii="仿宋_GB2312" w:hAnsi="仿宋_GB2312" w:eastAsia="仿宋_GB2312" w:cs="仿宋_GB2312"/>
          <w:color w:val="000000"/>
          <w:kern w:val="18"/>
          <w:sz w:val="32"/>
          <w:szCs w:val="32"/>
        </w:rPr>
        <w:t>项目开工建设前，应依法完备其他行政许可手续。</w:t>
      </w:r>
    </w:p>
    <w:p>
      <w:pPr>
        <w:keepNext w:val="0"/>
        <w:keepLines w:val="0"/>
        <w:pageBreakBefore w:val="0"/>
        <w:widowControl w:val="0"/>
        <w:kinsoku/>
        <w:wordWrap/>
        <w:overflowPunct w:val="0"/>
        <w:topLinePunct w:val="0"/>
        <w:autoSpaceDE/>
        <w:autoSpaceDN/>
        <w:bidi w:val="0"/>
        <w:adjustRightInd/>
        <w:snapToGrid w:val="0"/>
        <w:spacing w:line="600" w:lineRule="exact"/>
        <w:ind w:firstLine="640" w:firstLineChars="200"/>
        <w:textAlignment w:val="auto"/>
        <w:rPr>
          <w:rFonts w:ascii="黑体" w:hAnsi="黑体" w:eastAsia="黑体" w:cs="黑体"/>
          <w:sz w:val="32"/>
          <w:szCs w:val="32"/>
        </w:rPr>
      </w:pPr>
      <w:r>
        <w:rPr>
          <w:rFonts w:hint="eastAsia" w:ascii="黑体" w:hAnsi="黑体" w:eastAsia="黑体" w:cs="黑体"/>
          <w:color w:val="000000"/>
          <w:kern w:val="18"/>
          <w:sz w:val="32"/>
          <w:szCs w:val="32"/>
        </w:rPr>
        <w:t>四、排污许可和环保</w:t>
      </w:r>
      <w:r>
        <w:rPr>
          <w:rFonts w:hint="eastAsia" w:ascii="黑体" w:hAnsi="黑体" w:eastAsia="黑体" w:cs="黑体"/>
          <w:sz w:val="32"/>
          <w:szCs w:val="32"/>
        </w:rPr>
        <w:t>验收</w:t>
      </w:r>
    </w:p>
    <w:p>
      <w:pPr>
        <w:pStyle w:val="21"/>
        <w:keepNext w:val="0"/>
        <w:keepLines w:val="0"/>
        <w:pageBreakBefore w:val="0"/>
        <w:widowControl w:val="0"/>
        <w:kinsoku/>
        <w:wordWrap/>
        <w:topLinePunct w:val="0"/>
        <w:autoSpaceDE/>
        <w:autoSpaceDN/>
        <w:bidi w:val="0"/>
        <w:adjustRightInd/>
        <w:spacing w:line="600" w:lineRule="exact"/>
        <w:textAlignment w:val="auto"/>
        <w:rPr>
          <w:rFonts w:ascii="仿宋_GB2312" w:hAnsi="仿宋_GB2312" w:eastAsia="仿宋_GB2312" w:cs="仿宋_GB2312"/>
          <w:szCs w:val="32"/>
        </w:rPr>
      </w:pPr>
      <w:r>
        <w:rPr>
          <w:rFonts w:hint="eastAsia" w:ascii="仿宋_GB2312" w:hAnsi="仿宋_GB2312" w:eastAsia="仿宋_GB2312" w:cs="仿宋_GB2312"/>
          <w:szCs w:val="32"/>
        </w:rPr>
        <w:t>项目建设必须严格执行配套建设的环境保护设施与主体工程同时设计、同时施工、同时投产使用的环境保护“三同时”制度。在发生实际排污行为前，按照国家排污许可有关管理规定要求，依法申领排污许可证或者填报排污登记表，</w:t>
      </w:r>
      <w:r>
        <w:rPr>
          <w:rFonts w:eastAsia="仿宋_GB2312"/>
          <w:szCs w:val="32"/>
        </w:rPr>
        <w:t>不得无证排污和不按证排污</w:t>
      </w:r>
      <w:r>
        <w:rPr>
          <w:rFonts w:hint="eastAsia" w:ascii="仿宋_GB2312" w:hAnsi="仿宋_GB2312" w:eastAsia="仿宋_GB2312" w:cs="仿宋_GB2312"/>
          <w:szCs w:val="32"/>
        </w:rPr>
        <w:t>。建设项目竣工后，</w:t>
      </w:r>
      <w:r>
        <w:rPr>
          <w:rFonts w:eastAsia="仿宋_GB2312"/>
          <w:szCs w:val="32"/>
        </w:rPr>
        <w:t>你公司是建设项目竣工环境保护验收的责任主体，</w:t>
      </w:r>
      <w:r>
        <w:rPr>
          <w:rFonts w:hint="eastAsia" w:ascii="仿宋_GB2312" w:hAnsi="仿宋_GB2312" w:eastAsia="仿宋_GB2312" w:cs="仿宋_GB2312"/>
          <w:szCs w:val="32"/>
        </w:rPr>
        <w:t>应当按照规定的程序和标准，组织对配套建设的环境保护设施及对策措施进行验收，并依法向社会公开验收报告，</w:t>
      </w:r>
      <w:r>
        <w:rPr>
          <w:rFonts w:eastAsia="仿宋_GB2312"/>
          <w:szCs w:val="32"/>
        </w:rPr>
        <w:t>公开相关信息，接受社会监督，验收合格后方可投入生产或使用。</w:t>
      </w:r>
    </w:p>
    <w:p>
      <w:pPr>
        <w:keepNext w:val="0"/>
        <w:keepLines w:val="0"/>
        <w:pageBreakBefore w:val="0"/>
        <w:widowControl w:val="0"/>
        <w:kinsoku/>
        <w:wordWrap/>
        <w:overflowPunct w:val="0"/>
        <w:topLinePunct w:val="0"/>
        <w:autoSpaceDE/>
        <w:autoSpaceDN/>
        <w:bidi w:val="0"/>
        <w:adjustRightInd/>
        <w:snapToGrid w:val="0"/>
        <w:spacing w:line="600" w:lineRule="exact"/>
        <w:ind w:firstLine="640" w:firstLineChars="200"/>
        <w:textAlignment w:val="auto"/>
        <w:rPr>
          <w:rFonts w:ascii="黑体" w:hAnsi="黑体" w:eastAsia="黑体" w:cs="黑体"/>
          <w:color w:val="000000"/>
          <w:kern w:val="18"/>
          <w:sz w:val="32"/>
          <w:szCs w:val="32"/>
        </w:rPr>
      </w:pPr>
      <w:r>
        <w:rPr>
          <w:rFonts w:hint="eastAsia" w:ascii="黑体" w:hAnsi="黑体" w:eastAsia="黑体" w:cs="黑体"/>
          <w:color w:val="000000"/>
          <w:kern w:val="18"/>
          <w:sz w:val="32"/>
          <w:szCs w:val="32"/>
        </w:rPr>
        <w:t>五、其他规定</w:t>
      </w:r>
    </w:p>
    <w:p>
      <w:pPr>
        <w:keepNext w:val="0"/>
        <w:keepLines w:val="0"/>
        <w:pageBreakBefore w:val="0"/>
        <w:widowControl w:val="0"/>
        <w:kinsoku/>
        <w:wordWrap/>
        <w:topLinePunct w:val="0"/>
        <w:autoSpaceDE/>
        <w:autoSpaceDN/>
        <w:bidi w:val="0"/>
        <w:adjustRightIn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项目环境影响评价文件经批准后，如工程的性质、规模、地点、工艺或者防治污染、防止生态破坏的措施发生重大变动，你</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应当重新</w:t>
      </w:r>
      <w:bookmarkStart w:id="0" w:name="_GoBack"/>
      <w:bookmarkEnd w:id="0"/>
      <w:r>
        <w:rPr>
          <w:rFonts w:hint="eastAsia" w:ascii="仿宋_GB2312" w:hAnsi="仿宋_GB2312" w:eastAsia="仿宋_GB2312" w:cs="仿宋_GB2312"/>
          <w:sz w:val="32"/>
          <w:szCs w:val="32"/>
        </w:rPr>
        <w:t>报批环境影响评价文件，否则不得实施建设。自环</w:t>
      </w:r>
      <w:r>
        <w:rPr>
          <w:rFonts w:ascii="Times New Roman" w:hAnsi="Times New Roman" w:eastAsia="仿宋_GB2312" w:cs="Times New Roman"/>
          <w:sz w:val="32"/>
          <w:szCs w:val="32"/>
        </w:rPr>
        <w:t>境影响评价文件批准之日起，如工程超过5年未开工建设，环境</w:t>
      </w:r>
      <w:r>
        <w:rPr>
          <w:rFonts w:hint="eastAsia" w:ascii="仿宋_GB2312" w:hAnsi="仿宋_GB2312" w:eastAsia="仿宋_GB2312" w:cs="仿宋_GB2312"/>
          <w:sz w:val="32"/>
          <w:szCs w:val="32"/>
        </w:rPr>
        <w:t>影响评价文件应当报我局重新审核。</w:t>
      </w:r>
    </w:p>
    <w:p>
      <w:pPr>
        <w:pStyle w:val="2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p>
    <w:p>
      <w:pPr>
        <w:pStyle w:val="13"/>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4818" w:firstLineChars="1469"/>
        <w:jc w:val="both"/>
        <w:textAlignment w:val="auto"/>
        <w:rPr>
          <w:rFonts w:hint="default" w:ascii="Times New Roman" w:hAnsi="Times New Roman" w:eastAsia="仿宋_GB2312" w:cs="Times New Roman"/>
          <w:color w:val="auto"/>
          <w:spacing w:val="4"/>
          <w:kern w:val="2"/>
          <w:sz w:val="32"/>
          <w:szCs w:val="32"/>
          <w:lang w:val="en-US" w:eastAsia="zh-CN" w:bidi="ar-SA"/>
        </w:rPr>
      </w:pPr>
      <w:r>
        <w:rPr>
          <w:rFonts w:hint="default" w:ascii="Times New Roman" w:hAnsi="Times New Roman" w:eastAsia="仿宋_GB2312" w:cs="Times New Roman"/>
          <w:color w:val="auto"/>
          <w:spacing w:val="4"/>
          <w:kern w:val="2"/>
          <w:sz w:val="32"/>
          <w:szCs w:val="32"/>
          <w:lang w:val="en-US" w:eastAsia="zh-CN" w:bidi="ar-SA"/>
        </w:rPr>
        <w:t>遂宁市大英生态环境局</w:t>
      </w:r>
    </w:p>
    <w:p>
      <w:pPr>
        <w:keepNext w:val="0"/>
        <w:keepLines w:val="0"/>
        <w:pageBreakBefore w:val="0"/>
        <w:widowControl w:val="0"/>
        <w:kinsoku/>
        <w:wordWrap w:val="0"/>
        <w:overflowPunct/>
        <w:topLinePunct w:val="0"/>
        <w:autoSpaceDE/>
        <w:autoSpaceDN/>
        <w:bidi w:val="0"/>
        <w:adjustRightInd/>
        <w:snapToGrid/>
        <w:spacing w:line="600" w:lineRule="exact"/>
        <w:ind w:left="0" w:leftChars="0"/>
        <w:jc w:val="righ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w:t>
      </w:r>
      <w:r>
        <w:rPr>
          <w:rFonts w:hint="eastAsia" w:ascii="Times New Roman" w:hAnsi="Times New Roman" w:eastAsia="仿宋_GB2312" w:cs="Times New Roman"/>
          <w:kern w:val="2"/>
          <w:sz w:val="32"/>
          <w:szCs w:val="32"/>
          <w:lang w:val="en-US" w:eastAsia="zh-CN" w:bidi="ar-SA"/>
        </w:rPr>
        <w:t>9</w:t>
      </w:r>
      <w:r>
        <w:rPr>
          <w:rFonts w:hint="default" w:ascii="Times New Roman" w:hAnsi="Times New Roman" w:eastAsia="仿宋_GB2312" w:cs="Times New Roman"/>
          <w:kern w:val="2"/>
          <w:sz w:val="32"/>
          <w:szCs w:val="32"/>
          <w:lang w:val="en-US" w:eastAsia="zh-CN" w:bidi="ar-SA"/>
        </w:rPr>
        <w:t>月</w:t>
      </w:r>
      <w:r>
        <w:rPr>
          <w:rFonts w:hint="eastAsia" w:ascii="Times New Roman" w:hAnsi="Times New Roman" w:eastAsia="仿宋_GB2312" w:cs="Times New Roman"/>
          <w:kern w:val="2"/>
          <w:sz w:val="32"/>
          <w:szCs w:val="32"/>
          <w:lang w:val="en-US" w:eastAsia="zh-CN" w:bidi="ar-SA"/>
        </w:rPr>
        <w:t>25</w:t>
      </w:r>
      <w:r>
        <w:rPr>
          <w:rFonts w:hint="default" w:ascii="Times New Roman" w:hAnsi="Times New Roman" w:eastAsia="仿宋_GB2312" w:cs="Times New Roman"/>
          <w:kern w:val="2"/>
          <w:sz w:val="32"/>
          <w:szCs w:val="32"/>
          <w:lang w:val="en-US" w:eastAsia="zh-CN" w:bidi="ar-SA"/>
        </w:rPr>
        <w:t>日</w:t>
      </w:r>
      <w:r>
        <w:rPr>
          <w:rFonts w:hint="eastAsia" w:ascii="Times New Roman" w:hAnsi="Times New Roman" w:eastAsia="仿宋_GB2312" w:cs="Times New Roman"/>
          <w:kern w:val="2"/>
          <w:sz w:val="32"/>
          <w:szCs w:val="32"/>
          <w:lang w:val="en-US" w:eastAsia="zh-CN" w:bidi="ar-SA"/>
        </w:rPr>
        <w:t xml:space="preserve">       </w:t>
      </w:r>
    </w:p>
    <w:sectPr>
      <w:footerReference r:id="rId4" w:type="default"/>
      <w:pgSz w:w="11906" w:h="16838"/>
      <w:pgMar w:top="2098" w:right="1474" w:bottom="1417" w:left="1587" w:header="851" w:footer="992" w:gutter="0"/>
      <w:pgBorders>
        <w:top w:val="none" w:sz="0" w:space="0"/>
        <w:left w:val="none" w:sz="0" w:space="0"/>
        <w:bottom w:val="none" w:sz="0" w:space="0"/>
        <w:right w:val="none" w:sz="0" w:space="0"/>
      </w:pgBorders>
      <w:pgNumType w:fmt="decimal"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keepNext w:val="0"/>
      <w:keepLines w:val="0"/>
      <w:pageBreakBefore w:val="0"/>
      <w:widowControl w:val="0"/>
      <w:kinsoku/>
      <w:wordWrap/>
      <w:overflowPunct/>
      <w:topLinePunct w:val="0"/>
      <w:autoSpaceDE/>
      <w:autoSpaceDN/>
      <w:bidi w:val="0"/>
      <w:adjustRightInd/>
      <w:snapToGrid w:val="0"/>
      <w:spacing w:line="240" w:lineRule="atLeast"/>
      <w:ind w:right="315" w:rightChars="150"/>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keepNext w:val="0"/>
      <w:keepLines w:val="0"/>
      <w:pageBreakBefore w:val="0"/>
      <w:widowControl w:val="0"/>
      <w:kinsoku/>
      <w:wordWrap/>
      <w:overflowPunct/>
      <w:topLinePunct w:val="0"/>
      <w:autoSpaceDE/>
      <w:autoSpaceDN/>
      <w:bidi w:val="0"/>
      <w:adjustRightInd/>
      <w:snapToGrid w:val="0"/>
      <w:spacing w:line="240" w:lineRule="atLeast"/>
      <w:ind w:right="315" w:rightChars="15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3"/>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13"/>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1C749"/>
    <w:multiLevelType w:val="singleLevel"/>
    <w:tmpl w:val="6871C749"/>
    <w:lvl w:ilvl="0" w:tentative="0">
      <w:start w:val="1"/>
      <w:numFmt w:val="decimal"/>
      <w:pStyle w:val="5"/>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NGRkZDgxZWJmMmVhM2RmMzA5ZTU0NTY3ZmMzYmMifQ=="/>
  </w:docVars>
  <w:rsids>
    <w:rsidRoot w:val="00000000"/>
    <w:rsid w:val="00200875"/>
    <w:rsid w:val="00951FEE"/>
    <w:rsid w:val="01844E19"/>
    <w:rsid w:val="01FD40F1"/>
    <w:rsid w:val="02B22144"/>
    <w:rsid w:val="030014CC"/>
    <w:rsid w:val="041E0EAD"/>
    <w:rsid w:val="07445783"/>
    <w:rsid w:val="08076BAC"/>
    <w:rsid w:val="08157D0A"/>
    <w:rsid w:val="082B7D91"/>
    <w:rsid w:val="088675ED"/>
    <w:rsid w:val="089E130F"/>
    <w:rsid w:val="08A70EB9"/>
    <w:rsid w:val="092A1E12"/>
    <w:rsid w:val="094E2162"/>
    <w:rsid w:val="098F0FA5"/>
    <w:rsid w:val="0AE4604C"/>
    <w:rsid w:val="0C4C2651"/>
    <w:rsid w:val="0F410220"/>
    <w:rsid w:val="0F5D7B56"/>
    <w:rsid w:val="0FB35FED"/>
    <w:rsid w:val="10632F32"/>
    <w:rsid w:val="108B04C2"/>
    <w:rsid w:val="11553800"/>
    <w:rsid w:val="12011292"/>
    <w:rsid w:val="13A050E7"/>
    <w:rsid w:val="14741B39"/>
    <w:rsid w:val="14AA3E63"/>
    <w:rsid w:val="15AB60E4"/>
    <w:rsid w:val="15C947BC"/>
    <w:rsid w:val="16243B6E"/>
    <w:rsid w:val="1735378C"/>
    <w:rsid w:val="1ACF0994"/>
    <w:rsid w:val="1ADB2985"/>
    <w:rsid w:val="1B326960"/>
    <w:rsid w:val="1BCC1635"/>
    <w:rsid w:val="1D04432C"/>
    <w:rsid w:val="1D1F6E89"/>
    <w:rsid w:val="1DC1221D"/>
    <w:rsid w:val="1DEC2C84"/>
    <w:rsid w:val="1E17071F"/>
    <w:rsid w:val="1E29348B"/>
    <w:rsid w:val="1E6609BF"/>
    <w:rsid w:val="1EAC44A7"/>
    <w:rsid w:val="1F8E271B"/>
    <w:rsid w:val="1FC85967"/>
    <w:rsid w:val="204F3B10"/>
    <w:rsid w:val="20E64474"/>
    <w:rsid w:val="21464F13"/>
    <w:rsid w:val="224F429B"/>
    <w:rsid w:val="23631F61"/>
    <w:rsid w:val="23E07BD5"/>
    <w:rsid w:val="251C281B"/>
    <w:rsid w:val="26672398"/>
    <w:rsid w:val="273A436A"/>
    <w:rsid w:val="27E16961"/>
    <w:rsid w:val="29E46919"/>
    <w:rsid w:val="2A1F2C38"/>
    <w:rsid w:val="2A2D6A04"/>
    <w:rsid w:val="2A784B2D"/>
    <w:rsid w:val="2A785045"/>
    <w:rsid w:val="2AC24BA7"/>
    <w:rsid w:val="2CFA5D9C"/>
    <w:rsid w:val="2EFC29C4"/>
    <w:rsid w:val="2F1C72B3"/>
    <w:rsid w:val="310F7B8F"/>
    <w:rsid w:val="31442D31"/>
    <w:rsid w:val="31774C75"/>
    <w:rsid w:val="31F50C2D"/>
    <w:rsid w:val="31FD6612"/>
    <w:rsid w:val="32C1089D"/>
    <w:rsid w:val="34047828"/>
    <w:rsid w:val="344E1C6F"/>
    <w:rsid w:val="34A22009"/>
    <w:rsid w:val="354A265C"/>
    <w:rsid w:val="37225683"/>
    <w:rsid w:val="372748CB"/>
    <w:rsid w:val="376A1E4F"/>
    <w:rsid w:val="38C236CA"/>
    <w:rsid w:val="39116741"/>
    <w:rsid w:val="3965276B"/>
    <w:rsid w:val="3A2A31CC"/>
    <w:rsid w:val="3BD232AA"/>
    <w:rsid w:val="3C1E30AA"/>
    <w:rsid w:val="3C7D32C2"/>
    <w:rsid w:val="3C8A5E5F"/>
    <w:rsid w:val="3E406C06"/>
    <w:rsid w:val="40B97948"/>
    <w:rsid w:val="415844BA"/>
    <w:rsid w:val="42A751E8"/>
    <w:rsid w:val="433E49AD"/>
    <w:rsid w:val="44000AFA"/>
    <w:rsid w:val="44242A3A"/>
    <w:rsid w:val="46564467"/>
    <w:rsid w:val="47173438"/>
    <w:rsid w:val="486C0E54"/>
    <w:rsid w:val="491F4DFE"/>
    <w:rsid w:val="4944487A"/>
    <w:rsid w:val="4BA71E75"/>
    <w:rsid w:val="4C6267F5"/>
    <w:rsid w:val="4DA81B78"/>
    <w:rsid w:val="4E4D24B7"/>
    <w:rsid w:val="504C6A58"/>
    <w:rsid w:val="509E5922"/>
    <w:rsid w:val="50A22112"/>
    <w:rsid w:val="518979CC"/>
    <w:rsid w:val="52614E59"/>
    <w:rsid w:val="52A56FED"/>
    <w:rsid w:val="54454557"/>
    <w:rsid w:val="54C73958"/>
    <w:rsid w:val="558A2919"/>
    <w:rsid w:val="55D1023B"/>
    <w:rsid w:val="55E55DA1"/>
    <w:rsid w:val="566A0472"/>
    <w:rsid w:val="56B365F2"/>
    <w:rsid w:val="571C1C97"/>
    <w:rsid w:val="577473DD"/>
    <w:rsid w:val="57EE76DD"/>
    <w:rsid w:val="585711D8"/>
    <w:rsid w:val="58AD279A"/>
    <w:rsid w:val="58C4394C"/>
    <w:rsid w:val="58D418CA"/>
    <w:rsid w:val="59030A18"/>
    <w:rsid w:val="59205D38"/>
    <w:rsid w:val="59C94FB5"/>
    <w:rsid w:val="5C46174B"/>
    <w:rsid w:val="5CBA1D36"/>
    <w:rsid w:val="5D307EFB"/>
    <w:rsid w:val="5D942597"/>
    <w:rsid w:val="5DCB6DD4"/>
    <w:rsid w:val="5EC51967"/>
    <w:rsid w:val="5EFB1046"/>
    <w:rsid w:val="5F13397F"/>
    <w:rsid w:val="5F304531"/>
    <w:rsid w:val="5F7F5B76"/>
    <w:rsid w:val="60217911"/>
    <w:rsid w:val="60570CFE"/>
    <w:rsid w:val="60B414A2"/>
    <w:rsid w:val="60E60A94"/>
    <w:rsid w:val="61CF012A"/>
    <w:rsid w:val="62BB2173"/>
    <w:rsid w:val="63133F4E"/>
    <w:rsid w:val="64EF4296"/>
    <w:rsid w:val="670815C7"/>
    <w:rsid w:val="681D537C"/>
    <w:rsid w:val="69BE7A7D"/>
    <w:rsid w:val="69CD2D06"/>
    <w:rsid w:val="6A832EF5"/>
    <w:rsid w:val="6AAA7F05"/>
    <w:rsid w:val="6AAE27AE"/>
    <w:rsid w:val="6C846928"/>
    <w:rsid w:val="6D3C5791"/>
    <w:rsid w:val="6E02688E"/>
    <w:rsid w:val="6E550418"/>
    <w:rsid w:val="6E560B0F"/>
    <w:rsid w:val="6EF74724"/>
    <w:rsid w:val="6EFF47BA"/>
    <w:rsid w:val="6F394D3C"/>
    <w:rsid w:val="6F6E3FD1"/>
    <w:rsid w:val="6F705600"/>
    <w:rsid w:val="6FF46C64"/>
    <w:rsid w:val="708C17E3"/>
    <w:rsid w:val="70D24CB2"/>
    <w:rsid w:val="724B2FD5"/>
    <w:rsid w:val="727C1767"/>
    <w:rsid w:val="72B86D8A"/>
    <w:rsid w:val="72C65FB9"/>
    <w:rsid w:val="746F0F41"/>
    <w:rsid w:val="75091655"/>
    <w:rsid w:val="751C3136"/>
    <w:rsid w:val="76150602"/>
    <w:rsid w:val="76FC7D28"/>
    <w:rsid w:val="77992DA9"/>
    <w:rsid w:val="78E7601E"/>
    <w:rsid w:val="78F06C72"/>
    <w:rsid w:val="79C96773"/>
    <w:rsid w:val="7A195E96"/>
    <w:rsid w:val="7B191EC6"/>
    <w:rsid w:val="7C663B77"/>
    <w:rsid w:val="7C7535FD"/>
    <w:rsid w:val="7E17693C"/>
    <w:rsid w:val="7EBC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widowControl w:val="0"/>
      <w:spacing w:beforeLines="0" w:beforeAutospacing="0" w:afterLines="0" w:afterAutospacing="0" w:line="600" w:lineRule="exact"/>
      <w:ind w:firstLine="880" w:firstLineChars="200"/>
      <w:jc w:val="both"/>
      <w:outlineLvl w:val="1"/>
    </w:pPr>
    <w:rPr>
      <w:rFonts w:ascii="Arial" w:hAnsi="Arial" w:eastAsia="方正仿宋简体" w:cs="Times New Roman"/>
      <w:kern w:val="2"/>
      <w:sz w:val="21"/>
      <w:szCs w:val="24"/>
      <w:lang w:val="en-US" w:eastAsia="zh-CN" w:bidi="ar-SA"/>
    </w:rPr>
  </w:style>
  <w:style w:type="paragraph" w:styleId="4">
    <w:name w:val="heading 3"/>
    <w:basedOn w:val="1"/>
    <w:next w:val="1"/>
    <w:semiHidden/>
    <w:unhideWhenUsed/>
    <w:qFormat/>
    <w:uiPriority w:val="0"/>
    <w:pPr>
      <w:keepNext/>
      <w:keepLines/>
      <w:spacing w:line="560" w:lineRule="exact"/>
      <w:outlineLvl w:val="2"/>
    </w:pPr>
    <w:rPr>
      <w:rFonts w:eastAsia="楷体"/>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_Style 2"/>
    <w:basedOn w:val="1"/>
    <w:qFormat/>
    <w:uiPriority w:val="34"/>
    <w:pPr>
      <w:ind w:firstLine="420" w:firstLineChars="200"/>
    </w:pPr>
  </w:style>
  <w:style w:type="paragraph" w:styleId="5">
    <w:name w:val="List Number"/>
    <w:basedOn w:val="1"/>
    <w:qFormat/>
    <w:uiPriority w:val="0"/>
    <w:pPr>
      <w:numPr>
        <w:ilvl w:val="0"/>
        <w:numId w:val="1"/>
      </w:numPr>
    </w:pPr>
  </w:style>
  <w:style w:type="paragraph" w:styleId="6">
    <w:name w:val="toa heading"/>
    <w:basedOn w:val="1"/>
    <w:next w:val="1"/>
    <w:qFormat/>
    <w:uiPriority w:val="0"/>
    <w:pPr>
      <w:spacing w:before="120"/>
    </w:pPr>
    <w:rPr>
      <w:rFonts w:ascii="Arial" w:hAnsi="Arial" w:cs="Arial"/>
    </w:rPr>
  </w:style>
  <w:style w:type="paragraph" w:styleId="7">
    <w:name w:val="Body Text"/>
    <w:basedOn w:val="1"/>
    <w:qFormat/>
    <w:uiPriority w:val="0"/>
    <w:pPr>
      <w:ind w:left="120"/>
    </w:pPr>
    <w:rPr>
      <w:rFonts w:ascii="宋体" w:hAnsi="宋体"/>
      <w:sz w:val="32"/>
      <w:szCs w:val="32"/>
    </w:rPr>
  </w:style>
  <w:style w:type="paragraph" w:styleId="8">
    <w:name w:val="Body Text Indent"/>
    <w:basedOn w:val="1"/>
    <w:qFormat/>
    <w:uiPriority w:val="0"/>
    <w:pPr>
      <w:spacing w:after="120"/>
      <w:ind w:left="420" w:leftChars="200"/>
    </w:pPr>
  </w:style>
  <w:style w:type="paragraph" w:styleId="9">
    <w:name w:val="Plain Text"/>
    <w:basedOn w:val="1"/>
    <w:qFormat/>
    <w:uiPriority w:val="0"/>
    <w:rPr>
      <w:rFonts w:ascii="宋体" w:hAnsi="Courier New" w:eastAsia="宋体" w:cs="Times New Roman"/>
    </w:rPr>
  </w:style>
  <w:style w:type="paragraph" w:styleId="10">
    <w:name w:val="Body Text Indent 2"/>
    <w:basedOn w:val="1"/>
    <w:next w:val="11"/>
    <w:qFormat/>
    <w:uiPriority w:val="0"/>
    <w:pPr>
      <w:adjustRightInd w:val="0"/>
      <w:snapToGrid w:val="0"/>
      <w:spacing w:line="440" w:lineRule="atLeast"/>
      <w:ind w:firstLine="573"/>
    </w:pPr>
    <w:rPr>
      <w:rFonts w:ascii="宋体"/>
    </w:rPr>
  </w:style>
  <w:style w:type="paragraph" w:customStyle="1" w:styleId="11">
    <w:name w:val="简单回函地址"/>
    <w:basedOn w:val="1"/>
    <w:next w:val="12"/>
    <w:qFormat/>
    <w:uiPriority w:val="0"/>
    <w:rPr>
      <w:szCs w:val="20"/>
    </w:rPr>
  </w:style>
  <w:style w:type="paragraph" w:customStyle="1" w:styleId="12">
    <w:name w:val="正文2"/>
    <w:next w:val="1"/>
    <w:qFormat/>
    <w:uiPriority w:val="0"/>
    <w:pPr>
      <w:widowControl w:val="0"/>
      <w:suppressAutoHyphens/>
      <w:spacing w:line="520" w:lineRule="atLeast"/>
      <w:ind w:firstLine="680"/>
      <w:jc w:val="both"/>
    </w:pPr>
    <w:rPr>
      <w:rFonts w:ascii="Times New Roman" w:hAnsi="Times New Roman" w:eastAsia="宋体" w:cs="Times New Roman"/>
      <w:spacing w:val="18"/>
      <w:sz w:val="32"/>
      <w:lang w:val="en-US" w:eastAsia="zh-CN" w:bidi="ar-SA"/>
    </w:rPr>
  </w:style>
  <w:style w:type="paragraph" w:styleId="13">
    <w:name w:val="footer"/>
    <w:basedOn w:val="1"/>
    <w:next w:val="1"/>
    <w:qFormat/>
    <w:uiPriority w:val="0"/>
    <w:pPr>
      <w:tabs>
        <w:tab w:val="center" w:pos="4153"/>
        <w:tab w:val="right" w:pos="8306"/>
      </w:tabs>
      <w:snapToGrid w:val="0"/>
      <w:jc w:val="left"/>
    </w:pPr>
    <w:rPr>
      <w:sz w:val="18"/>
    </w:rPr>
  </w:style>
  <w:style w:type="paragraph" w:styleId="14">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6"/>
    <w:basedOn w:val="1"/>
    <w:next w:val="1"/>
    <w:qFormat/>
    <w:uiPriority w:val="0"/>
    <w:pPr>
      <w:ind w:left="2100"/>
    </w:pPr>
    <w:rPr>
      <w:rFonts w:ascii="楷体_GB2312" w:hAnsi="Calibri" w:eastAsia="楷体_GB2312"/>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8"/>
    <w:qFormat/>
    <w:uiPriority w:val="0"/>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常用样式（方正仿宋简）"/>
    <w:basedOn w:val="22"/>
    <w:next w:val="1"/>
    <w:qFormat/>
    <w:uiPriority w:val="0"/>
    <w:pPr>
      <w:spacing w:line="560" w:lineRule="exact"/>
      <w:ind w:firstLine="640" w:firstLineChars="200"/>
    </w:pPr>
    <w:rPr>
      <w:rFonts w:ascii="Times New Roman" w:hAnsi="Times New Roman" w:eastAsia="方正仿宋简体"/>
      <w:sz w:val="32"/>
    </w:rPr>
  </w:style>
  <w:style w:type="paragraph" w:customStyle="1" w:styleId="22">
    <w:name w:val="正文1"/>
    <w:next w:val="2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footer1"/>
    <w:basedOn w:val="1"/>
    <w:qFormat/>
    <w:uiPriority w:val="99"/>
    <w:pPr>
      <w:widowControl/>
      <w:tabs>
        <w:tab w:val="center" w:pos="4153"/>
        <w:tab w:val="right" w:pos="8306"/>
      </w:tabs>
      <w:snapToGrid w:val="0"/>
      <w:spacing w:line="560" w:lineRule="exact"/>
    </w:pPr>
    <w:rPr>
      <w:rFonts w:ascii="Times New Roman" w:hAnsi="Times New Roman"/>
      <w:sz w:val="18"/>
    </w:rPr>
  </w:style>
  <w:style w:type="paragraph" w:customStyle="1" w:styleId="25">
    <w:name w:val="Normal_37"/>
    <w:qFormat/>
    <w:uiPriority w:val="0"/>
    <w:pPr>
      <w:spacing w:before="120" w:after="240"/>
      <w:jc w:val="both"/>
    </w:pPr>
    <w:rPr>
      <w:rFonts w:ascii="Calibri" w:hAnsi="Calibri" w:eastAsia="Calibri" w:cs="Times New Roman"/>
      <w:sz w:val="22"/>
      <w:szCs w:val="22"/>
      <w:lang w:val="ru-RU" w:eastAsia="en-US" w:bidi="ar-SA"/>
    </w:rPr>
  </w:style>
  <w:style w:type="character" w:customStyle="1" w:styleId="26">
    <w:name w:val="font21"/>
    <w:basedOn w:val="20"/>
    <w:qFormat/>
    <w:uiPriority w:val="0"/>
    <w:rPr>
      <w:rFonts w:hint="eastAsia" w:ascii="宋体" w:hAnsi="宋体" w:eastAsia="宋体" w:cs="宋体"/>
      <w:color w:val="000000"/>
      <w:sz w:val="20"/>
      <w:szCs w:val="20"/>
      <w:u w:val="none"/>
    </w:rPr>
  </w:style>
  <w:style w:type="paragraph" w:customStyle="1" w:styleId="27">
    <w:name w:val=" Char Char Char Char Char Char"/>
    <w:qFormat/>
    <w:uiPriority w:val="0"/>
    <w:pPr>
      <w:widowControl w:val="0"/>
      <w:spacing w:line="240" w:lineRule="atLeast"/>
      <w:ind w:left="420" w:firstLine="420"/>
      <w:jc w:val="both"/>
    </w:pPr>
    <w:rPr>
      <w:rFonts w:ascii="Calibri" w:hAnsi="Calibri" w:eastAsia="宋体" w:cs="Times New Roman"/>
      <w:kern w:val="2"/>
      <w:sz w:val="21"/>
      <w:szCs w:val="24"/>
      <w:lang w:val="en-US" w:eastAsia="zh-CN" w:bidi="ar-SA"/>
    </w:rPr>
  </w:style>
  <w:style w:type="character" w:customStyle="1" w:styleId="28">
    <w:name w:val="font71"/>
    <w:basedOn w:val="20"/>
    <w:qFormat/>
    <w:uiPriority w:val="0"/>
    <w:rPr>
      <w:rFonts w:hint="eastAsia" w:ascii="宋体" w:hAnsi="宋体" w:eastAsia="宋体" w:cs="宋体"/>
      <w:color w:val="000000"/>
      <w:sz w:val="22"/>
      <w:szCs w:val="22"/>
      <w:u w:val="none"/>
    </w:rPr>
  </w:style>
  <w:style w:type="paragraph" w:customStyle="1" w:styleId="29">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867</Words>
  <Characters>895</Characters>
  <Lines>0</Lines>
  <Paragraphs>0</Paragraphs>
  <TotalTime>8</TotalTime>
  <ScaleCrop>false</ScaleCrop>
  <LinksUpToDate>false</LinksUpToDate>
  <CharactersWithSpaces>904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2023-01-06T07:22:00Z</dcterms:created>
  <dc:creator>pc</dc:creator>
  <cp:lastModifiedBy>小青年</cp:lastModifiedBy>
  <cp:lastPrinted>2023-09-26T01:21:00Z</cp:lastPrinted>
  <dcterms:modified xsi:type="dcterms:W3CDTF">2023-09-26T01:29:04Z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770FC33594934BA7A1849BCD676E20C8_13</vt:lpwstr>
  </property>
</Properties>
</file>