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eastAsia" w:ascii="方正小标宋_GBK" w:eastAsia="方正小标宋_GBK" w:cs="方正小标宋_GBK"/>
          <w:color w:val="000000"/>
          <w:spacing w:val="-6"/>
          <w:sz w:val="44"/>
          <w:szCs w:val="44"/>
        </w:rPr>
      </w:pPr>
      <w:bookmarkStart w:id="0" w:name="_Hlk77258215"/>
      <w:bookmarkEnd w:id="0"/>
      <w:r>
        <w:rPr>
          <w:rFonts w:hint="eastAsia" w:ascii="方正小标宋_GBK" w:eastAsia="方正小标宋_GBK" w:cs="方正小标宋_GBK"/>
          <w:color w:val="000000"/>
          <w:spacing w:val="-6"/>
          <w:sz w:val="44"/>
          <w:szCs w:val="44"/>
          <w:lang w:val="en-US" w:eastAsia="zh-CN"/>
        </w:rPr>
        <w:t>大英县</w:t>
      </w:r>
      <w:r>
        <w:rPr>
          <w:rFonts w:hint="eastAsia" w:ascii="方正小标宋_GBK" w:eastAsia="方正小标宋_GBK" w:cs="方正小标宋_GBK"/>
          <w:color w:val="000000"/>
          <w:spacing w:val="-6"/>
          <w:sz w:val="44"/>
          <w:szCs w:val="44"/>
        </w:rPr>
        <w:t>农业系统安全生产“</w:t>
      </w:r>
      <w:r>
        <w:rPr>
          <w:rFonts w:hint="eastAsia" w:ascii="方正小标宋_GBK" w:eastAsia="方正小标宋_GBK" w:cs="方正小标宋_GBK"/>
          <w:color w:val="000000"/>
          <w:spacing w:val="-6"/>
          <w:sz w:val="44"/>
          <w:szCs w:val="44"/>
          <w:lang w:val="en-US" w:eastAsia="zh-CN"/>
        </w:rPr>
        <w:t>百日攻坚</w:t>
      </w:r>
      <w:r>
        <w:rPr>
          <w:rFonts w:hint="eastAsia" w:ascii="方正小标宋_GBK" w:eastAsia="方正小标宋_GBK" w:cs="方正小标宋_GBK"/>
          <w:color w:val="000000"/>
          <w:spacing w:val="-6"/>
          <w:sz w:val="44"/>
          <w:szCs w:val="44"/>
        </w:rPr>
        <w:t>”</w:t>
      </w:r>
    </w:p>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eastAsia" w:ascii="方正小标宋_GBK" w:eastAsia="方正小标宋_GBK" w:cs="方正小标宋_GBK"/>
          <w:color w:val="000000"/>
          <w:spacing w:val="-6"/>
          <w:sz w:val="44"/>
          <w:szCs w:val="44"/>
        </w:rPr>
      </w:pPr>
      <w:r>
        <w:rPr>
          <w:rFonts w:hint="eastAsia" w:ascii="方正小标宋_GBK" w:eastAsia="方正小标宋_GBK" w:cs="方正小标宋_GBK"/>
          <w:color w:val="000000"/>
          <w:spacing w:val="-6"/>
          <w:sz w:val="44"/>
          <w:szCs w:val="44"/>
        </w:rPr>
        <w:t>行动实施方案</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lang w:bidi="ar-SA"/>
          <w14:textFill>
            <w14:solidFill>
              <w14:schemeClr w14:val="tx1"/>
            </w14:solidFill>
          </w14:textFill>
        </w:rPr>
      </w:pPr>
      <w:r>
        <w:rPr>
          <w:rFonts w:hint="default" w:ascii="Times New Roman" w:hAnsi="Times New Roman" w:eastAsia="仿宋_GB2312" w:cs="Times New Roman"/>
          <w:color w:val="000000" w:themeColor="text1"/>
          <w:sz w:val="32"/>
          <w:szCs w:val="32"/>
          <w:lang w:bidi="ar-SA"/>
          <w14:textFill>
            <w14:solidFill>
              <w14:schemeClr w14:val="tx1"/>
            </w14:solidFill>
          </w14:textFill>
        </w:rPr>
        <w:t>为认真贯彻落实习近平总书记来川视察重要指示精神及关于安全生产工作的重要</w:t>
      </w:r>
      <w:r>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t>论述和</w:t>
      </w:r>
      <w:r>
        <w:rPr>
          <w:rFonts w:hint="default" w:ascii="Times New Roman" w:hAnsi="Times New Roman" w:eastAsia="仿宋_GB2312" w:cs="Times New Roman"/>
          <w:color w:val="000000" w:themeColor="text1"/>
          <w:sz w:val="32"/>
          <w:szCs w:val="32"/>
          <w:lang w:bidi="ar-SA"/>
          <w14:textFill>
            <w14:solidFill>
              <w14:schemeClr w14:val="tx1"/>
            </w14:solidFill>
          </w14:textFill>
        </w:rPr>
        <w:t>指示批示精神，全面落实近期国省市安全生产会议精神，以整改国务院安委会综合检查组第十五组来川督导暗访检查发现问题隐患工作为契机，举一反三，</w:t>
      </w:r>
      <w:r>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t>全域、全面、全流程排查</w:t>
      </w:r>
      <w:r>
        <w:rPr>
          <w:rFonts w:hint="default" w:ascii="Times New Roman" w:hAnsi="Times New Roman" w:eastAsia="仿宋_GB2312" w:cs="Times New Roman"/>
          <w:color w:val="000000" w:themeColor="text1"/>
          <w:sz w:val="32"/>
          <w:szCs w:val="32"/>
          <w:lang w:bidi="ar-SA"/>
          <w14:textFill>
            <w14:solidFill>
              <w14:schemeClr w14:val="tx1"/>
            </w14:solidFill>
          </w14:textFill>
        </w:rPr>
        <w:t>整治各类安全隐患，有效防范化解风险，决定从即日起开展</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农业行业</w:t>
      </w:r>
      <w:r>
        <w:rPr>
          <w:rFonts w:hint="default" w:ascii="Times New Roman" w:hAnsi="Times New Roman" w:eastAsia="仿宋_GB2312" w:cs="Times New Roman"/>
          <w:color w:val="000000" w:themeColor="text1"/>
          <w:sz w:val="32"/>
          <w:szCs w:val="32"/>
          <w:lang w:bidi="ar-SA"/>
          <w14:textFill>
            <w14:solidFill>
              <w14:schemeClr w14:val="tx1"/>
            </w14:solidFill>
          </w14:textFill>
        </w:rPr>
        <w:t>安全生产“百日攻坚”行动，</w:t>
      </w:r>
      <w:r>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t>特</w:t>
      </w:r>
      <w:r>
        <w:rPr>
          <w:rFonts w:hint="default" w:ascii="Times New Roman" w:hAnsi="Times New Roman" w:eastAsia="仿宋_GB2312" w:cs="Times New Roman"/>
          <w:color w:val="000000" w:themeColor="text1"/>
          <w:sz w:val="32"/>
          <w:szCs w:val="32"/>
          <w:lang w:bidi="ar-SA"/>
          <w14:textFill>
            <w14:solidFill>
              <w14:schemeClr w14:val="tx1"/>
            </w14:solidFill>
          </w14:textFill>
        </w:rPr>
        <w:t>制定本方案。</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 、工作目标</w:t>
      </w:r>
    </w:p>
    <w:p>
      <w:pPr>
        <w:keepNext w:val="0"/>
        <w:keepLines w:val="0"/>
        <w:pageBreakBefore w:val="0"/>
        <w:widowControl w:val="0"/>
        <w:wordWrap/>
        <w:overflow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lang w:bidi="ar-SA"/>
          <w14:textFill>
            <w14:solidFill>
              <w14:schemeClr w14:val="tx1"/>
            </w14:solidFill>
          </w14:textFill>
        </w:rPr>
      </w:pPr>
      <w:r>
        <w:rPr>
          <w:rFonts w:hint="default" w:ascii="Times New Roman" w:hAnsi="Times New Roman" w:eastAsia="仿宋_GB2312" w:cs="Times New Roman"/>
          <w:color w:val="000000" w:themeColor="text1"/>
          <w:sz w:val="32"/>
          <w:szCs w:val="32"/>
          <w:lang w:bidi="ar-SA"/>
          <w14:textFill>
            <w14:solidFill>
              <w14:schemeClr w14:val="tx1"/>
            </w14:solidFill>
          </w14:textFill>
        </w:rPr>
        <w:t>坚持以习近平总书记来川视察重要指示精神及关于安全生产工作的重要</w:t>
      </w:r>
      <w:r>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t>论述和</w:t>
      </w:r>
      <w:r>
        <w:rPr>
          <w:rFonts w:hint="default" w:ascii="Times New Roman" w:hAnsi="Times New Roman" w:eastAsia="仿宋_GB2312" w:cs="Times New Roman"/>
          <w:color w:val="000000" w:themeColor="text1"/>
          <w:sz w:val="32"/>
          <w:szCs w:val="32"/>
          <w:lang w:bidi="ar-SA"/>
          <w14:textFill>
            <w14:solidFill>
              <w14:schemeClr w14:val="tx1"/>
            </w14:solidFill>
          </w14:textFill>
        </w:rPr>
        <w:t>指示批示精神为指引，强化</w:t>
      </w:r>
      <w:r>
        <w:rPr>
          <w:rFonts w:hint="eastAsia" w:ascii="Times New Roman" w:hAnsi="Times New Roman" w:eastAsia="仿宋_GB2312" w:cs="Times New Roman"/>
          <w:color w:val="000000" w:themeColor="text1"/>
          <w:sz w:val="32"/>
          <w:szCs w:val="32"/>
          <w:lang w:eastAsia="zh-CN" w:bidi="ar-SA"/>
          <w14:textFill>
            <w14:solidFill>
              <w14:schemeClr w14:val="tx1"/>
            </w14:solidFill>
          </w14:textFill>
        </w:rPr>
        <w:t>农业</w:t>
      </w:r>
      <w:r>
        <w:rPr>
          <w:rFonts w:hint="default" w:ascii="Times New Roman" w:hAnsi="Times New Roman" w:eastAsia="仿宋_GB2312" w:cs="Times New Roman"/>
          <w:color w:val="000000" w:themeColor="text1"/>
          <w:sz w:val="32"/>
          <w:szCs w:val="32"/>
          <w:lang w:bidi="ar-SA"/>
          <w14:textFill>
            <w14:solidFill>
              <w14:schemeClr w14:val="tx1"/>
            </w14:solidFill>
          </w14:textFill>
        </w:rPr>
        <w:t>安全生产党政领导责任、部门安全监管责任和企业主体责任落实，牢固树立“人民至上 生命至上”理念和安全生产底线思维、极限思维及红线意识，按照“从根本上消除事故隐患、从根本上解决问题”要求，巩固重视事故隐患专项排查整治前期和成都大运会安全生产工作取得的成效，以重大事故隐患专项排查整治部门精准执法与督导检查阶段工作为主线，紧紧围绕全县</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农业行业</w:t>
      </w:r>
      <w:r>
        <w:rPr>
          <w:rFonts w:hint="default" w:ascii="Times New Roman" w:hAnsi="Times New Roman" w:eastAsia="仿宋_GB2312" w:cs="Times New Roman"/>
          <w:color w:val="000000" w:themeColor="text1"/>
          <w:sz w:val="32"/>
          <w:szCs w:val="32"/>
          <w:lang w:bidi="ar-SA"/>
          <w14:textFill>
            <w14:solidFill>
              <w14:schemeClr w14:val="tx1"/>
            </w14:solidFill>
          </w14:textFill>
        </w:rPr>
        <w:t>重点领域，深入推进双重预防机制建设，继续开展全方面、地毯式排查整治各类安全隐患，有效管控风险，坚决遏制较大及以上生产安全事故发生，切实保障人民群众生命财产安全。</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 时间安排</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即日起</w:t>
      </w:r>
      <w:r>
        <w:rPr>
          <w:rFonts w:hint="default" w:ascii="Times New Roman" w:hAnsi="Times New Roman" w:eastAsia="仿宋_GB2312" w:cs="Times New Roman"/>
          <w:color w:val="000000" w:themeColor="text1"/>
          <w:sz w:val="32"/>
          <w:szCs w:val="32"/>
          <w14:textFill>
            <w14:solidFill>
              <w14:schemeClr w14:val="tx1"/>
            </w14:solidFill>
          </w14:textFill>
        </w:rPr>
        <w:t>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30日</w:t>
      </w:r>
      <w:r>
        <w:rPr>
          <w:rFonts w:hint="default" w:ascii="Times New Roman" w:hAnsi="Times New Roman" w:eastAsia="仿宋_GB2312" w:cs="Times New Roman"/>
          <w:color w:val="000000" w:themeColor="text1"/>
          <w:sz w:val="32"/>
          <w:szCs w:val="32"/>
          <w14:textFill>
            <w14:solidFill>
              <w14:schemeClr w14:val="tx1"/>
            </w14:solidFill>
          </w14:textFill>
        </w:rPr>
        <w:t>，在全系统开展为期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100天</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百日攻坚</w:t>
      </w:r>
      <w:r>
        <w:rPr>
          <w:rFonts w:hint="default" w:ascii="Times New Roman" w:hAnsi="Times New Roman" w:eastAsia="仿宋_GB2312" w:cs="Times New Roman"/>
          <w:color w:val="000000" w:themeColor="text1"/>
          <w:sz w:val="32"/>
          <w:szCs w:val="32"/>
          <w14:textFill>
            <w14:solidFill>
              <w14:schemeClr w14:val="tx1"/>
            </w14:solidFill>
          </w14:textFill>
        </w:rPr>
        <w:t>”行动，分为四个阶段进行。</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企业自查自改阶段</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楷体_GB2312" w:cs="Times New Roman"/>
          <w:b/>
          <w:bCs/>
          <w:color w:val="000000" w:themeColor="text1"/>
          <w:sz w:val="32"/>
          <w:szCs w:val="32"/>
          <w14:textFill>
            <w14:solidFill>
              <w14:schemeClr w14:val="tx1"/>
            </w14:solidFill>
          </w14:textFill>
        </w:rPr>
        <w:t>月</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22</w:t>
      </w:r>
      <w:r>
        <w:rPr>
          <w:rFonts w:hint="default" w:ascii="Times New Roman" w:hAnsi="Times New Roman" w:eastAsia="楷体_GB2312" w:cs="Times New Roman"/>
          <w:b/>
          <w:bCs/>
          <w:color w:val="000000" w:themeColor="text1"/>
          <w:sz w:val="32"/>
          <w:szCs w:val="32"/>
          <w14:textFill>
            <w14:solidFill>
              <w14:schemeClr w14:val="tx1"/>
            </w14:solidFill>
          </w14:textFill>
        </w:rPr>
        <w:t>日至</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楷体_GB2312" w:cs="Times New Roman"/>
          <w:b/>
          <w:bCs/>
          <w:color w:val="000000" w:themeColor="text1"/>
          <w:sz w:val="32"/>
          <w:szCs w:val="32"/>
          <w14:textFill>
            <w14:solidFill>
              <w14:schemeClr w14:val="tx1"/>
            </w14:solidFill>
          </w14:textFill>
        </w:rPr>
        <w:t>月31日</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督促行业企业严格落实安全生产主体责任，结合企业自身实际，全面开展安全风险隐患辨识，采取有效措施管控安全风险，认真开展安全隐患及“三违”行为的自查自改自报，采取有 效措施及时管控、消除事故隐患，实现问题隐患闭环管理、动态清零。同时，督促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涉农</w:t>
      </w:r>
      <w:r>
        <w:rPr>
          <w:rFonts w:hint="default" w:ascii="Times New Roman" w:hAnsi="Times New Roman" w:eastAsia="仿宋_GB2312" w:cs="Times New Roman"/>
          <w:color w:val="000000" w:themeColor="text1"/>
          <w:sz w:val="32"/>
          <w:szCs w:val="32"/>
          <w14:textFill>
            <w14:solidFill>
              <w14:schemeClr w14:val="tx1"/>
            </w14:solidFill>
          </w14:textFill>
        </w:rPr>
        <w:t>企业加大安全生产投入，健全落实安全管理制度，强化员工教育培训，从根本上提升企业事故防范能力。</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二</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属地综合检查阶段</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楷体_GB2312" w:cs="Times New Roman"/>
          <w:b/>
          <w:bCs/>
          <w:color w:val="000000" w:themeColor="text1"/>
          <w:sz w:val="32"/>
          <w:szCs w:val="32"/>
          <w14:textFill>
            <w14:solidFill>
              <w14:schemeClr w14:val="tx1"/>
            </w14:solidFill>
          </w14:textFill>
        </w:rPr>
        <w:t>月1 日至</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楷体_GB2312" w:cs="Times New Roman"/>
          <w:b/>
          <w:bCs/>
          <w:color w:val="000000" w:themeColor="text1"/>
          <w:sz w:val="32"/>
          <w:szCs w:val="32"/>
          <w14:textFill>
            <w14:solidFill>
              <w14:schemeClr w14:val="tx1"/>
            </w14:solidFill>
          </w14:textFill>
        </w:rPr>
        <w:t>月</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30</w:t>
      </w:r>
      <w:r>
        <w:rPr>
          <w:rFonts w:hint="default" w:ascii="Times New Roman" w:hAnsi="Times New Roman" w:eastAsia="楷体_GB2312" w:cs="Times New Roman"/>
          <w:b/>
          <w:bCs/>
          <w:color w:val="000000" w:themeColor="text1"/>
          <w:sz w:val="32"/>
          <w:szCs w:val="32"/>
          <w14:textFill>
            <w14:solidFill>
              <w14:schemeClr w14:val="tx1"/>
            </w14:solidFill>
          </w14:textFill>
        </w:rPr>
        <w:t>日</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按照“属地管理”和“三管三必须”的原则，配合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安办或自行组织本行业企业开展综合检查，分级对高危行业领域以及其他行业的重点企业实行检查全覆盖。要以“强安2023”监管执法专项行动为抓手，快查严处企业存在的重大隐患及“三违” 行为，逗硬督促整改到位。综合运用联合惩戒、行政处罚、停产整顿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公开曝光等手段，严厉打击各类违法违规行为，坚决防范 遏制各类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涉农</w:t>
      </w:r>
      <w:r>
        <w:rPr>
          <w:rFonts w:hint="default" w:ascii="Times New Roman" w:hAnsi="Times New Roman" w:eastAsia="仿宋_GB2312" w:cs="Times New Roman"/>
          <w:color w:val="000000" w:themeColor="text1"/>
          <w:sz w:val="32"/>
          <w:szCs w:val="32"/>
          <w14:textFill>
            <w14:solidFill>
              <w14:schemeClr w14:val="tx1"/>
            </w14:solidFill>
          </w14:textFill>
        </w:rPr>
        <w:t>生产安全事故发生。届时局机关将组织开展督导涉农企业，各行业管理部门、镇畜牧兽医站的工作落实情况，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对发现的问题进行通报，</w:t>
      </w:r>
      <w:r>
        <w:rPr>
          <w:rFonts w:hint="default" w:ascii="Times New Roman" w:hAnsi="Times New Roman" w:eastAsia="仿宋_GB2312" w:cs="Times New Roman"/>
          <w:color w:val="000000" w:themeColor="text1"/>
          <w:sz w:val="32"/>
          <w:szCs w:val="32"/>
          <w14:textFill>
            <w14:solidFill>
              <w14:schemeClr w14:val="tx1"/>
            </w14:solidFill>
          </w14:textFill>
        </w:rPr>
        <w:t>确保工作有效落实。</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三</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驻扎式督导阶段</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10</w:t>
      </w:r>
      <w:r>
        <w:rPr>
          <w:rFonts w:hint="default" w:ascii="Times New Roman" w:hAnsi="Times New Roman" w:eastAsia="楷体_GB2312" w:cs="Times New Roman"/>
          <w:b/>
          <w:bCs/>
          <w:color w:val="000000" w:themeColor="text1"/>
          <w:sz w:val="32"/>
          <w:szCs w:val="32"/>
          <w14:textFill>
            <w14:solidFill>
              <w14:schemeClr w14:val="tx1"/>
            </w14:solidFill>
          </w14:textFill>
        </w:rPr>
        <w:t>月</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bCs/>
          <w:color w:val="000000" w:themeColor="text1"/>
          <w:sz w:val="32"/>
          <w:szCs w:val="32"/>
          <w14:textFill>
            <w14:solidFill>
              <w14:schemeClr w14:val="tx1"/>
            </w14:solidFill>
          </w14:textFill>
        </w:rPr>
        <w:t xml:space="preserve"> 日至</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10</w:t>
      </w:r>
      <w:r>
        <w:rPr>
          <w:rFonts w:hint="default" w:ascii="Times New Roman" w:hAnsi="Times New Roman" w:eastAsia="楷体_GB2312" w:cs="Times New Roman"/>
          <w:b/>
          <w:bCs/>
          <w:color w:val="000000" w:themeColor="text1"/>
          <w:sz w:val="32"/>
          <w:szCs w:val="32"/>
          <w14:textFill>
            <w14:solidFill>
              <w14:schemeClr w14:val="tx1"/>
            </w14:solidFill>
          </w14:textFill>
        </w:rPr>
        <w:t>月</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b/>
          <w:bCs/>
          <w:color w:val="000000" w:themeColor="text1"/>
          <w:sz w:val="32"/>
          <w:szCs w:val="32"/>
          <w14:textFill>
            <w14:solidFill>
              <w14:schemeClr w14:val="tx1"/>
            </w14:solidFill>
          </w14:textFill>
        </w:rPr>
        <w:t>0日</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“百日攻坚”行动</w:t>
      </w:r>
      <w:r>
        <w:rPr>
          <w:rFonts w:hint="default" w:ascii="Times New Roman" w:hAnsi="Times New Roman" w:eastAsia="仿宋_GB2312" w:cs="Times New Roman"/>
          <w:color w:val="000000" w:themeColor="text1"/>
          <w:sz w:val="32"/>
          <w:szCs w:val="32"/>
          <w14:textFill>
            <w14:solidFill>
              <w14:schemeClr w14:val="tx1"/>
            </w14:solidFill>
          </w14:textFill>
        </w:rPr>
        <w:t>期间，省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w:t>
      </w:r>
      <w:r>
        <w:rPr>
          <w:rFonts w:hint="default" w:ascii="Times New Roman" w:hAnsi="Times New Roman" w:eastAsia="仿宋_GB2312" w:cs="Times New Roman"/>
          <w:color w:val="000000" w:themeColor="text1"/>
          <w:sz w:val="32"/>
          <w:szCs w:val="32"/>
          <w14:textFill>
            <w14:solidFill>
              <w14:schemeClr w14:val="tx1"/>
            </w14:solidFill>
          </w14:textFill>
        </w:rPr>
        <w:t>安委会有关部门安全生产执法人员、专业技术人员、行业专家等为成员的督导组，采取“四不两直”“三带三查”以及召开座谈会、个别谈话、查阅资料、 现场核查检查等方式，对我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县农业行业安全主管</w:t>
      </w:r>
      <w:r>
        <w:rPr>
          <w:rFonts w:hint="default" w:ascii="Times New Roman" w:hAnsi="Times New Roman" w:eastAsia="仿宋_GB2312" w:cs="Times New Roman"/>
          <w:color w:val="000000" w:themeColor="text1"/>
          <w:sz w:val="32"/>
          <w:szCs w:val="32"/>
          <w14:textFill>
            <w14:solidFill>
              <w14:schemeClr w14:val="tx1"/>
            </w14:solidFill>
          </w14:textFill>
        </w:rPr>
        <w:t>部门贯彻落实习近平总书记关于安全生产工作的重要指示批示精神，以及“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百日攻坚</w:t>
      </w:r>
      <w:r>
        <w:rPr>
          <w:rFonts w:hint="default" w:ascii="Times New Roman" w:hAnsi="Times New Roman" w:eastAsia="仿宋_GB2312" w:cs="Times New Roman"/>
          <w:color w:val="000000" w:themeColor="text1"/>
          <w:sz w:val="32"/>
          <w:szCs w:val="32"/>
          <w14:textFill>
            <w14:solidFill>
              <w14:schemeClr w14:val="tx1"/>
            </w14:solidFill>
          </w14:textFill>
        </w:rPr>
        <w:t>”行动工作落实情况，开展驻扎式督导检查；市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安委会综合督导组将下沉一线与省督导组同步开展督导，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县安委办也要对</w:t>
      </w:r>
      <w:r>
        <w:rPr>
          <w:rFonts w:hint="default" w:ascii="Times New Roman" w:hAnsi="Times New Roman" w:eastAsia="仿宋_GB2312" w:cs="Times New Roman"/>
          <w:color w:val="000000" w:themeColor="text1"/>
          <w:sz w:val="32"/>
          <w:szCs w:val="32"/>
          <w14:textFill>
            <w14:solidFill>
              <w14:schemeClr w14:val="tx1"/>
            </w14:solidFill>
          </w14:textFill>
        </w:rPr>
        <w:t>农业农村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行业主管</w:t>
      </w:r>
      <w:r>
        <w:rPr>
          <w:rFonts w:hint="default" w:ascii="Times New Roman" w:hAnsi="Times New Roman" w:eastAsia="仿宋_GB2312" w:cs="Times New Roman"/>
          <w:color w:val="000000" w:themeColor="text1"/>
          <w:sz w:val="32"/>
          <w:szCs w:val="32"/>
          <w14:textFill>
            <w14:solidFill>
              <w14:schemeClr w14:val="tx1"/>
            </w14:solidFill>
          </w14:textFill>
        </w:rPr>
        <w:t>部门组织开展督查检查，全系统要切实形成工作合力，全力推动“百日攻坚”行动，坚决杜绝安全排查走过场、隐患整改摆花架子。</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四</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总结提高阶段</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11</w:t>
      </w:r>
      <w:r>
        <w:rPr>
          <w:rFonts w:hint="default" w:ascii="Times New Roman" w:hAnsi="Times New Roman" w:eastAsia="楷体_GB2312" w:cs="Times New Roman"/>
          <w:b/>
          <w:bCs/>
          <w:color w:val="000000" w:themeColor="text1"/>
          <w:sz w:val="32"/>
          <w:szCs w:val="32"/>
          <w14:textFill>
            <w14:solidFill>
              <w14:schemeClr w14:val="tx1"/>
            </w14:solidFill>
          </w14:textFill>
        </w:rPr>
        <w:t>月1日至</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11</w:t>
      </w:r>
      <w:r>
        <w:rPr>
          <w:rFonts w:hint="default" w:ascii="Times New Roman" w:hAnsi="Times New Roman" w:eastAsia="楷体_GB2312" w:cs="Times New Roman"/>
          <w:b/>
          <w:bCs/>
          <w:color w:val="000000" w:themeColor="text1"/>
          <w:sz w:val="32"/>
          <w:szCs w:val="32"/>
          <w14:textFill>
            <w14:solidFill>
              <w14:schemeClr w14:val="tx1"/>
            </w14:solidFill>
          </w14:textFill>
        </w:rPr>
        <w:t>月3</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0</w:t>
      </w:r>
      <w:r>
        <w:rPr>
          <w:rFonts w:hint="default" w:ascii="Times New Roman" w:hAnsi="Times New Roman" w:eastAsia="楷体_GB2312" w:cs="Times New Roman"/>
          <w:b/>
          <w:bCs/>
          <w:color w:val="000000" w:themeColor="text1"/>
          <w:sz w:val="32"/>
          <w:szCs w:val="32"/>
          <w14:textFill>
            <w14:solidFill>
              <w14:schemeClr w14:val="tx1"/>
            </w14:solidFill>
          </w14:textFill>
        </w:rPr>
        <w:t>日</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全面梳理总结集中整治专项行动形成的工作经验和取得的成效，深挖问题隐患根源，有针对性健全机制、完善制度，不断提升安全生产治理能力。</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 整治内容</w:t>
      </w:r>
    </w:p>
    <w:p>
      <w:pPr>
        <w:pStyle w:val="9"/>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76" w:lineRule="exact"/>
        <w:ind w:left="0"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农业机械安全。</w:t>
      </w:r>
      <w:r>
        <w:rPr>
          <w:rFonts w:hint="default" w:ascii="Times New Roman" w:hAnsi="Times New Roman" w:eastAsia="仿宋_GB2312" w:cs="Times New Roman"/>
          <w:color w:val="000000" w:themeColor="text1"/>
          <w:sz w:val="32"/>
          <w:szCs w:val="32"/>
          <w14:textFill>
            <w14:solidFill>
              <w14:schemeClr w14:val="tx1"/>
            </w14:solidFill>
          </w14:textFill>
        </w:rPr>
        <w:t xml:space="preserve">以农机合作社为重点，检查农机合作社清单制管理情况、机具牌证及年度检验情况、机具维修保养情况、 驾驶人持证及日常教育情况、机具库棚及农产品生产加工场所安 全管理情况，以及消防设施设备配备情况等；严格跨区作业农机 具安全管理，加强农机安全执法检查，严厉查处无牌无证、过期未检、违规载人等违法违规行为；积极配合公安交警、道安办部门，强化拖拉机特别是变型拖拉机道路安全管控，重点整治无牌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假牌、套牌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行驶、超速超载、违法载人、逾期年检审、驾驶 人无证驾驶、悬挂使用已注销拖拉机牌证及变型拖拉机违反禁令标志行驶等道路交通违法行为。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责任单位：县农机监理站，农业综合执法大队二中队</w:t>
      </w:r>
      <w:r>
        <w:rPr>
          <w:rFonts w:hint="default" w:ascii="Times New Roman" w:hAnsi="Times New Roman" w:eastAsia="仿宋_GB2312" w:cs="Times New Roman"/>
          <w:color w:val="000000" w:themeColor="text1"/>
          <w:sz w:val="32"/>
          <w:szCs w:val="32"/>
          <w14:textFill>
            <w14:solidFill>
              <w14:schemeClr w14:val="tx1"/>
            </w14:solidFill>
          </w14:textFill>
        </w:rPr>
        <w:t>〈逗号前为牵头单位，下同〉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渔业船舶安全。</w:t>
      </w:r>
      <w:r>
        <w:rPr>
          <w:rFonts w:hint="default" w:ascii="Times New Roman" w:hAnsi="Times New Roman" w:eastAsia="仿宋_GB2312" w:cs="Times New Roman"/>
          <w:color w:val="000000" w:themeColor="text1"/>
          <w:sz w:val="32"/>
          <w:szCs w:val="32"/>
          <w14:textFill>
            <w14:solidFill>
              <w14:schemeClr w14:val="tx1"/>
            </w14:solidFill>
          </w14:textFill>
        </w:rPr>
        <w:t xml:space="preserve"> 重点加强水产养殖基地隐患排查，严厉打击非法捕捞等违法行为，规范使用渔政船，杜绝“带病”执行公务； 加强水产养殖单位池埂、堤坝、进排水渠道、供电设施等安全管理；加强与交通部门的衔接与协调，积极配合交通运输部门开展执法，打击“三无”船舶非法捕捞行为，共同做好渔船登记检验监督管理工作。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责任单位：县水产站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农业综合执法大队二中队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农村沼气安全。</w:t>
      </w:r>
      <w:r>
        <w:rPr>
          <w:rFonts w:hint="default" w:ascii="Times New Roman" w:hAnsi="Times New Roman" w:eastAsia="仿宋_GB2312" w:cs="Times New Roman"/>
          <w:color w:val="000000" w:themeColor="text1"/>
          <w:sz w:val="32"/>
          <w:szCs w:val="32"/>
          <w14:textFill>
            <w14:solidFill>
              <w14:schemeClr w14:val="tx1"/>
            </w14:solidFill>
          </w14:textFill>
        </w:rPr>
        <w:t xml:space="preserve"> 重点加强“出料”“清池”“检修”等重点环节  安全管控和安全知识普及，采取切实措施，严禁未采取保护措施 进入沼气设施，坚决杜绝沼气窒息中毒事故发生；重点整治农村 沼气安全生产制度建设、管理台账，避雷、阻火、消防措施设备 配置，安全指示标识和安全围栏、盖板等安全防护设施，发酵罐、储气柜、输气管道泄漏等可能存在的安全隐患。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责任单位：县农村能源开发与利用中心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县动物疫病预防控制中心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畜禽养殖、畜禽屠宰、果蔬储藏安全。</w:t>
      </w:r>
      <w:r>
        <w:rPr>
          <w:rFonts w:hint="default" w:ascii="Times New Roman" w:hAnsi="Times New Roman" w:eastAsia="仿宋_GB2312" w:cs="Times New Roman"/>
          <w:color w:val="000000" w:themeColor="text1"/>
          <w:sz w:val="32"/>
          <w:szCs w:val="32"/>
          <w14:textFill>
            <w14:solidFill>
              <w14:schemeClr w14:val="tx1"/>
            </w14:solidFill>
          </w14:textFill>
        </w:rPr>
        <w:t>重点检查畜禽养殖 粪污贮存池，屠宰加工企业、农产品产地果蔬储藏库涉氨制冷设 施设备安装、使用、运行、维护等关键环节，严防化粪池中毒、机械伤害、触电、液氨泄漏等风险。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责任单位：县动物疫病预防控制中心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农业综合执法大队一中队、县农产品质量安全监督检验检测站、县农业产业与园区发展股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农药、饲料、兽</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渔</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药安全。</w:t>
      </w:r>
      <w:r>
        <w:rPr>
          <w:rFonts w:hint="default" w:ascii="Times New Roman" w:hAnsi="Times New Roman" w:eastAsia="仿宋_GB2312" w:cs="Times New Roman"/>
          <w:color w:val="000000" w:themeColor="text1"/>
          <w:sz w:val="32"/>
          <w:szCs w:val="32"/>
          <w14:textFill>
            <w14:solidFill>
              <w14:schemeClr w14:val="tx1"/>
            </w14:solidFill>
          </w14:textFill>
        </w:rPr>
        <w:t>重点检查易燃易爆原材料、高温高压容器、危险生产工艺及粉尘集中区域的安全检查，严防密闭空间粉尘爆炸风险。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责任单位：农业综合执法大队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农业综合执法大队一中队、县水产站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农业园区、休闲农业</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以农业生产为主体的体验观光农业</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 xml:space="preserve"> 区域非A 级景区、农业生产设施用房、农业在建工程项目安全。 </w:t>
      </w:r>
      <w:r>
        <w:rPr>
          <w:rFonts w:hint="default" w:ascii="Times New Roman" w:hAnsi="Times New Roman" w:eastAsia="仿宋_GB2312" w:cs="Times New Roman"/>
          <w:color w:val="000000" w:themeColor="text1"/>
          <w:sz w:val="32"/>
          <w:szCs w:val="32"/>
          <w14:textFill>
            <w14:solidFill>
              <w14:schemeClr w14:val="tx1"/>
            </w14:solidFill>
          </w14:textFill>
        </w:rPr>
        <w:t>要严格落实“三管三必须”要求，重点检查消防安全、燃气使用和重 大节假日人员聚集、农业工程项目建设过程安全防范预案、措施、设施设备等是否到位；配合文化旅游部门做好相关安全督导工作。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责任单位：农业产业与园区发展股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县现代农业发展服务中心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 重点工作</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一</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对习近平总书记关于安全生产重要指示批示精神贯彻 落实情况开展“回头看”。</w:t>
      </w:r>
      <w:r>
        <w:rPr>
          <w:rFonts w:hint="default" w:ascii="Times New Roman" w:hAnsi="Times New Roman" w:eastAsia="仿宋_GB2312" w:cs="Times New Roman"/>
          <w:color w:val="000000" w:themeColor="text1"/>
          <w:sz w:val="32"/>
          <w:szCs w:val="32"/>
          <w14:textFill>
            <w14:solidFill>
              <w14:schemeClr w14:val="tx1"/>
            </w14:solidFill>
          </w14:textFill>
        </w:rPr>
        <w:t>要深入学习贯彻落实习近平总书记关于安全生产重要指示批示精神，做到学深悟透、入脑入心、融会贯通，真正将学习成效转化为牢固的安全发展理念和切实有效的工作举措。要认真对照工作措施，全面检视学习贯彻情况、问题隐患整改落实情况、事故经验教训汲取情况。 要通过再学习、再警示、再反思、再发力，层层传导压力，持续 提高防范化解重大安全风险能力，坚决确保习近平总书记指示批示在我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县农业农村行业主管</w:t>
      </w:r>
      <w:r>
        <w:rPr>
          <w:rFonts w:hint="default" w:ascii="Times New Roman" w:hAnsi="Times New Roman" w:eastAsia="仿宋_GB2312" w:cs="Times New Roman"/>
          <w:color w:val="000000" w:themeColor="text1"/>
          <w:sz w:val="32"/>
          <w:szCs w:val="32"/>
          <w14:textFill>
            <w14:solidFill>
              <w14:schemeClr w14:val="tx1"/>
            </w14:solidFill>
          </w14:textFill>
        </w:rPr>
        <w:t>部门落地落实。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二</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狠抓企业主体责任落实。</w:t>
      </w:r>
      <w:r>
        <w:rPr>
          <w:rFonts w:hint="default" w:ascii="Times New Roman" w:hAnsi="Times New Roman" w:eastAsia="仿宋_GB2312" w:cs="Times New Roman"/>
          <w:color w:val="000000" w:themeColor="text1"/>
          <w:sz w:val="32"/>
          <w:szCs w:val="32"/>
          <w14:textFill>
            <w14:solidFill>
              <w14:schemeClr w14:val="tx1"/>
            </w14:solidFill>
          </w14:textFill>
        </w:rPr>
        <w:t>要认真开展“企业主体责任年”活动，持续深化安全生产清单制管理，按照省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部署加快推进清单制信息化建设，进一步健全监管责任清单以及企业主体责任清单，严格照单履责、按单办事。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指导</w:t>
      </w:r>
      <w:r>
        <w:rPr>
          <w:rFonts w:hint="default" w:ascii="Times New Roman" w:hAnsi="Times New Roman" w:eastAsia="仿宋_GB2312" w:cs="Times New Roman"/>
          <w:color w:val="000000" w:themeColor="text1"/>
          <w:sz w:val="32"/>
          <w:szCs w:val="32"/>
          <w14:textFill>
            <w14:solidFill>
              <w14:schemeClr w14:val="tx1"/>
            </w14:solidFill>
          </w14:textFill>
        </w:rPr>
        <w:t>各企业必须建立健全风险分 级管控和隐患排查治理双重预防机制，定期开展安全风险评估和 危害辨识，对辨识出的风险进行动态分级管理，落实风险管控措施，常态化开展隐患自查自报自改，不断提升隐患排查整改质量； 要大力推进安全生产标准化建设，不断提高企业本质安全水平和事故防范能力。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三</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全面排查治理安全隐患。</w:t>
      </w:r>
      <w:r>
        <w:rPr>
          <w:rFonts w:hint="default" w:ascii="Times New Roman" w:hAnsi="Times New Roman" w:eastAsia="仿宋_GB2312" w:cs="Times New Roman"/>
          <w:color w:val="000000" w:themeColor="text1"/>
          <w:sz w:val="32"/>
          <w:szCs w:val="32"/>
          <w14:textFill>
            <w14:solidFill>
              <w14:schemeClr w14:val="tx1"/>
            </w14:solidFill>
          </w14:textFill>
        </w:rPr>
        <w:t>要认真部署并组织开展安全生产专项整治三年行动计划“回头看”,持续推进安全生产重大隐患专项整治，组 织专业力量全面排查治理风险隐患。对排查出的问题和隐患，能够立即整改的要立行立改， 一时不能整改的要严格按照责任、措施、资金、时限、预案“五落实”要求推进整改落实；对本行业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领域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重大隐患进行分级挂牌督办，强化整改全过程安全管控，对隐患整改情况及时开展“回 头看”,确保隐患动态清零、真改实改，严防因整改不及时、不到位而引发生产安全事故。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四</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强化风险研判管控。</w:t>
      </w:r>
      <w:r>
        <w:rPr>
          <w:rFonts w:hint="default" w:ascii="Times New Roman" w:hAnsi="Times New Roman" w:eastAsia="仿宋_GB2312" w:cs="Times New Roman"/>
          <w:color w:val="000000" w:themeColor="text1"/>
          <w:sz w:val="32"/>
          <w:szCs w:val="32"/>
          <w14:textFill>
            <w14:solidFill>
              <w14:schemeClr w14:val="tx1"/>
            </w14:solidFill>
          </w14:textFill>
        </w:rPr>
        <w:t>要针对本地区、本行业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领域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、本企业安全生产现状和季节性特点，深入分析研判安全形势，全面研究掌握安全生产规律，找 准安全风险点和监管薄弱环节，聚焦痛点难点问题持续发力，迅 速采取行之有效的风险管控措施，全力以赴补短板、堵漏洞、防事故。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五</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重拳出击“打非治违”。</w:t>
      </w:r>
      <w:r>
        <w:rPr>
          <w:rFonts w:hint="default" w:ascii="Times New Roman" w:hAnsi="Times New Roman" w:eastAsia="仿宋_GB2312" w:cs="Times New Roman"/>
          <w:color w:val="000000" w:themeColor="text1"/>
          <w:sz w:val="32"/>
          <w:szCs w:val="32"/>
          <w14:textFill>
            <w14:solidFill>
              <w14:schemeClr w14:val="tx1"/>
            </w14:solidFill>
          </w14:textFill>
        </w:rPr>
        <w:t>要以“强安 2023”监管执法专项行动为抓手，严厉查处各类违法违规行为， 坚决杜绝安全监管执法“宽松软虚”问题。加大对易导致群死群伤 的重点行业领域以及不放心区域的执法检查频次和行政处罚力 度，对发生事故、频发事故的行业领域和企业， 一律按照新安全 生产法要求和“四不放过”原则，依法依规依纪进行处理，绝不姑息手软，以严管重罚倒逼企业落实主体责任。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六</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深化安全宣传教育。</w:t>
      </w:r>
      <w:r>
        <w:rPr>
          <w:rFonts w:hint="default" w:ascii="Times New Roman" w:hAnsi="Times New Roman" w:eastAsia="仿宋_GB2312" w:cs="Times New Roman"/>
          <w:color w:val="000000" w:themeColor="text1"/>
          <w:sz w:val="32"/>
          <w:szCs w:val="32"/>
          <w14:textFill>
            <w14:solidFill>
              <w14:schemeClr w14:val="tx1"/>
            </w14:solidFill>
          </w14:textFill>
        </w:rPr>
        <w:t>要结合“安全生产月”、安全生产宣传“五进”等活动，充分利用 LED、  网络、短信平台、微信群等载体和专题会议等方式，多角度、全方 位、常态化开展安全宣传教育，定期普及安全生产常识和应急救援技能。积极引导广大群众广泛参与支持安全生产宣传，实行有奖举报制度，畅通举报渠道，落实奖励措施，发挥好基层“吹哨人”作用，推动形成群防群治工作格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责任单位：政策法规和行业管理股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七</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切实强化应急准备。</w:t>
      </w:r>
      <w:r>
        <w:rPr>
          <w:rFonts w:hint="default" w:ascii="Times New Roman" w:hAnsi="Times New Roman" w:eastAsia="仿宋_GB2312" w:cs="Times New Roman"/>
          <w:color w:val="000000" w:themeColor="text1"/>
          <w:sz w:val="32"/>
          <w:szCs w:val="32"/>
          <w14:textFill>
            <w14:solidFill>
              <w14:schemeClr w14:val="tx1"/>
            </w14:solidFill>
          </w14:textFill>
        </w:rPr>
        <w:t>要始终保持临 战状态，严格执行领导带班和24小时值班值守制度以及突发事 件信息接报有关规定，加强应急力量建设，强化应急物资储备和管理，全面做好各项应急准备工作，确保及时响应、高效处置。 督促各企业及时修订完善各类应急预案，不断提升预案的针对 性、实用性，按有关规定和预案内容定期组织开展培训和应急演练，提升应急能力。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责任单位：政策法规和行业管理股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 工作要求</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一</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高度重视，统筹推进。</w:t>
      </w:r>
      <w:r>
        <w:rPr>
          <w:rFonts w:hint="default" w:ascii="Times New Roman" w:hAnsi="Times New Roman" w:eastAsia="仿宋_GB2312" w:cs="Times New Roman"/>
          <w:color w:val="000000" w:themeColor="text1"/>
          <w:sz w:val="32"/>
          <w:szCs w:val="32"/>
          <w14:textFill>
            <w14:solidFill>
              <w14:schemeClr w14:val="tx1"/>
            </w14:solidFill>
          </w14:textFill>
        </w:rPr>
        <w:t>全面加强对专项行动的组织领导，成立以“一把手”为组长的集中整治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工作领导小组</w:t>
      </w:r>
      <w:r>
        <w:rPr>
          <w:rFonts w:hint="default" w:ascii="Times New Roman" w:hAnsi="Times New Roman" w:eastAsia="仿宋_GB2312" w:cs="Times New Roman"/>
          <w:color w:val="000000" w:themeColor="text1"/>
          <w:sz w:val="32"/>
          <w:szCs w:val="32"/>
          <w14:textFill>
            <w14:solidFill>
              <w14:schemeClr w14:val="tx1"/>
            </w14:solidFill>
          </w14:textFill>
        </w:rPr>
        <w:t>，结合实际细化制定“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百日攻坚</w:t>
      </w:r>
      <w:r>
        <w:rPr>
          <w:rFonts w:hint="default" w:ascii="Times New Roman" w:hAnsi="Times New Roman" w:eastAsia="仿宋_GB2312" w:cs="Times New Roman"/>
          <w:color w:val="000000" w:themeColor="text1"/>
          <w:sz w:val="32"/>
          <w:szCs w:val="32"/>
          <w14:textFill>
            <w14:solidFill>
              <w14:schemeClr w14:val="tx1"/>
            </w14:solidFill>
          </w14:textFill>
        </w:rPr>
        <w:t>” 行动工作实施方案，切实将责任明确到具体岗位和人员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落实到最小工作单元。把专项行动与开展的重大事故隐患专项排查整治等专项整治行动紧密结合起来，统筹推进专项行动落地见效。</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二</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健全机制，标本兼治。</w:t>
      </w:r>
      <w:r>
        <w:rPr>
          <w:rFonts w:hint="default" w:ascii="Times New Roman" w:hAnsi="Times New Roman" w:eastAsia="仿宋_GB2312" w:cs="Times New Roman"/>
          <w:color w:val="000000" w:themeColor="text1"/>
          <w:sz w:val="32"/>
          <w:szCs w:val="32"/>
          <w14:textFill>
            <w14:solidFill>
              <w14:schemeClr w14:val="tx1"/>
            </w14:solidFill>
          </w14:textFill>
        </w:rPr>
        <w:t>以开展集中整治专项行动为契机，聚焦当前安全生产工作责任落实、风险 防控、隐患治理等方面存在的深层次问题，从制度机制层面进行完善提升、堵塞漏洞、强基固本，从根本上提高风险隐患排查整改质量以及发现问题、解决问题的强烈意愿和能力水平，不断强化关口前移、事前防范，着力将习近平总书记关于安全生产的重 要论述转化为治本举措，切实推进安全生产治理体系和治理能力现代化。</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3"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三</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强化督导，严格考核。为确保“百日攻坚”扎实有序推进，</w:t>
      </w:r>
      <w:r>
        <w:rPr>
          <w:rFonts w:hint="default" w:ascii="Times New Roman" w:hAnsi="Times New Roman" w:eastAsia="仿宋_GB2312" w:cs="Times New Roman"/>
          <w:color w:val="000000" w:themeColor="text1"/>
          <w:sz w:val="32"/>
          <w:szCs w:val="32"/>
          <w14:textFill>
            <w14:solidFill>
              <w14:schemeClr w14:val="tx1"/>
            </w14:solidFill>
          </w14:textFill>
        </w:rPr>
        <w:t>集中整治专项行动取得实效，届时将采取定期与不定期的方式深入各镇、各施工现场、各经营主体查看安全责任落实情况，安全隐患排查、整改情况，安全制度建立情况，切实将涉农行业安全事故遏制在萌芽状态。</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局属各单位，机关各股室</w:t>
      </w:r>
      <w:r>
        <w:rPr>
          <w:rFonts w:hint="default" w:ascii="Times New Roman" w:hAnsi="Times New Roman" w:eastAsia="仿宋_GB2312" w:cs="Times New Roman"/>
          <w:color w:val="000000" w:themeColor="text1"/>
          <w:sz w:val="32"/>
          <w:szCs w:val="32"/>
          <w14:textFill>
            <w14:solidFill>
              <w14:schemeClr w14:val="tx1"/>
            </w14:solidFill>
          </w14:textFill>
        </w:rPr>
        <w:t>每月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日前报送当月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安全生产</w:t>
      </w:r>
      <w:r>
        <w:rPr>
          <w:rFonts w:hint="default" w:ascii="Times New Roman" w:hAnsi="Times New Roman" w:eastAsia="仿宋_GB2312" w:cs="Times New Roman"/>
          <w:color w:val="000000" w:themeColor="text1"/>
          <w:sz w:val="32"/>
          <w:szCs w:val="32"/>
          <w14:textFill>
            <w14:solidFill>
              <w14:schemeClr w14:val="tx1"/>
            </w14:solidFill>
          </w14:textFill>
        </w:rPr>
        <w:t>工作开展情况，并于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color w:val="000000" w:themeColor="text1"/>
          <w:sz w:val="32"/>
          <w:szCs w:val="32"/>
          <w14:textFill>
            <w14:solidFill>
              <w14:schemeClr w14:val="tx1"/>
            </w14:solidFill>
          </w14:textFill>
        </w:rPr>
        <w:t>日前将专项行动工作总结情况报送局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政策法规和行业管理股李波处汇总</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p>
    <w:p>
      <w:pPr>
        <w:widowControl/>
        <w:spacing w:line="289" w:lineRule="atLeast"/>
        <w:ind w:firstLine="280" w:firstLineChars="100"/>
        <w:jc w:val="both"/>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bookmarkStart w:id="1" w:name="_GoBack"/>
      <w:bookmarkEnd w:id="1"/>
    </w:p>
    <w:sectPr>
      <w:footerReference r:id="rId4" w:type="first"/>
      <w:footerReference r:id="rId3" w:type="default"/>
      <w:pgSz w:w="11880" w:h="16820"/>
      <w:pgMar w:top="2098" w:right="1531" w:bottom="1984" w:left="1531" w:header="850" w:footer="1701" w:gutter="0"/>
      <w:pgNumType w:fmt="numberInDash"/>
      <w:cols w:space="0" w:num="1"/>
      <w:titlePg/>
      <w:rtlGutter w:val="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296214" cy="204647"/>
                      </a:xfrm>
                      <a:prstGeom prst="rect">
                        <a:avLst/>
                      </a:prstGeom>
                      <a:noFill/>
                      <a:ln w="6350" cap="flat" cmpd="sng">
                        <a:noFill/>
                        <a:prstDash val="solid"/>
                        <a:round/>
                      </a:ln>
                    </wps:spPr>
                    <wps:txbx>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s9mCLX&#10;AAAAAwEAAA8AAAAAAAAAAQAgAAAAIgAAAGRycy9kb3ducmV2LnhtbFBLAQIUABQAAAAIAIdO4kBS&#10;pfqs6AEAAKYDAAAOAAAAAAAAAAEAIAAAACYBAABkcnMvZTJvRG9jLnhtbFBLBQYAAAAABgAGAFkB&#10;AACABQAAAAA=&#10;">
              <v:fill on="f" focussize="0,0"/>
              <v:stroke on="f" weight="0.5pt" joinstyle="round"/>
              <v:imagedata o:title=""/>
              <o:lock v:ext="edit" aspectratio="f"/>
              <v:textbox inset="0mm,0mm,0mm,0mm" style="mso-fit-shape-to-text:t;">
                <w:txbxContent>
                  <w:p>
                    <w:pPr>
                      <w:pStyle w:val="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131445"/>
              <wp:effectExtent l="0" t="0" r="0" b="0"/>
              <wp:wrapNone/>
              <wp:docPr id="4" name="文本框 2"/>
              <wp:cNvGraphicFramePr/>
              <a:graphic xmlns:a="http://schemas.openxmlformats.org/drawingml/2006/main">
                <a:graphicData uri="http://schemas.microsoft.com/office/word/2010/wordprocessingShape">
                  <wps:wsp>
                    <wps:cNvSpPr/>
                    <wps:spPr>
                      <a:xfrm>
                        <a:off x="0" y="0"/>
                        <a:ext cx="9524" cy="131559"/>
                      </a:xfrm>
                      <a:prstGeom prst="rect">
                        <a:avLst/>
                      </a:prstGeom>
                      <a:noFill/>
                      <a:ln w="6350" cap="flat" cmpd="sng">
                        <a:noFill/>
                        <a:prstDash val="solid"/>
                        <a:round/>
                      </a:ln>
                    </wps:spPr>
                    <wps:txbx>
                      <w:txbxContent>
                        <w:p>
                          <w:pPr>
                            <w:pStyle w:val="7"/>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0.75pt;mso-position-horizontal:outside;mso-position-horizontal-relative:margin;mso-wrap-style:none;z-index:251659264;mso-width-relative:page;mso-height-relative:page;" filled="f" stroked="f" coordsize="21600,21600" o:gfxdata="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Ax6fHWAAAA&#10;AgEAAA8AAAAAAAAAAQAgAAAAIgAAAGRycy9kb3ducmV2LnhtbFBLAQIUABQAAAAIAIdO4kCaIXeb&#10;5gEAAKQDAAAOAAAAAAAAAAEAIAAAACUBAABkcnMvZTJvRG9jLnhtbFBLBQYAAAAABgAGAFkBAAB9&#10;BQAAAAA=&#10;">
              <v:fill on="f" focussize="0,0"/>
              <v:stroke on="f" weight="0.5pt" joinstyle="round"/>
              <v:imagedata o:title=""/>
              <o:lock v:ext="edit" aspectratio="f"/>
              <v:textbox inset="0mm,0mm,0mm,0mm" style="mso-fit-shape-to-text:t;">
                <w:txbxContent>
                  <w:p>
                    <w:pPr>
                      <w:pStyle w:val="7"/>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VkNTAyOWY2YjA4YjhlZWRlMmRlZTFjMDFjOGIxNDMifQ=="/>
  </w:docVars>
  <w:rsids>
    <w:rsidRoot w:val="00000000"/>
    <w:rsid w:val="090714E5"/>
    <w:rsid w:val="15373433"/>
    <w:rsid w:val="38BA14E9"/>
    <w:rsid w:val="3AFA37D1"/>
    <w:rsid w:val="492C3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Autospacing="0" w:afterAutospacing="0" w:line="579" w:lineRule="exact"/>
      <w:outlineLvl w:val="2"/>
    </w:pPr>
    <w:rPr>
      <w:rFonts w:ascii="楷体_GB2312" w:eastAsia="楷体_GB231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sz w:val="28"/>
    </w:rPr>
  </w:style>
  <w:style w:type="paragraph" w:styleId="7">
    <w:name w:val="footer"/>
    <w:basedOn w:val="1"/>
    <w:qFormat/>
    <w:uiPriority w:val="0"/>
    <w:pPr>
      <w:tabs>
        <w:tab w:val="center" w:pos="4153"/>
        <w:tab w:val="right" w:pos="8306"/>
      </w:tabs>
      <w:adjustRightInd w:val="0"/>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adjustRightInd w:val="0"/>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2">
    <w:name w:val="常用样式（方正仿宋简）"/>
    <w:basedOn w:val="1"/>
    <w:next w:val="1"/>
    <w:qFormat/>
    <w:uiPriority w:val="0"/>
    <w:pPr>
      <w:spacing w:line="560" w:lineRule="exact"/>
      <w:ind w:firstLine="200" w:firstLineChars="200"/>
    </w:pPr>
    <w:rPr>
      <w:rFonts w:eastAsia="方正仿宋简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B627B-3E6E-4F6F-B98D-166FA89AD956}">
  <ds:schemaRefs/>
</ds:datastoreItem>
</file>

<file path=docProps/app.xml><?xml version="1.0" encoding="utf-8"?>
<Properties xmlns="http://schemas.openxmlformats.org/officeDocument/2006/extended-properties" xmlns:vt="http://schemas.openxmlformats.org/officeDocument/2006/docPropsVTypes">
  <Template>Normal.eit</Template>
  <Pages>10</Pages>
  <Words>4618</Words>
  <Characters>4662</Characters>
  <Lines>218</Lines>
  <Paragraphs>36</Paragraphs>
  <TotalTime>7</TotalTime>
  <ScaleCrop>false</ScaleCrop>
  <LinksUpToDate>false</LinksUpToDate>
  <CharactersWithSpaces>4822</CharactersWithSpaces>
  <Application>WPS Office_11.1.0.9208_F1E327BC-269C-435d-A152-05C5408002CA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2023-04-18T16:59:00Z</dcterms:created>
  <dc:creator>Kingsoft-PDF</dc:creator>
  <cp:lastModifiedBy>农业农村局</cp:lastModifiedBy>
  <cp:lastPrinted>2023-08-22T09:38:00Z</cp:lastPrinted>
  <dcterms:modified xsi:type="dcterms:W3CDTF">2023-09-26T03:18:03Z</dcterms:modified>
  <dc:subject>pdfbuilder</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2023-04-17T16:00:00Z</vt:filetime>
  </property>
  <property fmtid="{D5CDD505-2E9C-101B-9397-08002B2CF9AE}" pid="4" name="UsrData">
    <vt:lpwstr>643deb460c8b29001541a47a</vt:lpwstr>
  </property>
  <property fmtid="{D5CDD505-2E9C-101B-9397-08002B2CF9AE}" pid="5" name="KSOProductBuildVer">
    <vt:lpwstr>2052-11.1.0.9208</vt:lpwstr>
  </property>
  <property fmtid="{D5CDD505-2E9C-101B-9397-08002B2CF9AE}" pid="6" name="ICV">
    <vt:lpwstr>F5BF0F3808EB4A31A1F121AC9D0B9540_13</vt:lpwstr>
  </property>
</Properties>
</file>