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121</w:t>
      </w:r>
      <w:r>
        <w:rPr>
          <w:rFonts w:hint="eastAsia" w:ascii="仿宋_GB2312" w:hAnsi="仿宋_GB2312" w:eastAsia="仿宋_GB2312" w:cs="仿宋_GB2312"/>
          <w:sz w:val="32"/>
          <w:szCs w:val="32"/>
        </w:rPr>
        <w:t>号</w:t>
      </w:r>
    </w:p>
    <w:p>
      <w:pPr>
        <w:pStyle w:val="3"/>
        <w:pageBreakBefore w:val="0"/>
        <w:widowControl w:val="0"/>
        <w:kinsoku/>
        <w:wordWrap/>
        <w:overflowPunct/>
        <w:topLinePunct w:val="0"/>
        <w:autoSpaceDE/>
        <w:autoSpaceDN/>
        <w:bidi w:val="0"/>
        <w:adjustRightInd/>
        <w:snapToGrid/>
        <w:spacing w:beforeLines="0" w:afterLines="0" w:line="576" w:lineRule="exact"/>
        <w:ind w:left="0" w:leftChars="0"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576"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pPr>
        <w:wordWrap w:val="0"/>
        <w:overflowPunct w:val="0"/>
        <w:adjustRightInd w:val="0"/>
        <w:snapToGrid w:val="0"/>
        <w:spacing w:line="600" w:lineRule="exact"/>
        <w:jc w:val="center"/>
        <w:rPr>
          <w:rFonts w:eastAsia="方正小标宋简体"/>
          <w:kern w:val="0"/>
          <w:sz w:val="44"/>
          <w:szCs w:val="44"/>
        </w:rPr>
      </w:pPr>
      <w:r>
        <w:rPr>
          <w:rFonts w:ascii="Times New Roman" w:hAnsi="Times New Roman" w:eastAsia="方正小标宋简体" w:cs="Times New Roman"/>
          <w:kern w:val="0"/>
          <w:sz w:val="44"/>
          <w:szCs w:val="44"/>
        </w:rPr>
        <w:t>关于大英卓城水泥制品项目</w:t>
      </w:r>
      <w:r>
        <w:rPr>
          <w:rFonts w:eastAsia="方正小标宋简体"/>
          <w:kern w:val="0"/>
          <w:sz w:val="44"/>
          <w:szCs w:val="44"/>
        </w:rPr>
        <w:t>环境影响</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eastAsia="方正小标宋简体"/>
          <w:kern w:val="0"/>
          <w:sz w:val="44"/>
          <w:szCs w:val="44"/>
        </w:rPr>
        <w:t>报告表的批复</w:t>
      </w:r>
    </w:p>
    <w:p>
      <w:pPr>
        <w:pStyle w:val="8"/>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rPr>
      </w:pPr>
    </w:p>
    <w:p>
      <w:pPr>
        <w:keepNext w:val="0"/>
        <w:keepLines w:val="0"/>
        <w:pageBreakBefore w:val="0"/>
        <w:kinsoku/>
        <w:wordWrap w:val="0"/>
        <w:overflowPunct w:val="0"/>
        <w:topLinePunct/>
        <w:bidi w:val="0"/>
        <w:snapToGrid w:val="0"/>
        <w:spacing w:line="576" w:lineRule="exact"/>
        <w:textAlignment w:val="auto"/>
        <w:rPr>
          <w:rFonts w:eastAsia="仿宋_GB2312"/>
          <w:sz w:val="32"/>
          <w:szCs w:val="32"/>
        </w:rPr>
      </w:pPr>
      <w:r>
        <w:rPr>
          <w:rFonts w:eastAsia="仿宋_GB2312"/>
          <w:sz w:val="32"/>
          <w:szCs w:val="32"/>
        </w:rPr>
        <w:t>大英卓城科技有限公司：</w:t>
      </w:r>
    </w:p>
    <w:p>
      <w:pPr>
        <w:keepNext w:val="0"/>
        <w:keepLines w:val="0"/>
        <w:pageBreakBefore w:val="0"/>
        <w:widowControl/>
        <w:kinsoku/>
        <w:bidi w:val="0"/>
        <w:spacing w:line="576" w:lineRule="exact"/>
        <w:ind w:firstLine="640" w:firstLineChars="200"/>
        <w:jc w:val="left"/>
        <w:textAlignment w:val="auto"/>
        <w:rPr>
          <w:rFonts w:eastAsia="仿宋_GB2312"/>
          <w:sz w:val="32"/>
          <w:szCs w:val="32"/>
        </w:rPr>
      </w:pPr>
      <w:r>
        <w:rPr>
          <w:rFonts w:ascii="Times New Roman" w:hAnsi="Times New Roman" w:eastAsia="仿宋_GB2312" w:cs="Times New Roman"/>
          <w:sz w:val="32"/>
          <w:szCs w:val="32"/>
        </w:rPr>
        <w:t>你公司报送的《</w:t>
      </w:r>
      <w:r>
        <w:rPr>
          <w:rFonts w:eastAsia="仿宋_GB2312"/>
          <w:sz w:val="32"/>
          <w:szCs w:val="32"/>
        </w:rPr>
        <w:t>大英卓城水泥制品项目环境影响报告表》（以下简称《报告表》）收悉。经研究，批复如下：</w:t>
      </w:r>
    </w:p>
    <w:p>
      <w:pPr>
        <w:keepNext w:val="0"/>
        <w:keepLines w:val="0"/>
        <w:pageBreakBefore w:val="0"/>
        <w:kinsoku/>
        <w:bidi w:val="0"/>
        <w:adjustRightInd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一、项目概况及总体意见</w:t>
      </w:r>
    </w:p>
    <w:p>
      <w:pPr>
        <w:keepNext w:val="0"/>
        <w:keepLines w:val="0"/>
        <w:pageBreakBefore w:val="0"/>
        <w:kinsoku/>
        <w:bidi w:val="0"/>
        <w:adjustRightInd w:val="0"/>
        <w:spacing w:line="576"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该项目</w:t>
      </w:r>
      <w:r>
        <w:rPr>
          <w:rFonts w:hint="eastAsia" w:ascii="Times New Roman" w:hAnsi="Times New Roman" w:eastAsia="仿宋_GB2312" w:cs="Times New Roman"/>
          <w:sz w:val="32"/>
          <w:szCs w:val="32"/>
        </w:rPr>
        <w:t>位于大英县蓬莱镇盛马大道西段，新建水泥制品生产线1条和烘干线1条，建成后形成年产环保透水砖、护坡生态砖、路沿石、水稳基料30万吨，烘干石膏、磷酸钙、硫酸亚铁等10万吨的生产能力，其中环保透水砖等水泥制品外售，烘干石膏、磷酸钙、硫酸亚铁交由具有一般工业固体废物利用或处置能力的单位进行利用或处置。</w:t>
      </w:r>
      <w:r>
        <w:rPr>
          <w:rFonts w:ascii="Times New Roman" w:hAnsi="Times New Roman" w:eastAsia="仿宋_GB2312" w:cs="Times New Roman"/>
          <w:sz w:val="32"/>
          <w:szCs w:val="32"/>
        </w:rPr>
        <w:t>项目总投资5000万元，其中环保投资</w:t>
      </w:r>
      <w:r>
        <w:rPr>
          <w:rFonts w:hint="eastAsia" w:ascii="Times New Roman" w:hAnsi="Times New Roman" w:eastAsia="仿宋_GB2312" w:cs="Times New Roman"/>
          <w:sz w:val="32"/>
          <w:szCs w:val="32"/>
        </w:rPr>
        <w:t>54</w:t>
      </w:r>
      <w:r>
        <w:rPr>
          <w:rFonts w:ascii="Times New Roman" w:hAnsi="Times New Roman" w:eastAsia="仿宋_GB2312" w:cs="Times New Roman"/>
          <w:sz w:val="32"/>
          <w:szCs w:val="32"/>
        </w:rPr>
        <w:t>万元。</w:t>
      </w:r>
    </w:p>
    <w:p>
      <w:pPr>
        <w:keepNext w:val="0"/>
        <w:keepLines w:val="0"/>
        <w:pageBreakBefore w:val="0"/>
        <w:kinsoku/>
        <w:bidi w:val="0"/>
        <w:adjustRightInd w:val="0"/>
        <w:spacing w:line="576" w:lineRule="exact"/>
        <w:ind w:firstLine="640" w:firstLineChars="200"/>
        <w:textAlignment w:val="auto"/>
        <w:rPr>
          <w:rFonts w:hint="eastAsia" w:ascii="Times New Roman" w:hAnsi="Times New Roman" w:eastAsia="仿宋_GB2312" w:cs="Times New Roman"/>
          <w:sz w:val="32"/>
          <w:szCs w:val="32"/>
        </w:rPr>
        <w:sectPr>
          <w:footerReference r:id="rId3" w:type="default"/>
          <w:pgSz w:w="11906" w:h="16838"/>
          <w:pgMar w:top="2098" w:right="1474" w:bottom="1417"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ascii="Times New Roman" w:hAnsi="Times New Roman" w:eastAsia="仿宋_GB2312" w:cs="Times New Roman"/>
          <w:kern w:val="0"/>
          <w:sz w:val="32"/>
          <w:szCs w:val="32"/>
        </w:rPr>
        <w:t>项目经大英县</w:t>
      </w:r>
      <w:r>
        <w:rPr>
          <w:rFonts w:hint="eastAsia" w:ascii="Times New Roman" w:hAnsi="Times New Roman" w:eastAsia="仿宋_GB2312" w:cs="Times New Roman"/>
          <w:kern w:val="0"/>
          <w:sz w:val="32"/>
          <w:szCs w:val="32"/>
        </w:rPr>
        <w:t>发展和改革局登记</w:t>
      </w:r>
      <w:r>
        <w:rPr>
          <w:rFonts w:ascii="Times New Roman" w:hAnsi="Times New Roman" w:eastAsia="仿宋_GB2312" w:cs="Times New Roman"/>
          <w:kern w:val="0"/>
          <w:sz w:val="32"/>
          <w:szCs w:val="32"/>
        </w:rPr>
        <w:t>备案（川投资备</w:t>
      </w:r>
      <w:r>
        <w:rPr>
          <w:rFonts w:ascii="Times New Roman" w:hAnsi="Times New Roman" w:eastAsia="仿宋_GB2312" w:cs="Times New Roman"/>
          <w:sz w:val="32"/>
          <w:szCs w:val="32"/>
        </w:rPr>
        <w:t>〔220</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-510923-0</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545247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FGQB</w:t>
      </w:r>
      <w:r>
        <w:rPr>
          <w:rFonts w:ascii="Times New Roman" w:hAnsi="Times New Roman" w:eastAsia="仿宋_GB2312" w:cs="Times New Roman"/>
          <w:sz w:val="32"/>
          <w:szCs w:val="32"/>
        </w:rPr>
        <w:t>-00</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号），属于《产业结构调整指导目录》（2019年本）</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鼓励</w:t>
      </w:r>
      <w:r>
        <w:rPr>
          <w:rFonts w:ascii="Times New Roman" w:hAnsi="Times New Roman" w:eastAsia="仿宋_GB2312" w:cs="Times New Roman"/>
          <w:sz w:val="32"/>
          <w:szCs w:val="32"/>
        </w:rPr>
        <w:t>类项目。</w:t>
      </w:r>
      <w:r>
        <w:rPr>
          <w:rFonts w:hint="eastAsia" w:ascii="Times New Roman" w:hAnsi="Times New Roman" w:eastAsia="仿宋_GB2312" w:cs="Times New Roman"/>
          <w:sz w:val="32"/>
          <w:szCs w:val="32"/>
        </w:rPr>
        <w:t>项目租用大</w:t>
      </w:r>
    </w:p>
    <w:p>
      <w:pPr>
        <w:keepNext w:val="0"/>
        <w:keepLines w:val="0"/>
        <w:pageBreakBefore w:val="0"/>
        <w:kinsoku/>
        <w:bidi w:val="0"/>
        <w:adjustRightInd w:val="0"/>
        <w:spacing w:line="576" w:lineRule="exac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英县鑫泰建材厂闲置用地，不新增建设用地。</w:t>
      </w:r>
      <w:r>
        <w:rPr>
          <w:rFonts w:ascii="Times New Roman" w:hAnsi="Times New Roman" w:eastAsia="仿宋_GB2312" w:cs="Times New Roman"/>
          <w:sz w:val="32"/>
          <w:szCs w:val="32"/>
        </w:rPr>
        <w:t>项目建设选址的四川大英经济开发区，已开展规划环评并取得审查意见（川环建函〔2019〕48号）。《报告表》认为该项目建设符合国家产业政策，选址符合相关规划和规划环评相关要求。</w:t>
      </w:r>
    </w:p>
    <w:p>
      <w:pPr>
        <w:keepNext w:val="0"/>
        <w:keepLines w:val="0"/>
        <w:pageBreakBefore w:val="0"/>
        <w:kinsoku/>
        <w:overflowPunct w:val="0"/>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在严格落实《报告表》提出的环保对策及措施，严格执行环</w:t>
      </w:r>
      <w:r>
        <w:rPr>
          <w:rFonts w:hint="eastAsia" w:ascii="仿宋_GB2312" w:hAnsi="仿宋_GB2312" w:eastAsia="仿宋_GB2312" w:cs="仿宋_GB2312"/>
          <w:kern w:val="0"/>
          <w:sz w:val="32"/>
          <w:szCs w:val="32"/>
        </w:rPr>
        <w:t>境保护“三同时”制度，确保污染物达标排放，认真落实环境风险</w:t>
      </w:r>
      <w:r>
        <w:rPr>
          <w:rFonts w:hint="eastAsia" w:ascii="仿宋_GB2312" w:hAnsi="仿宋_GB2312" w:eastAsia="仿宋_GB2312" w:cs="仿宋_GB2312"/>
          <w:sz w:val="32"/>
          <w:szCs w:val="32"/>
        </w:rPr>
        <w:t>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pPr>
        <w:keepNext w:val="0"/>
        <w:keepLines w:val="0"/>
        <w:pageBreakBefore w:val="0"/>
        <w:kinsoku/>
        <w:wordWrap w:val="0"/>
        <w:overflowPunct w:val="0"/>
        <w:bidi w:val="0"/>
        <w:snapToGrid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二、项目建设及营运期应重点做好以下工作</w:t>
      </w:r>
    </w:p>
    <w:p>
      <w:pPr>
        <w:pStyle w:val="9"/>
        <w:keepNext w:val="0"/>
        <w:keepLines w:val="0"/>
        <w:pageBreakBefore w:val="0"/>
        <w:kinsoku/>
        <w:bidi w:val="0"/>
        <w:spacing w:line="576" w:lineRule="exact"/>
        <w:ind w:firstLine="640" w:firstLineChars="200"/>
        <w:textAlignment w:val="auto"/>
        <w:rPr>
          <w:rFonts w:ascii="仿宋_GB2312" w:hAnsi="仿宋_GB2312" w:eastAsia="仿宋_GB2312" w:cs="仿宋_GB2312"/>
          <w:bCs/>
          <w:sz w:val="32"/>
          <w:szCs w:val="32"/>
        </w:rPr>
      </w:pPr>
      <w:r>
        <w:rPr>
          <w:rFonts w:hint="eastAsia" w:ascii="楷体_GB2312" w:hAnsi="楷体_GB2312" w:eastAsia="楷体_GB2312" w:cs="楷体_GB2312"/>
          <w:sz w:val="32"/>
          <w:szCs w:val="32"/>
        </w:rPr>
        <w:t>（一）落实环境风险防范措施。</w:t>
      </w:r>
      <w:r>
        <w:rPr>
          <w:rFonts w:hint="eastAsia" w:ascii="仿宋_GB2312" w:hAnsi="仿宋_GB2312" w:eastAsia="仿宋_GB2312" w:cs="仿宋_GB2312"/>
          <w:sz w:val="32"/>
          <w:szCs w:val="32"/>
        </w:rPr>
        <w:t>严格落实水基岩屑来料风险管控，来料采用密闭车辆运输并做好防遗漏措施，防止发生二次污染，建立健全水基岩屑管理台账，禁止接收危险废物类来料在本项目区内进行再利用。水基岩屑资源化利用产品须满足《陆上石油天然气开采水基钻井废弃物处理处置及资源化利用技术规范</w:t>
      </w:r>
      <w:r>
        <w:rPr>
          <w:rFonts w:hint="default" w:ascii="Times New Roman" w:hAnsi="Times New Roman" w:eastAsia="仿宋_GB2312" w:cs="Times New Roman"/>
          <w:sz w:val="32"/>
          <w:szCs w:val="32"/>
        </w:rPr>
        <w:t>》（SY/T7466-2020）</w:t>
      </w:r>
      <w:r>
        <w:rPr>
          <w:rFonts w:hint="eastAsia" w:ascii="仿宋_GB2312" w:hAnsi="仿宋_GB2312" w:eastAsia="仿宋_GB2312" w:cs="仿宋_GB2312"/>
          <w:sz w:val="32"/>
          <w:szCs w:val="32"/>
        </w:rPr>
        <w:t>要求。</w:t>
      </w:r>
      <w:r>
        <w:rPr>
          <w:rFonts w:hint="eastAsia" w:ascii="仿宋_GB2312" w:hAnsi="仿宋_GB2312" w:eastAsia="仿宋_GB2312" w:cs="仿宋_GB2312"/>
          <w:bCs/>
          <w:sz w:val="32"/>
          <w:szCs w:val="32"/>
        </w:rPr>
        <w:t>制定并不断完善突发环境事件应急预案，规范内部管理，严格操作规范，定期开展自行监测，防止环境污染事故的发生。</w:t>
      </w:r>
    </w:p>
    <w:p>
      <w:pPr>
        <w:keepNext w:val="0"/>
        <w:keepLines w:val="0"/>
        <w:pageBreakBefore w:val="0"/>
        <w:kinsoku/>
        <w:autoSpaceDE w:val="0"/>
        <w:autoSpaceDN w:val="0"/>
        <w:bidi w:val="0"/>
        <w:adjustRightInd w:val="0"/>
        <w:spacing w:line="576" w:lineRule="exact"/>
        <w:ind w:firstLine="640"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（二）加强施工期环境管理。</w:t>
      </w:r>
      <w:r>
        <w:rPr>
          <w:rFonts w:hint="eastAsia" w:ascii="仿宋_GB2312" w:hAnsi="仿宋_GB2312" w:eastAsia="仿宋_GB2312" w:cs="仿宋_GB2312"/>
          <w:bCs/>
          <w:sz w:val="32"/>
          <w:szCs w:val="32"/>
        </w:rPr>
        <w:t>严格落实建筑施工“六必须六不准”和“六个百分百”要求，施工期间封闭施工现场，施工场界四周设置围挡和喷雾设施，禁止在风天进行</w:t>
      </w:r>
      <w:r>
        <w:rPr>
          <w:rFonts w:hint="eastAsia" w:ascii="仿宋_GB2312" w:hAnsi="仿宋_GB2312" w:eastAsia="仿宋_GB2312" w:cs="仿宋_GB2312"/>
          <w:sz w:val="32"/>
          <w:szCs w:val="32"/>
        </w:rPr>
        <w:t>渣土堆放作业，建材堆放地点要相对集中，临时废渣堆场及时清运；施工废水、运输车辆和施工机械冲洗废水经沉淀处理后回用于洒水降尘和车辆设备冲洗等，施工人员生活污水</w:t>
      </w:r>
      <w:r>
        <w:rPr>
          <w:rFonts w:hint="eastAsia" w:ascii="仿宋_GB2312" w:hAnsi="仿宋_GB2312" w:eastAsia="仿宋_GB2312" w:cs="仿宋_GB2312"/>
          <w:kern w:val="0"/>
          <w:sz w:val="32"/>
          <w:szCs w:val="32"/>
        </w:rPr>
        <w:t>依托周边企业已建生活污水处理系统预处理后经</w:t>
      </w:r>
      <w:r>
        <w:rPr>
          <w:rFonts w:hint="eastAsia" w:ascii="仿宋_GB2312" w:hAnsi="仿宋_GB2312" w:eastAsia="仿宋_GB2312" w:cs="仿宋_GB2312"/>
          <w:sz w:val="32"/>
          <w:szCs w:val="32"/>
        </w:rPr>
        <w:t>园区污水</w:t>
      </w:r>
      <w:r>
        <w:rPr>
          <w:rFonts w:hint="eastAsia" w:ascii="仿宋_GB2312" w:hAnsi="仿宋_GB2312" w:eastAsia="仿宋_GB2312" w:cs="仿宋_GB2312"/>
          <w:kern w:val="0"/>
          <w:sz w:val="32"/>
          <w:szCs w:val="32"/>
        </w:rPr>
        <w:t>管网输送至工业污水处理厂处理</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18"/>
          <w:sz w:val="32"/>
          <w:szCs w:val="32"/>
        </w:rPr>
        <w:t>建筑垃圾及时清运至政府指定地点，生活垃圾集中收集交由市政环卫部门统一处置。施工场界噪声须满足《建筑施工场界环境噪声排放标准</w:t>
      </w:r>
      <w:r>
        <w:rPr>
          <w:rFonts w:hint="default" w:ascii="Times New Roman" w:hAnsi="Times New Roman" w:eastAsia="仿宋_GB2312" w:cs="Times New Roman"/>
          <w:color w:val="000000"/>
          <w:kern w:val="18"/>
          <w:sz w:val="32"/>
          <w:szCs w:val="32"/>
        </w:rPr>
        <w:t>》(GB12523-2011)</w:t>
      </w:r>
      <w:r>
        <w:rPr>
          <w:rFonts w:hint="eastAsia" w:ascii="仿宋_GB2312" w:hAnsi="仿宋_GB2312" w:eastAsia="仿宋_GB2312" w:cs="仿宋_GB2312"/>
          <w:color w:val="000000"/>
          <w:kern w:val="18"/>
          <w:sz w:val="32"/>
          <w:szCs w:val="32"/>
        </w:rPr>
        <w:t>的要求。</w:t>
      </w:r>
    </w:p>
    <w:p>
      <w:pPr>
        <w:pStyle w:val="10"/>
        <w:keepNext w:val="0"/>
        <w:keepLines w:val="0"/>
        <w:pageBreakBefore w:val="0"/>
        <w:kinsoku/>
        <w:bidi w:val="0"/>
        <w:spacing w:line="576"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（三）落实废水污染治理措施。</w:t>
      </w:r>
      <w:r>
        <w:rPr>
          <w:rFonts w:ascii="仿宋_GB2312" w:hAnsi="仿宋_GB2312" w:eastAsia="仿宋_GB2312" w:cs="仿宋_GB2312"/>
          <w:sz w:val="32"/>
          <w:szCs w:val="32"/>
        </w:rPr>
        <w:t>水基岩屑</w:t>
      </w:r>
      <w:r>
        <w:rPr>
          <w:rFonts w:hint="eastAsia" w:ascii="仿宋_GB2312" w:hAnsi="仿宋_GB2312" w:eastAsia="仿宋_GB2312" w:cs="仿宋_GB2312"/>
          <w:sz w:val="32"/>
          <w:szCs w:val="32"/>
        </w:rPr>
        <w:t>渗滤液经收集沉淀后作为制砖用水，不外排；设备和生产作业区地面冲洗废水、运输车辆轮胎清洗废水及初期雨水经预处理后进行回用，不外排；生活</w:t>
      </w:r>
      <w:r>
        <w:rPr>
          <w:rFonts w:ascii="仿宋_GB2312" w:hAnsi="仿宋_GB2312" w:eastAsia="仿宋_GB2312" w:cs="仿宋_GB2312"/>
          <w:sz w:val="32"/>
          <w:szCs w:val="32"/>
        </w:rPr>
        <w:t>废水经</w:t>
      </w:r>
      <w:r>
        <w:rPr>
          <w:rFonts w:hint="eastAsia" w:ascii="仿宋_GB2312" w:hAnsi="仿宋_GB2312" w:eastAsia="仿宋_GB2312" w:cs="仿宋_GB2312"/>
          <w:sz w:val="32"/>
          <w:szCs w:val="32"/>
        </w:rPr>
        <w:t>预</w:t>
      </w:r>
      <w:r>
        <w:rPr>
          <w:rFonts w:ascii="仿宋_GB2312" w:hAnsi="仿宋_GB2312" w:eastAsia="仿宋_GB2312" w:cs="仿宋_GB2312"/>
          <w:sz w:val="32"/>
          <w:szCs w:val="32"/>
        </w:rPr>
        <w:t>处理后</w:t>
      </w:r>
      <w:r>
        <w:rPr>
          <w:rFonts w:hint="eastAsia" w:ascii="仿宋_GB2312" w:hAnsi="仿宋_GB2312" w:eastAsia="仿宋_GB2312" w:cs="仿宋_GB2312"/>
          <w:sz w:val="32"/>
          <w:szCs w:val="32"/>
        </w:rPr>
        <w:t>，通过园区污水管网输送至大英县工业污水处理厂处理。</w:t>
      </w:r>
    </w:p>
    <w:p>
      <w:pPr>
        <w:pStyle w:val="9"/>
        <w:keepNext w:val="0"/>
        <w:keepLines w:val="0"/>
        <w:pageBreakBefore w:val="0"/>
        <w:kinsoku/>
        <w:bidi w:val="0"/>
        <w:spacing w:line="576"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（四）落实废气污染治理措施。</w:t>
      </w:r>
      <w:r>
        <w:rPr>
          <w:rFonts w:hint="eastAsia" w:ascii="仿宋_GB2312" w:hAnsi="仿宋_GB2312" w:eastAsia="仿宋_GB2312" w:cs="仿宋_GB2312"/>
          <w:sz w:val="32"/>
          <w:szCs w:val="32"/>
        </w:rPr>
        <w:t>原料堆场设置在封闭厂房内，厂房顶部设置网格化喷雾装置对堆场进行喷雾降尘；水泥筒仓呼</w:t>
      </w:r>
      <w:r>
        <w:rPr>
          <w:rFonts w:hint="default" w:ascii="Times New Roman" w:hAnsi="Times New Roman" w:eastAsia="仿宋_GB2312" w:cs="Times New Roman"/>
          <w:sz w:val="32"/>
          <w:szCs w:val="32"/>
        </w:rPr>
        <w:t>吸粉尘经仓顶除尘器处理后，无组织排放于厂房内；水泥制品生产线上料、破碎、筛分、输送工序，设置在封闭生产车间内，在破碎机和筛分机上方各设置1个集尘罩，收集的粉尘经管道输送至布袋除尘器处理后通过15m高排气筒（DA001）排放；烘干生产线使用的天然气燃气设备配备低氮燃烧装置，破碎筛分产生的粉尘经集气罩收集与烘干以及天然气燃烧废气经管道引至“干式过滤器+两级脉冲布袋除尘器”处理后，通过15m排气筒（DA002）排放。</w:t>
      </w:r>
    </w:p>
    <w:p>
      <w:pPr>
        <w:keepNext w:val="0"/>
        <w:keepLines w:val="0"/>
        <w:pageBreakBefore w:val="0"/>
        <w:kinsoku/>
        <w:bidi w:val="0"/>
        <w:spacing w:line="576"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（五）严格落实固体废物处置措施。</w:t>
      </w:r>
      <w:r>
        <w:rPr>
          <w:rFonts w:hint="default" w:ascii="Times New Roman" w:hAnsi="Times New Roman" w:eastAsia="仿宋_GB2312" w:cs="Times New Roman"/>
          <w:sz w:val="32"/>
          <w:szCs w:val="32"/>
        </w:rPr>
        <w:t>车间地面沉降粉尘、布袋除尘器收集的粉尘及沉淀池底泥、不合格产品经收集后，回用于水泥制品制造，不外排；规范设置危险废物暂存间，废机油、</w:t>
      </w:r>
      <w:r>
        <w:rPr>
          <w:rFonts w:hint="default" w:ascii="Times New Roman" w:hAnsi="Times New Roman" w:eastAsia="仿宋_GB2312" w:cs="Times New Roman"/>
          <w:kern w:val="2"/>
          <w:sz w:val="32"/>
          <w:szCs w:val="32"/>
        </w:rPr>
        <w:t>废机油桶、含油抹布</w:t>
      </w:r>
      <w:r>
        <w:rPr>
          <w:rFonts w:hint="default" w:ascii="Times New Roman" w:hAnsi="Times New Roman" w:eastAsia="仿宋_GB2312" w:cs="Times New Roman"/>
          <w:sz w:val="32"/>
          <w:szCs w:val="32"/>
        </w:rPr>
        <w:t>等危险废物</w:t>
      </w:r>
      <w:r>
        <w:rPr>
          <w:rFonts w:hint="default" w:ascii="Times New Roman" w:hAnsi="Times New Roman" w:eastAsia="仿宋_GB2312" w:cs="Times New Roman"/>
          <w:color w:val="auto"/>
          <w:kern w:val="2"/>
          <w:sz w:val="32"/>
          <w:szCs w:val="32"/>
        </w:rPr>
        <w:t>分类分区暂存于危废暂存间，定期交</w:t>
      </w:r>
      <w:r>
        <w:rPr>
          <w:rFonts w:hint="default" w:ascii="Times New Roman" w:hAnsi="Times New Roman" w:eastAsia="仿宋_GB2312" w:cs="Times New Roman"/>
          <w:color w:val="000000"/>
          <w:kern w:val="18"/>
          <w:sz w:val="32"/>
          <w:szCs w:val="32"/>
        </w:rPr>
        <w:t>由有资质的单位处置，转移过程严格落实《危险废物转移管理办法》要求</w:t>
      </w:r>
      <w:r>
        <w:rPr>
          <w:rFonts w:hint="default" w:ascii="Times New Roman" w:hAnsi="Times New Roman" w:eastAsia="仿宋_GB2312" w:cs="Times New Roman"/>
          <w:sz w:val="32"/>
          <w:szCs w:val="32"/>
        </w:rPr>
        <w:t>；生活垃圾委托市政环卫部门处置。</w:t>
      </w:r>
    </w:p>
    <w:p>
      <w:pPr>
        <w:pStyle w:val="9"/>
        <w:keepNext w:val="0"/>
        <w:keepLines w:val="0"/>
        <w:pageBreakBefore w:val="0"/>
        <w:kinsoku/>
        <w:bidi w:val="0"/>
        <w:spacing w:line="576" w:lineRule="exact"/>
        <w:ind w:firstLine="640" w:firstLineChars="200"/>
        <w:textAlignment w:val="auto"/>
        <w:rPr>
          <w:rFonts w:hint="default" w:ascii="Times New Roman" w:hAnsi="Times New Roman" w:eastAsia="楷体" w:cs="Times New Roman"/>
          <w:sz w:val="32"/>
          <w:szCs w:val="32"/>
        </w:rPr>
      </w:pPr>
      <w:r>
        <w:rPr>
          <w:rFonts w:hint="eastAsia" w:ascii="楷体_GB2312" w:hAnsi="楷体_GB2312" w:eastAsia="楷体_GB2312" w:cs="楷体_GB2312"/>
          <w:sz w:val="32"/>
          <w:szCs w:val="32"/>
        </w:rPr>
        <w:t>（六）落实噪声污染防治措施。</w:t>
      </w:r>
      <w:r>
        <w:rPr>
          <w:rFonts w:hint="default" w:ascii="Times New Roman" w:hAnsi="Times New Roman" w:eastAsia="仿宋_GB2312" w:cs="Times New Roman"/>
          <w:sz w:val="32"/>
          <w:szCs w:val="32"/>
        </w:rPr>
        <w:t>设施设备布局合理，采取隔声、减振、降噪和建筑隔声等措施，确保满足《工业企业厂界环境噪声排放标准》（GB12348-2008）中的3类声环境功能区排放限值的要求。</w:t>
      </w:r>
    </w:p>
    <w:p>
      <w:pPr>
        <w:pStyle w:val="9"/>
        <w:keepNext w:val="0"/>
        <w:keepLines w:val="0"/>
        <w:pageBreakBefore w:val="0"/>
        <w:kinsoku/>
        <w:bidi w:val="0"/>
        <w:spacing w:line="576"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（七）落实地下水、土壤污染防治措施。</w:t>
      </w:r>
      <w:r>
        <w:rPr>
          <w:rFonts w:hint="default" w:ascii="Times New Roman" w:hAnsi="Times New Roman" w:eastAsia="仿宋_GB2312" w:cs="Times New Roman"/>
          <w:sz w:val="32"/>
          <w:szCs w:val="32"/>
        </w:rPr>
        <w:t>严格按照《报告表》要求，采取</w:t>
      </w:r>
      <w:r>
        <w:rPr>
          <w:rFonts w:ascii="仿宋_GB2312" w:hAnsi="仿宋_GB2312" w:eastAsia="仿宋_GB2312" w:cs="仿宋_GB2312"/>
          <w:sz w:val="32"/>
          <w:szCs w:val="32"/>
        </w:rPr>
        <w:t>分区防渗措施，</w:t>
      </w:r>
      <w:r>
        <w:rPr>
          <w:rFonts w:hint="eastAsia" w:ascii="仿宋_GB2312" w:hAnsi="仿宋_GB2312" w:eastAsia="仿宋_GB2312" w:cs="仿宋_GB2312"/>
          <w:color w:val="000000"/>
          <w:kern w:val="18"/>
          <w:sz w:val="32"/>
          <w:szCs w:val="32"/>
        </w:rPr>
        <w:t>对危废暂存间、渗滤液收集池、油类物质暂存点、水基岩屑暂存区、脱硫石膏暂存区、磷酸钙暂存区进行重点防渗，其他生产区域进行一般防渗，办公生活区、厂区道路</w:t>
      </w:r>
      <w:r>
        <w:rPr>
          <w:rFonts w:hint="eastAsia" w:ascii="仿宋_GB2312" w:hAnsi="仿宋_GB2312" w:eastAsia="仿宋_GB2312" w:cs="仿宋_GB2312"/>
          <w:color w:val="000000"/>
          <w:kern w:val="18"/>
          <w:sz w:val="32"/>
          <w:szCs w:val="32"/>
          <w:lang w:eastAsia="zh-CN"/>
        </w:rPr>
        <w:t>等</w:t>
      </w:r>
      <w:r>
        <w:rPr>
          <w:rFonts w:hint="eastAsia" w:ascii="仿宋_GB2312" w:hAnsi="仿宋_GB2312" w:eastAsia="仿宋_GB2312" w:cs="仿宋_GB2312"/>
          <w:color w:val="000000"/>
          <w:kern w:val="18"/>
          <w:sz w:val="32"/>
          <w:szCs w:val="32"/>
        </w:rPr>
        <w:t>进行简单防渗，防止土壤和地下水环境污染。</w:t>
      </w:r>
    </w:p>
    <w:p>
      <w:pPr>
        <w:pStyle w:val="9"/>
        <w:keepNext w:val="0"/>
        <w:keepLines w:val="0"/>
        <w:pageBreakBefore w:val="0"/>
        <w:kinsoku/>
        <w:bidi w:val="0"/>
        <w:spacing w:line="576" w:lineRule="exact"/>
        <w:ind w:firstLine="640" w:firstLineChars="200"/>
        <w:textAlignment w:val="auto"/>
        <w:rPr>
          <w:rFonts w:ascii="黑体" w:hAnsi="黑体" w:eastAsia="黑体" w:cs="黑体"/>
          <w:bCs/>
          <w:sz w:val="32"/>
          <w:szCs w:val="32"/>
        </w:rPr>
      </w:pPr>
      <w:r>
        <w:rPr>
          <w:rFonts w:hint="eastAsia" w:ascii="黑体" w:hAnsi="黑体" w:eastAsia="黑体" w:cs="黑体"/>
          <w:sz w:val="32"/>
          <w:szCs w:val="32"/>
        </w:rPr>
        <w:t>三、污染物排放总量</w:t>
      </w:r>
    </w:p>
    <w:p>
      <w:pPr>
        <w:keepNext w:val="0"/>
        <w:keepLines w:val="0"/>
        <w:pageBreakBefore w:val="0"/>
        <w:kinsoku/>
        <w:bidi w:val="0"/>
        <w:spacing w:line="576"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根据《报告表》预测，项目建成后主要大气污染物有组织排放总量为：</w:t>
      </w:r>
      <w:r>
        <w:rPr>
          <w:rFonts w:hint="eastAsia" w:ascii="Times New Roman" w:hAnsi="Times New Roman" w:eastAsia="仿宋_GB2312" w:cs="Times New Roman"/>
          <w:color w:val="000000"/>
          <w:sz w:val="32"/>
          <w:szCs w:val="32"/>
        </w:rPr>
        <w:t>NO</w:t>
      </w:r>
      <w:r>
        <w:rPr>
          <w:rFonts w:hint="eastAsia" w:ascii="Times New Roman" w:hAnsi="Times New Roman" w:eastAsia="仿宋_GB2312" w:cs="Times New Roman"/>
          <w:color w:val="000000"/>
          <w:sz w:val="32"/>
          <w:szCs w:val="32"/>
          <w:vertAlign w:val="subscript"/>
        </w:rPr>
        <w:t>X</w:t>
      </w:r>
      <w:r>
        <w:rPr>
          <w:rFonts w:hint="eastAsia" w:ascii="Times New Roman" w:hAnsi="Times New Roman" w:eastAsia="仿宋_GB2312" w:cs="Times New Roman"/>
          <w:color w:val="000000"/>
          <w:sz w:val="32"/>
          <w:szCs w:val="32"/>
        </w:rPr>
        <w:t>0.335</w:t>
      </w:r>
      <w:r>
        <w:rPr>
          <w:rFonts w:ascii="Times New Roman" w:hAnsi="Times New Roman" w:eastAsia="仿宋_GB2312" w:cs="Times New Roman"/>
          <w:bCs/>
          <w:sz w:val="32"/>
          <w:szCs w:val="32"/>
        </w:rPr>
        <w:t>t</w:t>
      </w:r>
      <w:r>
        <w:rPr>
          <w:rFonts w:ascii="Times New Roman" w:hAnsi="Times New Roman" w:eastAsia="仿宋_GB2312" w:cs="Times New Roman"/>
          <w:color w:val="000000"/>
          <w:sz w:val="32"/>
          <w:szCs w:val="32"/>
        </w:rPr>
        <w:t>/a</w:t>
      </w:r>
      <w:r>
        <w:rPr>
          <w:rFonts w:ascii="Times New Roman" w:hAnsi="Times New Roman" w:eastAsia="仿宋_GB2312" w:cs="Times New Roman"/>
          <w:sz w:val="32"/>
          <w:szCs w:val="32"/>
        </w:rPr>
        <w:t>；主要水污染物排放总量为：</w:t>
      </w:r>
      <w:r>
        <w:rPr>
          <w:rFonts w:ascii="Times New Roman" w:hAnsi="Times New Roman" w:eastAsia="仿宋_GB2312" w:cs="Times New Roman"/>
          <w:bCs/>
          <w:sz w:val="32"/>
          <w:szCs w:val="32"/>
        </w:rPr>
        <w:t>CODcr0.0</w:t>
      </w:r>
      <w:r>
        <w:rPr>
          <w:rFonts w:hint="eastAsia" w:ascii="Times New Roman" w:hAnsi="Times New Roman" w:eastAsia="仿宋_GB2312" w:cs="Times New Roman"/>
          <w:bCs/>
          <w:sz w:val="32"/>
          <w:szCs w:val="32"/>
        </w:rPr>
        <w:t>096</w:t>
      </w:r>
      <w:r>
        <w:rPr>
          <w:rFonts w:ascii="Times New Roman" w:hAnsi="Times New Roman" w:eastAsia="仿宋_GB2312" w:cs="Times New Roman"/>
          <w:bCs/>
          <w:sz w:val="32"/>
          <w:szCs w:val="32"/>
        </w:rPr>
        <w:t>t/a、氨氮</w:t>
      </w:r>
      <w:r>
        <w:rPr>
          <w:rFonts w:ascii="Times New Roman" w:hAnsi="Times New Roman" w:eastAsia="仿宋_GB2312" w:cs="Times New Roman"/>
          <w:sz w:val="32"/>
          <w:szCs w:val="32"/>
        </w:rPr>
        <w:t>0.00</w:t>
      </w:r>
      <w:r>
        <w:rPr>
          <w:rFonts w:hint="eastAsia" w:ascii="Times New Roman" w:hAnsi="Times New Roman" w:eastAsia="仿宋_GB2312" w:cs="Times New Roman"/>
          <w:sz w:val="32"/>
          <w:szCs w:val="32"/>
        </w:rPr>
        <w:t>05</w:t>
      </w:r>
      <w:r>
        <w:rPr>
          <w:rFonts w:ascii="Times New Roman" w:hAnsi="Times New Roman" w:eastAsia="仿宋_GB2312" w:cs="Times New Roman"/>
          <w:sz w:val="32"/>
          <w:szCs w:val="32"/>
        </w:rPr>
        <w:t>t/a</w:t>
      </w:r>
      <w:r>
        <w:rPr>
          <w:rFonts w:hint="eastAsia" w:ascii="仿宋_GB2312" w:hAnsi="仿宋_GB2312" w:eastAsia="仿宋_GB2312" w:cs="仿宋_GB2312"/>
          <w:sz w:val="32"/>
          <w:szCs w:val="32"/>
        </w:rPr>
        <w:t>（经工业污水处理厂处理达标后的排放量）。</w:t>
      </w:r>
    </w:p>
    <w:p>
      <w:pPr>
        <w:keepNext w:val="0"/>
        <w:keepLines w:val="0"/>
        <w:pageBreakBefore w:val="0"/>
        <w:kinsoku/>
        <w:bidi w:val="0"/>
        <w:spacing w:line="576" w:lineRule="exact"/>
        <w:ind w:firstLine="640" w:firstLineChars="200"/>
        <w:textAlignment w:val="auto"/>
        <w:rPr>
          <w:rFonts w:ascii="仿宋_GB2312" w:hAnsi="仿宋_GB2312" w:eastAsia="仿宋_GB2312" w:cs="仿宋_GB2312"/>
          <w:color w:val="000000"/>
          <w:kern w:val="18"/>
          <w:sz w:val="32"/>
          <w:szCs w:val="32"/>
        </w:rPr>
      </w:pPr>
      <w:r>
        <w:rPr>
          <w:rFonts w:hint="eastAsia" w:ascii="黑体" w:hAnsi="黑体" w:eastAsia="黑体" w:cs="黑体"/>
          <w:color w:val="000000"/>
          <w:kern w:val="18"/>
          <w:sz w:val="32"/>
          <w:szCs w:val="32"/>
        </w:rPr>
        <w:t>四、</w:t>
      </w:r>
      <w:r>
        <w:rPr>
          <w:rFonts w:hint="eastAsia" w:ascii="仿宋_GB2312" w:hAnsi="仿宋_GB2312" w:eastAsia="仿宋_GB2312" w:cs="仿宋_GB2312"/>
          <w:color w:val="000000"/>
          <w:kern w:val="18"/>
          <w:sz w:val="32"/>
          <w:szCs w:val="32"/>
        </w:rPr>
        <w:t>项目开工建设前，应依法完备其他行政许可手续。</w:t>
      </w:r>
    </w:p>
    <w:p>
      <w:pPr>
        <w:keepNext w:val="0"/>
        <w:keepLines w:val="0"/>
        <w:pageBreakBefore w:val="0"/>
        <w:kinsoku/>
        <w:overflowPunct w:val="0"/>
        <w:bidi w:val="0"/>
        <w:snapToGrid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color w:val="000000"/>
          <w:kern w:val="18"/>
          <w:sz w:val="32"/>
          <w:szCs w:val="32"/>
        </w:rPr>
        <w:t>五、排污许可和环保</w:t>
      </w:r>
      <w:r>
        <w:rPr>
          <w:rFonts w:hint="eastAsia" w:ascii="黑体" w:hAnsi="黑体" w:eastAsia="黑体" w:cs="黑体"/>
          <w:sz w:val="32"/>
          <w:szCs w:val="32"/>
        </w:rPr>
        <w:t>验收</w:t>
      </w:r>
    </w:p>
    <w:p>
      <w:pPr>
        <w:keepNext w:val="0"/>
        <w:keepLines w:val="0"/>
        <w:pageBreakBefore w:val="0"/>
        <w:kinsoku/>
        <w:overflowPunct w:val="0"/>
        <w:bidi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建设必须严格执行配套建设的环境保护设施与主体工程同时设计、同时施工、同时投产使用的环境保护“三同时”制度。在发生实际排污行为前，按照国家排污许可有关管理规定要求，依法申领排污许可证或者填报排污登记表。建设项目竣工后，应当按照规定的程序和标准，组织对配套建设的环境保护设施及对策措施进行验收，并依法向社会公开验收报告。</w:t>
      </w:r>
    </w:p>
    <w:p>
      <w:pPr>
        <w:keepNext w:val="0"/>
        <w:keepLines w:val="0"/>
        <w:pageBreakBefore w:val="0"/>
        <w:kinsoku/>
        <w:overflowPunct w:val="0"/>
        <w:bidi w:val="0"/>
        <w:snapToGrid w:val="0"/>
        <w:spacing w:line="576" w:lineRule="exact"/>
        <w:ind w:firstLine="640" w:firstLineChars="200"/>
        <w:textAlignment w:val="auto"/>
        <w:rPr>
          <w:rFonts w:ascii="黑体" w:hAnsi="黑体" w:eastAsia="黑体" w:cs="黑体"/>
          <w:color w:val="000000"/>
          <w:kern w:val="18"/>
          <w:sz w:val="32"/>
          <w:szCs w:val="32"/>
        </w:rPr>
      </w:pPr>
      <w:r>
        <w:rPr>
          <w:rFonts w:hint="eastAsia" w:ascii="黑体" w:hAnsi="黑体" w:eastAsia="黑体" w:cs="黑体"/>
          <w:color w:val="000000"/>
          <w:kern w:val="18"/>
          <w:sz w:val="32"/>
          <w:szCs w:val="32"/>
        </w:rPr>
        <w:t>六、其他规定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default" w:ascii="Times New Roman" w:hAnsi="Times New Roman" w:eastAsia="仿宋_GB2312" w:cs="Times New Roman"/>
          <w:spacing w:val="0"/>
          <w:sz w:val="32"/>
          <w:szCs w:val="32"/>
          <w:lang w:eastAsia="zh-CN"/>
        </w:rPr>
      </w:pPr>
      <w:r>
        <w:rPr>
          <w:rFonts w:hint="eastAsia" w:ascii="仿宋_GB2312" w:hAnsi="仿宋_GB2312" w:eastAsia="仿宋_GB2312" w:cs="仿宋_GB2312"/>
          <w:sz w:val="32"/>
          <w:szCs w:val="32"/>
        </w:rPr>
        <w:t>项目环境影响评价文件经批准后，如工程的性质、规模、地点、工艺或者防治污染、防止生态破坏的措施发生重大变动，你公司应当重新报批环境影响评价文件，否则不</w:t>
      </w:r>
      <w:bookmarkStart w:id="0" w:name="_GoBack"/>
      <w:bookmarkEnd w:id="0"/>
      <w:r>
        <w:rPr>
          <w:rFonts w:hint="eastAsia" w:ascii="仿宋_GB2312" w:hAnsi="仿宋_GB2312" w:eastAsia="仿宋_GB2312" w:cs="仿宋_GB2312"/>
          <w:sz w:val="32"/>
          <w:szCs w:val="32"/>
        </w:rPr>
        <w:t>得实施建设。自环</w:t>
      </w:r>
      <w:r>
        <w:rPr>
          <w:rFonts w:ascii="Times New Roman" w:hAnsi="Times New Roman" w:eastAsia="仿宋_GB2312" w:cs="Times New Roman"/>
          <w:sz w:val="32"/>
          <w:szCs w:val="32"/>
        </w:rPr>
        <w:t>境影响评价文件批准之日起，如工程超过5年未开工建设，环境</w:t>
      </w:r>
      <w:r>
        <w:rPr>
          <w:rFonts w:hint="eastAsia" w:ascii="仿宋_GB2312" w:hAnsi="仿宋_GB2312" w:eastAsia="仿宋_GB2312" w:cs="仿宋_GB2312"/>
          <w:sz w:val="32"/>
          <w:szCs w:val="32"/>
        </w:rPr>
        <w:t>影响评价文件应当报我局重新审核。</w:t>
      </w:r>
    </w:p>
    <w:p>
      <w:pPr>
        <w:pStyle w:val="21"/>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仿宋_GB2312" w:eastAsia="仿宋_GB2312" w:cs="仿宋_GB2312"/>
          <w:sz w:val="32"/>
          <w:szCs w:val="32"/>
          <w:lang w:val="en-US" w:eastAsia="zh-CN"/>
        </w:rPr>
      </w:pPr>
    </w:p>
    <w:p>
      <w:pPr>
        <w:pStyle w:val="12"/>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4592" w:firstLineChars="1400"/>
        <w:jc w:val="both"/>
        <w:textAlignment w:val="auto"/>
        <w:rPr>
          <w:rFonts w:hint="default" w:ascii="Times New Roman" w:hAnsi="Times New Roman" w:eastAsia="仿宋_GB2312" w:cs="Times New Roman"/>
          <w:color w:val="auto"/>
          <w:spacing w:val="4"/>
          <w:kern w:val="2"/>
          <w:sz w:val="32"/>
          <w:szCs w:val="32"/>
          <w:lang w:val="en-US" w:eastAsia="zh-CN" w:bidi="ar-SA"/>
        </w:rPr>
      </w:pPr>
      <w:r>
        <w:rPr>
          <w:rFonts w:hint="default" w:ascii="Times New Roman" w:hAnsi="Times New Roman" w:eastAsia="仿宋_GB2312" w:cs="Times New Roman"/>
          <w:color w:val="auto"/>
          <w:spacing w:val="4"/>
          <w:kern w:val="2"/>
          <w:sz w:val="32"/>
          <w:szCs w:val="32"/>
          <w:lang w:val="en-US" w:eastAsia="zh-CN" w:bidi="ar-SA"/>
        </w:rPr>
        <w:t>遂宁市大英生态环境局</w:t>
      </w:r>
    </w:p>
    <w:p>
      <w:pPr>
        <w:keepNext w:val="0"/>
        <w:keepLines w:val="0"/>
        <w:pageBreakBefore w:val="0"/>
        <w:widowControl w:val="0"/>
        <w:kinsoku/>
        <w:wordWrap w:val="0"/>
        <w:overflowPunct/>
        <w:topLinePunct w:val="0"/>
        <w:autoSpaceDE/>
        <w:autoSpaceDN/>
        <w:bidi w:val="0"/>
        <w:adjustRightInd/>
        <w:snapToGrid/>
        <w:spacing w:line="576" w:lineRule="exact"/>
        <w:ind w:left="0" w:leftChars="0"/>
        <w:jc w:val="right"/>
        <w:textAlignment w:val="auto"/>
        <w:rPr>
          <w:rFonts w:hint="default"/>
          <w:lang w:val="en-US" w:eastAsia="zh-CN"/>
        </w:rPr>
      </w:pPr>
      <w:r>
        <w:rPr>
          <w:rFonts w:hint="default" w:ascii="Times New Roman" w:hAnsi="Times New Roman" w:eastAsia="仿宋_GB2312" w:cs="Times New Roman"/>
          <w:kern w:val="2"/>
          <w:sz w:val="32"/>
          <w:szCs w:val="32"/>
          <w:lang w:val="en-US" w:eastAsia="zh-CN" w:bidi="ar-SA"/>
        </w:rPr>
        <w:t>2023年</w:t>
      </w:r>
      <w:r>
        <w:rPr>
          <w:rFonts w:hint="eastAsia" w:ascii="Times New Roman" w:hAnsi="Times New Roman" w:eastAsia="仿宋_GB2312" w:cs="Times New Roman"/>
          <w:kern w:val="2"/>
          <w:sz w:val="32"/>
          <w:szCs w:val="32"/>
          <w:lang w:val="en-US" w:eastAsia="zh-CN" w:bidi="ar-SA"/>
        </w:rPr>
        <w:t>11</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9</w:t>
      </w:r>
      <w:r>
        <w:rPr>
          <w:rFonts w:hint="default" w:ascii="Times New Roman" w:hAnsi="Times New Roman" w:eastAsia="仿宋_GB2312" w:cs="Times New Roman"/>
          <w:kern w:val="2"/>
          <w:sz w:val="32"/>
          <w:szCs w:val="32"/>
          <w:lang w:val="en-US" w:eastAsia="zh-CN" w:bidi="ar-SA"/>
        </w:rPr>
        <w:t>日</w:t>
      </w:r>
      <w:r>
        <w:rPr>
          <w:rFonts w:hint="eastAsia" w:ascii="Times New Roman" w:hAnsi="Times New Roman" w:eastAsia="仿宋_GB2312" w:cs="Times New Roman"/>
          <w:kern w:val="2"/>
          <w:sz w:val="32"/>
          <w:szCs w:val="32"/>
          <w:lang w:val="en-US" w:eastAsia="zh-CN" w:bidi="ar-SA"/>
        </w:rPr>
        <w:t xml:space="preserve">        </w:t>
      </w:r>
    </w:p>
    <w:sectPr>
      <w:footerReference r:id="rId4" w:type="default"/>
      <w:pgSz w:w="11906" w:h="16838"/>
      <w:pgMar w:top="2098" w:right="1474" w:bottom="1417"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-115570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val="0"/>
                            <w:kinsoku/>
                            <w:wordWrap/>
                            <w:overflowPunct/>
                            <w:topLinePunct w:val="0"/>
                            <w:bidi w:val="0"/>
                            <w:adjustRightInd/>
                            <w:snapToGrid w:val="0"/>
                            <w:spacing w:line="600" w:lineRule="exact"/>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1pt;height:144pt;width:144pt;mso-position-horizontal:outside;mso-position-horizontal-relative:margin;mso-wrap-style:none;z-index:251659264;mso-width-relative:page;mso-height-relative:page;" filled="f" stroked="f" coordsize="21600,21600" o:gfxdata="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M35KVPWAAAACAEAAA8AAAAAAAAAAQAgAAAAIgAAAGRycy9kb3ducmV2LnhtbFBL&#10;AQIUABQAAAAIAIdO4kBfyKa93AIAACQGAAAOAAAAAAAAAAEAIAAAACUBAABkcnMvZTJvRG9jLnht&#10;bFBLBQYAAAAABgAGAFkBAABzBgAAAAA=&#10;">
              <v:fill on="f" focussize="0,0"/>
              <v:stroke on="f" weight="0.5pt"/>
              <v:imagedata o:title=""/>
              <o:lock v:ext="edit" aspectratio="f"/>
              <v:textbox inset="0mm,0mm,0mm,0mm" style="mso-fit-shape-to-text:t;">
                <w:txbxContent>
                  <w:p>
                    <w:pPr>
                      <w:pStyle w:val="12"/>
                      <w:keepNext w:val="0"/>
                      <w:keepLines w:val="0"/>
                      <w:pageBreakBefore w:val="0"/>
                      <w:widowControl w:val="0"/>
                      <w:kinsoku/>
                      <w:wordWrap/>
                      <w:overflowPunct/>
                      <w:topLinePunct w:val="0"/>
                      <w:bidi w:val="0"/>
                      <w:adjustRightInd/>
                      <w:snapToGrid w:val="0"/>
                      <w:spacing w:line="600" w:lineRule="exact"/>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GRkZDgxZWJmMmVhM2RmMzA5ZTU0NTY3ZmMzYmMifQ=="/>
  </w:docVars>
  <w:rsids>
    <w:rsidRoot w:val="00000000"/>
    <w:rsid w:val="00200875"/>
    <w:rsid w:val="00951FEE"/>
    <w:rsid w:val="009F3AFC"/>
    <w:rsid w:val="011F28D3"/>
    <w:rsid w:val="01844E19"/>
    <w:rsid w:val="01DD1972"/>
    <w:rsid w:val="01FD40F1"/>
    <w:rsid w:val="02B22144"/>
    <w:rsid w:val="030014CC"/>
    <w:rsid w:val="041E0EAD"/>
    <w:rsid w:val="07445783"/>
    <w:rsid w:val="08076BAC"/>
    <w:rsid w:val="08157D0A"/>
    <w:rsid w:val="082B7D91"/>
    <w:rsid w:val="088675ED"/>
    <w:rsid w:val="089E130F"/>
    <w:rsid w:val="08A70EB9"/>
    <w:rsid w:val="092A1E12"/>
    <w:rsid w:val="094E2162"/>
    <w:rsid w:val="098F0FA5"/>
    <w:rsid w:val="0AE4604C"/>
    <w:rsid w:val="0C4C2651"/>
    <w:rsid w:val="0F410220"/>
    <w:rsid w:val="0F5D7B56"/>
    <w:rsid w:val="0FB35FED"/>
    <w:rsid w:val="10632F32"/>
    <w:rsid w:val="108B04C2"/>
    <w:rsid w:val="11553800"/>
    <w:rsid w:val="12011292"/>
    <w:rsid w:val="129F4917"/>
    <w:rsid w:val="13A050E7"/>
    <w:rsid w:val="14741B39"/>
    <w:rsid w:val="14AA3E63"/>
    <w:rsid w:val="15AB60E4"/>
    <w:rsid w:val="15C947BC"/>
    <w:rsid w:val="16243B6E"/>
    <w:rsid w:val="1735378C"/>
    <w:rsid w:val="17586B74"/>
    <w:rsid w:val="1ACF0994"/>
    <w:rsid w:val="1ADB2985"/>
    <w:rsid w:val="1B326960"/>
    <w:rsid w:val="1BCC1635"/>
    <w:rsid w:val="1D04432C"/>
    <w:rsid w:val="1D1F6E89"/>
    <w:rsid w:val="1DC1221D"/>
    <w:rsid w:val="1DEC2C84"/>
    <w:rsid w:val="1E17071F"/>
    <w:rsid w:val="1E29348B"/>
    <w:rsid w:val="1E6609BF"/>
    <w:rsid w:val="1EAC44A7"/>
    <w:rsid w:val="1F8E271B"/>
    <w:rsid w:val="1FC85967"/>
    <w:rsid w:val="204F3B10"/>
    <w:rsid w:val="20E64474"/>
    <w:rsid w:val="21464F13"/>
    <w:rsid w:val="224F429B"/>
    <w:rsid w:val="23631F61"/>
    <w:rsid w:val="23E07BD5"/>
    <w:rsid w:val="251C281B"/>
    <w:rsid w:val="26672398"/>
    <w:rsid w:val="273A436A"/>
    <w:rsid w:val="27E16961"/>
    <w:rsid w:val="290D5E5A"/>
    <w:rsid w:val="29E46919"/>
    <w:rsid w:val="2A1F2C38"/>
    <w:rsid w:val="2A2D6A04"/>
    <w:rsid w:val="2A784B2D"/>
    <w:rsid w:val="2A785045"/>
    <w:rsid w:val="2AC24BA7"/>
    <w:rsid w:val="2B9E2295"/>
    <w:rsid w:val="2CFA5D9C"/>
    <w:rsid w:val="2DC309C3"/>
    <w:rsid w:val="2EFC29C4"/>
    <w:rsid w:val="2F1C72B3"/>
    <w:rsid w:val="30074A56"/>
    <w:rsid w:val="310F7B8F"/>
    <w:rsid w:val="31442D31"/>
    <w:rsid w:val="31774C75"/>
    <w:rsid w:val="31F50C2D"/>
    <w:rsid w:val="31FD6612"/>
    <w:rsid w:val="32C1089D"/>
    <w:rsid w:val="34047828"/>
    <w:rsid w:val="344E1C6F"/>
    <w:rsid w:val="34996C6F"/>
    <w:rsid w:val="34A22009"/>
    <w:rsid w:val="354A265C"/>
    <w:rsid w:val="363D60B8"/>
    <w:rsid w:val="37225683"/>
    <w:rsid w:val="372748CB"/>
    <w:rsid w:val="376A1E4F"/>
    <w:rsid w:val="38C236CA"/>
    <w:rsid w:val="39116741"/>
    <w:rsid w:val="3965276B"/>
    <w:rsid w:val="3A2A31CC"/>
    <w:rsid w:val="3B313DE1"/>
    <w:rsid w:val="3BD232AA"/>
    <w:rsid w:val="3C1E30AA"/>
    <w:rsid w:val="3C7D32C2"/>
    <w:rsid w:val="3C8A5E5F"/>
    <w:rsid w:val="3E406C06"/>
    <w:rsid w:val="3F810358"/>
    <w:rsid w:val="40B97948"/>
    <w:rsid w:val="415844BA"/>
    <w:rsid w:val="42A751E8"/>
    <w:rsid w:val="433E49AD"/>
    <w:rsid w:val="44000AFA"/>
    <w:rsid w:val="44242A3A"/>
    <w:rsid w:val="46564467"/>
    <w:rsid w:val="47173438"/>
    <w:rsid w:val="486C0E54"/>
    <w:rsid w:val="491F4DFE"/>
    <w:rsid w:val="4944487A"/>
    <w:rsid w:val="4BA71E75"/>
    <w:rsid w:val="4C6267F5"/>
    <w:rsid w:val="4DA81B78"/>
    <w:rsid w:val="4E4D24B7"/>
    <w:rsid w:val="504C6A58"/>
    <w:rsid w:val="509E5922"/>
    <w:rsid w:val="50A22112"/>
    <w:rsid w:val="50D50B0D"/>
    <w:rsid w:val="518979CC"/>
    <w:rsid w:val="52614E59"/>
    <w:rsid w:val="52A56FED"/>
    <w:rsid w:val="54454557"/>
    <w:rsid w:val="54C73958"/>
    <w:rsid w:val="558A2919"/>
    <w:rsid w:val="55D1023B"/>
    <w:rsid w:val="55E55DA1"/>
    <w:rsid w:val="566A0472"/>
    <w:rsid w:val="56B365F2"/>
    <w:rsid w:val="571C1C97"/>
    <w:rsid w:val="577473DD"/>
    <w:rsid w:val="57EE76DD"/>
    <w:rsid w:val="585711D8"/>
    <w:rsid w:val="58AD279A"/>
    <w:rsid w:val="58C4394C"/>
    <w:rsid w:val="58D418CA"/>
    <w:rsid w:val="59030A18"/>
    <w:rsid w:val="59205D38"/>
    <w:rsid w:val="59C94FB5"/>
    <w:rsid w:val="5C46174B"/>
    <w:rsid w:val="5C781657"/>
    <w:rsid w:val="5CBA1D36"/>
    <w:rsid w:val="5D307EFB"/>
    <w:rsid w:val="5D942597"/>
    <w:rsid w:val="5DCB6DD4"/>
    <w:rsid w:val="5DDD5997"/>
    <w:rsid w:val="5EC51967"/>
    <w:rsid w:val="5EFB1046"/>
    <w:rsid w:val="5F13397F"/>
    <w:rsid w:val="5F304531"/>
    <w:rsid w:val="5F7F5B76"/>
    <w:rsid w:val="5F9E07E1"/>
    <w:rsid w:val="60217911"/>
    <w:rsid w:val="60570CFE"/>
    <w:rsid w:val="60B414A2"/>
    <w:rsid w:val="60E60A94"/>
    <w:rsid w:val="61CF012A"/>
    <w:rsid w:val="62BB2173"/>
    <w:rsid w:val="6307250B"/>
    <w:rsid w:val="63133F4E"/>
    <w:rsid w:val="64EF4296"/>
    <w:rsid w:val="670815C7"/>
    <w:rsid w:val="681D537C"/>
    <w:rsid w:val="69966FC3"/>
    <w:rsid w:val="69BE7A7D"/>
    <w:rsid w:val="69CD2D06"/>
    <w:rsid w:val="6A2932E0"/>
    <w:rsid w:val="6A832EF5"/>
    <w:rsid w:val="6AAA7F05"/>
    <w:rsid w:val="6AAE27AE"/>
    <w:rsid w:val="6C846928"/>
    <w:rsid w:val="6D3C5791"/>
    <w:rsid w:val="6E02688E"/>
    <w:rsid w:val="6E550418"/>
    <w:rsid w:val="6E560B0F"/>
    <w:rsid w:val="6EF74724"/>
    <w:rsid w:val="6EFF47BA"/>
    <w:rsid w:val="6F394D3C"/>
    <w:rsid w:val="6F6E3FD1"/>
    <w:rsid w:val="6F705600"/>
    <w:rsid w:val="6FF46C64"/>
    <w:rsid w:val="708C17E3"/>
    <w:rsid w:val="70D24CB2"/>
    <w:rsid w:val="724B2FD5"/>
    <w:rsid w:val="727C1767"/>
    <w:rsid w:val="72B86D8A"/>
    <w:rsid w:val="72C65FB9"/>
    <w:rsid w:val="746F0F41"/>
    <w:rsid w:val="75091655"/>
    <w:rsid w:val="751C3136"/>
    <w:rsid w:val="76150602"/>
    <w:rsid w:val="76FC7D28"/>
    <w:rsid w:val="77992DA9"/>
    <w:rsid w:val="78E7601E"/>
    <w:rsid w:val="78F06C72"/>
    <w:rsid w:val="79C96773"/>
    <w:rsid w:val="7A195E96"/>
    <w:rsid w:val="7B191EC6"/>
    <w:rsid w:val="7C663B77"/>
    <w:rsid w:val="7C7535FD"/>
    <w:rsid w:val="7D1512CD"/>
    <w:rsid w:val="7E17693C"/>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semiHidden/>
    <w:unhideWhenUsed/>
    <w:qFormat/>
    <w:uiPriority w:val="0"/>
    <w:pPr>
      <w:keepNext/>
      <w:keepLines/>
      <w:spacing w:line="560" w:lineRule="exact"/>
      <w:outlineLvl w:val="2"/>
    </w:pPr>
    <w:rPr>
      <w:rFonts w:eastAsia="楷体"/>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5">
    <w:name w:val="List Number"/>
    <w:basedOn w:val="1"/>
    <w:qFormat/>
    <w:uiPriority w:val="0"/>
    <w:pPr>
      <w:numPr>
        <w:ilvl w:val="0"/>
        <w:numId w:val="1"/>
      </w:numPr>
    </w:pPr>
  </w:style>
  <w:style w:type="paragraph" w:styleId="6">
    <w:name w:val="Body Text"/>
    <w:basedOn w:val="1"/>
    <w:qFormat/>
    <w:uiPriority w:val="0"/>
    <w:pPr>
      <w:ind w:left="120"/>
    </w:pPr>
    <w:rPr>
      <w:rFonts w:ascii="宋体" w:hAnsi="宋体"/>
      <w:sz w:val="32"/>
      <w:szCs w:val="32"/>
    </w:rPr>
  </w:style>
  <w:style w:type="paragraph" w:styleId="7">
    <w:name w:val="Body Text Indent"/>
    <w:basedOn w:val="1"/>
    <w:qFormat/>
    <w:uiPriority w:val="0"/>
    <w:pPr>
      <w:spacing w:after="120"/>
      <w:ind w:left="420" w:leftChars="200"/>
    </w:pPr>
  </w:style>
  <w:style w:type="paragraph" w:styleId="8">
    <w:name w:val="Plain Text"/>
    <w:basedOn w:val="1"/>
    <w:qFormat/>
    <w:uiPriority w:val="0"/>
    <w:rPr>
      <w:rFonts w:ascii="宋体" w:hAnsi="Courier New" w:eastAsia="宋体" w:cs="Times New Roman"/>
    </w:rPr>
  </w:style>
  <w:style w:type="paragraph" w:styleId="9">
    <w:name w:val="Body Text Indent 2"/>
    <w:basedOn w:val="1"/>
    <w:next w:val="10"/>
    <w:qFormat/>
    <w:uiPriority w:val="0"/>
    <w:pPr>
      <w:adjustRightInd w:val="0"/>
      <w:snapToGrid w:val="0"/>
      <w:spacing w:line="440" w:lineRule="atLeast"/>
      <w:ind w:firstLine="573"/>
    </w:pPr>
    <w:rPr>
      <w:rFonts w:ascii="宋体"/>
    </w:rPr>
  </w:style>
  <w:style w:type="paragraph" w:customStyle="1" w:styleId="10">
    <w:name w:val="简单回函地址"/>
    <w:basedOn w:val="1"/>
    <w:next w:val="11"/>
    <w:qFormat/>
    <w:uiPriority w:val="0"/>
    <w:rPr>
      <w:szCs w:val="20"/>
    </w:rPr>
  </w:style>
  <w:style w:type="paragraph" w:customStyle="1" w:styleId="11">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6"/>
    <w:basedOn w:val="1"/>
    <w:next w:val="1"/>
    <w:qFormat/>
    <w:uiPriority w:val="0"/>
    <w:pPr>
      <w:ind w:left="2100"/>
    </w:pPr>
    <w:rPr>
      <w:rFonts w:ascii="楷体_GB2312" w:hAnsi="Calibri" w:eastAsia="楷体_GB231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7"/>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_Style 2"/>
    <w:basedOn w:val="1"/>
    <w:qFormat/>
    <w:uiPriority w:val="34"/>
    <w:pPr>
      <w:ind w:firstLine="420" w:firstLineChars="200"/>
    </w:pPr>
  </w:style>
  <w:style w:type="paragraph" w:customStyle="1" w:styleId="21">
    <w:name w:val="常用样式（方正仿宋简）"/>
    <w:basedOn w:val="22"/>
    <w:next w:val="1"/>
    <w:qFormat/>
    <w:uiPriority w:val="0"/>
    <w:pPr>
      <w:spacing w:line="560" w:lineRule="exact"/>
      <w:ind w:firstLine="640" w:firstLineChars="200"/>
    </w:pPr>
    <w:rPr>
      <w:rFonts w:ascii="Times New Roman" w:hAnsi="Times New Roman" w:eastAsia="方正仿宋简体"/>
      <w:sz w:val="32"/>
    </w:rPr>
  </w:style>
  <w:style w:type="paragraph" w:customStyle="1" w:styleId="22">
    <w:name w:val="正文1"/>
    <w:next w:val="2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正文文本1"/>
    <w:basedOn w:val="22"/>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6">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27">
    <w:name w:val="font21"/>
    <w:basedOn w:val="19"/>
    <w:qFormat/>
    <w:uiPriority w:val="0"/>
    <w:rPr>
      <w:rFonts w:hint="eastAsia" w:ascii="宋体" w:hAnsi="宋体" w:eastAsia="宋体" w:cs="宋体"/>
      <w:color w:val="000000"/>
      <w:sz w:val="20"/>
      <w:szCs w:val="20"/>
      <w:u w:val="none"/>
    </w:rPr>
  </w:style>
  <w:style w:type="paragraph" w:customStyle="1" w:styleId="28">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29">
    <w:name w:val="font71"/>
    <w:basedOn w:val="19"/>
    <w:qFormat/>
    <w:uiPriority w:val="0"/>
    <w:rPr>
      <w:rFonts w:hint="eastAsia" w:ascii="宋体" w:hAnsi="宋体" w:eastAsia="宋体" w:cs="宋体"/>
      <w:color w:val="000000"/>
      <w:sz w:val="22"/>
      <w:szCs w:val="22"/>
      <w:u w:val="none"/>
    </w:rPr>
  </w:style>
  <w:style w:type="paragraph" w:customStyle="1" w:styleId="3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867</Words>
  <Characters>895</Characters>
  <Lines>0</Lines>
  <Paragraphs>0</Paragraphs>
  <TotalTime>10</TotalTime>
  <ScaleCrop>false</ScaleCrop>
  <LinksUpToDate>false</LinksUpToDate>
  <CharactersWithSpaces>904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Administrator</cp:lastModifiedBy>
  <cp:lastPrinted>2023-11-10T05:17:59Z</cp:lastPrinted>
  <dcterms:modified xsi:type="dcterms:W3CDTF">2023-11-10T05:21:18Z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770FC33594934BA7A1849BCD676E20C8_13</vt:lpwstr>
  </property>
</Properties>
</file>