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80" w:lineRule="exact"/>
        <w:ind w:firstLine="1760" w:firstLineChars="400"/>
        <w:jc w:val="both"/>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0" w:name="_GoBack"/>
      <w:r>
        <w:rPr>
          <w:rFonts w:hint="default" w:ascii="Times New Roman" w:hAnsi="Times New Roman" w:eastAsia="方正小标宋简体" w:cs="Times New Roman"/>
          <w:color w:val="000000" w:themeColor="text1"/>
          <w:sz w:val="44"/>
          <w:szCs w:val="44"/>
          <w14:textFill>
            <w14:solidFill>
              <w14:schemeClr w14:val="tx1"/>
            </w14:solidFill>
          </w14:textFill>
        </w:rPr>
        <w:t>大英县“十四五”教育发展规划</w:t>
      </w:r>
    </w:p>
    <w:bookmarkEnd w:id="0"/>
    <w:p>
      <w:pPr>
        <w:snapToGrid w:val="0"/>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napToGrid w:val="0"/>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四五”时期是我国完成全面建成小康社会、实现第一个百年奋斗目标之后，迈向全面建设社会主义现代化国家新征程、向第二个百年奋斗目标进军的第一个五年，是承上启下、继往开来的关键时期。在大力实施教育强国战略、乡村振兴战略、建设成渝地区双城经济圈战略以及成遂协同发展、遂潼一体化发展等国、省、市重大战略部署之际，大英教育面临着前所未有的发展机遇。为推动大英教育事业改革发展和教育现代化进程，努力办好人民满意的教育，根据《</w:t>
      </w:r>
      <w:r>
        <w:rPr>
          <w:rFonts w:hint="default" w:ascii="Times New Roman" w:hAnsi="Times New Roman" w:eastAsia="仿宋_GB2312" w:cs="Times New Roman"/>
          <w:bCs/>
          <w:color w:val="000000" w:themeColor="text1"/>
          <w:sz w:val="32"/>
          <w:szCs w:val="32"/>
          <w14:textFill>
            <w14:solidFill>
              <w14:schemeClr w14:val="tx1"/>
            </w14:solidFill>
          </w14:textFill>
        </w:rPr>
        <w:t>中共中央关于制定国民经济和社会发展第十四个五年规划和二</w:t>
      </w:r>
      <w:r>
        <w:rPr>
          <w:rFonts w:hint="default" w:ascii="Times New Roman" w:hAnsi="Times New Roman" w:cs="Times New Roman"/>
          <w:bCs/>
          <w:color w:val="000000" w:themeColor="text1"/>
          <w:sz w:val="32"/>
          <w:szCs w:val="32"/>
          <w14:textFill>
            <w14:solidFill>
              <w14:schemeClr w14:val="tx1"/>
            </w14:solidFill>
          </w14:textFill>
        </w:rPr>
        <w:t>〇</w:t>
      </w:r>
      <w:r>
        <w:rPr>
          <w:rFonts w:hint="default" w:ascii="Times New Roman" w:hAnsi="Times New Roman" w:eastAsia="仿宋_GB2312" w:cs="Times New Roman"/>
          <w:bCs/>
          <w:color w:val="000000" w:themeColor="text1"/>
          <w:sz w:val="32"/>
          <w:szCs w:val="32"/>
          <w14:textFill>
            <w14:solidFill>
              <w14:schemeClr w14:val="tx1"/>
            </w14:solidFill>
          </w14:textFill>
        </w:rPr>
        <w:t>三五年远景目标的建议</w:t>
      </w:r>
      <w:r>
        <w:rPr>
          <w:rFonts w:hint="default" w:ascii="Times New Roman" w:hAnsi="Times New Roman" w:eastAsia="仿宋_GB2312" w:cs="Times New Roman"/>
          <w:color w:val="000000" w:themeColor="text1"/>
          <w:sz w:val="32"/>
          <w:szCs w:val="32"/>
          <w14:textFill>
            <w14:solidFill>
              <w14:schemeClr w14:val="tx1"/>
            </w14:solidFill>
          </w14:textFill>
        </w:rPr>
        <w:t>》，以及省、市教育发展规划，紧密结合大英县今后五年经济、政治、社会、文化、生态发展需要，制定本规划。</w:t>
      </w:r>
    </w:p>
    <w:p>
      <w:pPr>
        <w:snapToGrid w:val="0"/>
        <w:spacing w:line="580" w:lineRule="exact"/>
        <w:ind w:firstLine="560" w:firstLineChars="200"/>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 xml:space="preserve"> </w:t>
      </w:r>
    </w:p>
    <w:p>
      <w:pPr>
        <w:pStyle w:val="20"/>
        <w:snapToGrid w:val="0"/>
        <w:spacing w:line="580" w:lineRule="exact"/>
        <w:ind w:firstLine="0" w:firstLineChars="0"/>
        <w:jc w:val="center"/>
        <w:outlineLvl w:val="0"/>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第一章  规划背景</w:t>
      </w:r>
    </w:p>
    <w:p>
      <w:pPr>
        <w:snapToGrid w:val="0"/>
        <w:spacing w:line="580" w:lineRule="exact"/>
        <w:ind w:firstLine="640" w:firstLineChars="200"/>
        <w:outlineLvl w:val="1"/>
        <w:rPr>
          <w:rFonts w:hint="default" w:ascii="Times New Roman" w:hAnsi="Times New Roman" w:eastAsia="黑体" w:cs="Times New Roman"/>
          <w:b/>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一、“十三五”大英教育发展成绩</w:t>
      </w:r>
    </w:p>
    <w:p>
      <w:pPr>
        <w:adjustRightInd w:val="0"/>
        <w:snapToGrid w:val="0"/>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期间，大英县委、县政府在推动经济社会发展的同时，始终秉持教育优先发展战略，紧紧围绕“教师以在大英教书为荣，学生以在大英读书为荣，社会以大英教育为荣”目标，以前所未有的力度加大教育投入，大力推动教育事业持续、健康、科学发展。</w:t>
      </w:r>
    </w:p>
    <w:p>
      <w:pPr>
        <w:adjustRightInd w:val="0"/>
        <w:snapToGrid w:val="0"/>
        <w:spacing w:line="580" w:lineRule="exact"/>
        <w:ind w:left="640"/>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（一）系统党建全面加强</w:t>
      </w:r>
    </w:p>
    <w:p>
      <w:pPr>
        <w:adjustRightInd w:val="0"/>
        <w:snapToGrid w:val="0"/>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以“三会一课”规范化、阵地建设标准化为抓手，抓实抓牢党建工作。成立党建工作领导小组，实行分级管理，党建工作纳入中小学、幼儿园目标管理考核。76个基层党组织按期换届选举，新建</w:t>
      </w:r>
      <w:r>
        <w:rPr>
          <w:rFonts w:hint="default" w:ascii="Times New Roman" w:hAnsi="Times New Roman" w:cs="Times New Roman"/>
          <w:color w:val="000000" w:themeColor="text1"/>
          <w:sz w:val="32"/>
          <w:szCs w:val="32"/>
          <w14:textFill>
            <w14:solidFill>
              <w14:schemeClr w14:val="tx1"/>
            </w14:solidFill>
          </w14:textFill>
        </w:rPr>
        <w:t>郪</w:t>
      </w:r>
      <w:r>
        <w:rPr>
          <w:rFonts w:hint="default" w:ascii="Times New Roman" w:hAnsi="Times New Roman" w:eastAsia="仿宋_GB2312" w:cs="Times New Roman"/>
          <w:color w:val="000000" w:themeColor="text1"/>
          <w:sz w:val="32"/>
          <w:szCs w:val="32"/>
          <w14:textFill>
            <w14:solidFill>
              <w14:schemeClr w14:val="tx1"/>
            </w14:solidFill>
          </w14:textFill>
        </w:rPr>
        <w:t>江幼儿园等基层党支部3个。62名机关党员到76个基层党组织、47名基层党员到民办建制幼儿园对口指导帮扶党建工作。实施基层党组织书记、党务干部“全覆盖培训计划”，累计培训650人次。积极推进阵地标准化建设，累计投入资金80余万元，建设标准化党员活动室74个、面积4000平方米，打造基层党建示范点5个，推动系统党建工作提档升级。</w:t>
      </w:r>
    </w:p>
    <w:p>
      <w:pPr>
        <w:adjustRightInd w:val="0"/>
        <w:snapToGrid w:val="0"/>
        <w:spacing w:line="580" w:lineRule="exact"/>
        <w:ind w:left="640"/>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（二）基础教育加快发展</w:t>
      </w:r>
    </w:p>
    <w:p>
      <w:pPr>
        <w:adjustRightInd w:val="0"/>
        <w:snapToGrid w:val="0"/>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办学条件持续改善。投入4.71亿元，新建幼儿园1所，迁建幼儿园4所，改扩建及维修改造幼儿园（含附设幼儿园）27所，实现每个镇有公办幼儿园目标；实施改薄项目学校55所，完成40所义务教育学校标准化建设，顺利通过“义务教育发展基本均衡县”省级和国家督导评估，实现义务教育发展基本均衡；化解两所高中学校历史遗留债务1.23亿元。学前教育更加规范，12所幼儿园被评为市级示范园，3所幼儿园被评为省级示范园，1所幼儿园被评为“全国生态文明教育特色学校”“全国足球特色幼儿园”。义务教育特色彰显，实验学校成功创建“全国心理健康教育特色学校”，</w:t>
      </w:r>
      <w:r>
        <w:rPr>
          <w:rFonts w:hint="default" w:ascii="Times New Roman" w:hAnsi="Times New Roman" w:cs="Times New Roman"/>
          <w:color w:val="000000" w:themeColor="text1"/>
          <w:sz w:val="32"/>
          <w:szCs w:val="32"/>
          <w14:textFill>
            <w14:solidFill>
              <w14:schemeClr w14:val="tx1"/>
            </w14:solidFill>
          </w14:textFill>
        </w:rPr>
        <w:t>郪</w:t>
      </w:r>
      <w:r>
        <w:rPr>
          <w:rFonts w:hint="default" w:ascii="Times New Roman" w:hAnsi="Times New Roman" w:eastAsia="仿宋_GB2312" w:cs="Times New Roman"/>
          <w:color w:val="000000" w:themeColor="text1"/>
          <w:sz w:val="32"/>
          <w:szCs w:val="32"/>
          <w14:textFill>
            <w14:solidFill>
              <w14:schemeClr w14:val="tx1"/>
            </w14:solidFill>
          </w14:textFill>
        </w:rPr>
        <w:t>江外国语学校“废旧报纸创意艺术工作坊”获全国第六届中小学生艺术展演一等奖，两次被央视少儿频道专题报道；县教育体育局连续三年被评为“全国主题教育读书活动先进集体”。普高教育更加优质，大英中学成功创建为“四川省一级示范性高中”，加入西南大学领衔的四川省“149”教育联盟，与清华大学建立特长生培养共同体，举办创新拔尖人才培养实验班，2019年高考3名学生被清华、北大录取，被评为“全国教育系统先进集体”。</w:t>
      </w:r>
    </w:p>
    <w:p>
      <w:pPr>
        <w:adjustRightInd w:val="0"/>
        <w:snapToGrid w:val="0"/>
        <w:spacing w:line="580" w:lineRule="exact"/>
        <w:ind w:left="640"/>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（三）职业教育突破发展</w:t>
      </w:r>
    </w:p>
    <w:p>
      <w:pPr>
        <w:adjustRightInd w:val="0"/>
        <w:snapToGrid w:val="0"/>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中等职业学校由建县初的1所发展到3所，2020年在校人数达到2991人。县中职校创建为国家中等职业教育改革发展示范校，“现代学徒制综合改革项目”代表遂宁市通过省综改办评估验收，汽车运用与维修专业（新能源）创建省示范专业，被教育部确定为“1+x”证书试点单位。深化校企合作，为盛马化工开设石油化工班、为丝路奇幻城等文旅项目开设旅游班，带动市内6家电子企业加入大英职教集团。引进四川文轩职业学院，实现县域高等教育零的突破，推动中职、高职有效衔接。</w:t>
      </w:r>
    </w:p>
    <w:p>
      <w:pPr>
        <w:adjustRightInd w:val="0"/>
        <w:snapToGrid w:val="0"/>
        <w:spacing w:line="580" w:lineRule="exact"/>
        <w:ind w:left="640"/>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（四）教育改革扎实推进</w:t>
      </w:r>
    </w:p>
    <w:p>
      <w:pPr>
        <w:snapToGrid w:val="0"/>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2017年，率先在全市推行教师“县管校聘”改革，全县公办学校、幼儿园副校（园）级干部和中层干部竞聘上岗，激发了队伍活力，优化了干部结构。探索集团化办学管理体制改革，组建2个教育集团和9个教育联盟，采取城区学校与农村学校联合、优质学校与薄弱学校联合、老校带新校模式，实现教育优质资源共享。</w:t>
      </w:r>
    </w:p>
    <w:p>
      <w:pPr>
        <w:adjustRightInd w:val="0"/>
        <w:snapToGrid w:val="0"/>
        <w:spacing w:line="580" w:lineRule="exact"/>
        <w:ind w:left="640"/>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（五）队伍建设持续加强</w:t>
      </w:r>
    </w:p>
    <w:p>
      <w:pPr>
        <w:adjustRightInd w:val="0"/>
        <w:snapToGrid w:val="0"/>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坚持多方式多渠道引才聚才。招聘中小学、幼儿园教师714人（含公费师范生124人），为两所高中招聘硕士研究生等高层次人才9人，招聘“三支一扶”志愿者9人、西部计划特岗教师6人、“银龄讲学计划”退休教师24人。加大教师培训力度，依托“国培计划”、高中课改培训、“名师讲坛”“校长大讲堂”、三级（省、市、县）培训等方式，共培训教师19518人次，培训校（园）长及校级干部、中层干部4610人次。推进“三名工程”建设，全县共有特级教师12名、省学术和技术带头人后备人选2人、省级名师名校长名班主任5人、市级名师名校长名班主任12名、县骨干教师260名，四川省首批名师名校长工作室领衔人1名、工作室1个，市名师名校长名班主任工作室2个。</w:t>
      </w:r>
    </w:p>
    <w:p>
      <w:pPr>
        <w:adjustRightInd w:val="0"/>
        <w:snapToGrid w:val="0"/>
        <w:spacing w:line="580" w:lineRule="exact"/>
        <w:ind w:left="640"/>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（六）教育扶贫精准落实</w:t>
      </w:r>
    </w:p>
    <w:p>
      <w:pPr>
        <w:adjustRightInd w:val="0"/>
        <w:snapToGrid w:val="0"/>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聚焦义务教育有保障，紧扣“志智双扶”，强化责任落实，坚持三个“不少”，压茬推进精准扶贫。全面落实教育资助政策，共发放各类资助救助金1.12亿元，受益学生18.2万人次，实现资助精准、应助尽助，全县无学生因贫辍学。20余名帮扶干部先后获得省、市、县表扬，县教育体育局被省委省政府、市委市政府评为“脱贫攻坚‘五个一’帮扶先进集体”。教育对口帮扶援助工作扎实有效，《遂宁市大英县“四个三”机制做实教育对口帮扶援助工作》被四川省委教育工委、省教育厅以《工作简报》（第50期）及教育要闻的形式在全省交流推广。</w:t>
      </w:r>
    </w:p>
    <w:p>
      <w:pPr>
        <w:adjustRightInd w:val="0"/>
        <w:snapToGrid w:val="0"/>
        <w:spacing w:line="2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snapToGrid w:val="0"/>
        <w:spacing w:line="58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专栏1  大英教育事业“十三五”时期主要成就</w:t>
      </w:r>
    </w:p>
    <w:p>
      <w:pPr>
        <w:adjustRightInd w:val="0"/>
        <w:snapToGrid w:val="0"/>
        <w:spacing w:line="24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p>
    <w:tbl>
      <w:tblPr>
        <w:tblStyle w:val="1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3296"/>
        <w:gridCol w:w="1432"/>
        <w:gridCol w:w="1576"/>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1329" w:type="dxa"/>
            <w:vAlign w:val="center"/>
          </w:tcPr>
          <w:p>
            <w:pPr>
              <w:pStyle w:val="12"/>
              <w:snapToGrid w:val="0"/>
              <w:spacing w:before="0" w:beforeAutospacing="0" w:after="0" w:afterAutospacing="0"/>
              <w:jc w:val="center"/>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教育层次</w:t>
            </w:r>
          </w:p>
        </w:tc>
        <w:tc>
          <w:tcPr>
            <w:tcW w:w="3296" w:type="dxa"/>
            <w:vAlign w:val="center"/>
          </w:tcPr>
          <w:p>
            <w:pPr>
              <w:pStyle w:val="12"/>
              <w:snapToGrid w:val="0"/>
              <w:spacing w:before="0" w:beforeAutospacing="0" w:after="0" w:afterAutospacing="0"/>
              <w:jc w:val="center"/>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项目名称</w:t>
            </w:r>
          </w:p>
        </w:tc>
        <w:tc>
          <w:tcPr>
            <w:tcW w:w="1432" w:type="dxa"/>
            <w:vAlign w:val="center"/>
          </w:tcPr>
          <w:p>
            <w:pPr>
              <w:pStyle w:val="12"/>
              <w:snapToGrid w:val="0"/>
              <w:spacing w:before="0" w:beforeAutospacing="0" w:after="0" w:afterAutospacing="0"/>
              <w:jc w:val="center"/>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2015年</w:t>
            </w:r>
          </w:p>
        </w:tc>
        <w:tc>
          <w:tcPr>
            <w:tcW w:w="1576" w:type="dxa"/>
            <w:vAlign w:val="center"/>
          </w:tcPr>
          <w:p>
            <w:pPr>
              <w:pStyle w:val="12"/>
              <w:snapToGrid w:val="0"/>
              <w:spacing w:before="0" w:beforeAutospacing="0" w:after="0" w:afterAutospacing="0"/>
              <w:jc w:val="center"/>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2020年</w:t>
            </w:r>
          </w:p>
        </w:tc>
        <w:tc>
          <w:tcPr>
            <w:tcW w:w="1719" w:type="dxa"/>
            <w:vAlign w:val="center"/>
          </w:tcPr>
          <w:p>
            <w:pPr>
              <w:pStyle w:val="12"/>
              <w:snapToGrid w:val="0"/>
              <w:spacing w:before="0" w:beforeAutospacing="0" w:after="0" w:afterAutospacing="0"/>
              <w:jc w:val="center"/>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比2015年</w:t>
            </w:r>
          </w:p>
          <w:p>
            <w:pPr>
              <w:pStyle w:val="12"/>
              <w:snapToGrid w:val="0"/>
              <w:spacing w:before="0" w:beforeAutospacing="0" w:after="0" w:afterAutospacing="0"/>
              <w:jc w:val="center"/>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329" w:type="dxa"/>
            <w:vMerge w:val="restart"/>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学前教育</w:t>
            </w:r>
          </w:p>
        </w:tc>
        <w:tc>
          <w:tcPr>
            <w:tcW w:w="329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幼儿园在园人数（万人）</w:t>
            </w:r>
          </w:p>
        </w:tc>
        <w:tc>
          <w:tcPr>
            <w:tcW w:w="143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1.37</w:t>
            </w:r>
          </w:p>
        </w:tc>
        <w:tc>
          <w:tcPr>
            <w:tcW w:w="157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1.3011</w:t>
            </w:r>
          </w:p>
        </w:tc>
        <w:tc>
          <w:tcPr>
            <w:tcW w:w="1719"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329" w:type="dxa"/>
            <w:vMerge w:val="continue"/>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p>
        </w:tc>
        <w:tc>
          <w:tcPr>
            <w:tcW w:w="329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学前三年毛入园率（%）</w:t>
            </w:r>
          </w:p>
        </w:tc>
        <w:tc>
          <w:tcPr>
            <w:tcW w:w="143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80.9</w:t>
            </w:r>
          </w:p>
        </w:tc>
        <w:tc>
          <w:tcPr>
            <w:tcW w:w="157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91.06</w:t>
            </w:r>
          </w:p>
        </w:tc>
        <w:tc>
          <w:tcPr>
            <w:tcW w:w="1719"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329" w:type="dxa"/>
            <w:vMerge w:val="continue"/>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p>
        </w:tc>
        <w:tc>
          <w:tcPr>
            <w:tcW w:w="329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普惠幼儿园覆盖率（%）</w:t>
            </w:r>
          </w:p>
        </w:tc>
        <w:tc>
          <w:tcPr>
            <w:tcW w:w="143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57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89.89</w:t>
            </w:r>
          </w:p>
        </w:tc>
        <w:tc>
          <w:tcPr>
            <w:tcW w:w="1719"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329" w:type="dxa"/>
            <w:vMerge w:val="continue"/>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p>
        </w:tc>
        <w:tc>
          <w:tcPr>
            <w:tcW w:w="329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公办园在园幼儿占比（%）</w:t>
            </w:r>
          </w:p>
        </w:tc>
        <w:tc>
          <w:tcPr>
            <w:tcW w:w="143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35.43</w:t>
            </w:r>
          </w:p>
        </w:tc>
        <w:tc>
          <w:tcPr>
            <w:tcW w:w="157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50.05</w:t>
            </w:r>
          </w:p>
        </w:tc>
        <w:tc>
          <w:tcPr>
            <w:tcW w:w="1719"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329" w:type="dxa"/>
            <w:vMerge w:val="restart"/>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义务教育</w:t>
            </w:r>
          </w:p>
        </w:tc>
        <w:tc>
          <w:tcPr>
            <w:tcW w:w="329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在校生（万人）</w:t>
            </w:r>
          </w:p>
        </w:tc>
        <w:tc>
          <w:tcPr>
            <w:tcW w:w="143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3.38</w:t>
            </w:r>
          </w:p>
        </w:tc>
        <w:tc>
          <w:tcPr>
            <w:tcW w:w="157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3.9449</w:t>
            </w:r>
          </w:p>
        </w:tc>
        <w:tc>
          <w:tcPr>
            <w:tcW w:w="1719"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329" w:type="dxa"/>
            <w:vMerge w:val="continue"/>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p>
        </w:tc>
        <w:tc>
          <w:tcPr>
            <w:tcW w:w="329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适龄儿童入学率（%）</w:t>
            </w:r>
          </w:p>
        </w:tc>
        <w:tc>
          <w:tcPr>
            <w:tcW w:w="143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100</w:t>
            </w:r>
          </w:p>
        </w:tc>
        <w:tc>
          <w:tcPr>
            <w:tcW w:w="157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100</w:t>
            </w:r>
          </w:p>
        </w:tc>
        <w:tc>
          <w:tcPr>
            <w:tcW w:w="1719"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329" w:type="dxa"/>
            <w:vMerge w:val="continue"/>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p>
        </w:tc>
        <w:tc>
          <w:tcPr>
            <w:tcW w:w="329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小学六年巩固率（%）</w:t>
            </w:r>
          </w:p>
        </w:tc>
        <w:tc>
          <w:tcPr>
            <w:tcW w:w="143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96</w:t>
            </w:r>
          </w:p>
        </w:tc>
        <w:tc>
          <w:tcPr>
            <w:tcW w:w="157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99.32</w:t>
            </w:r>
          </w:p>
        </w:tc>
        <w:tc>
          <w:tcPr>
            <w:tcW w:w="1719"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329" w:type="dxa"/>
            <w:vMerge w:val="continue"/>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p>
        </w:tc>
        <w:tc>
          <w:tcPr>
            <w:tcW w:w="329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初中三年巩固率（%）</w:t>
            </w:r>
          </w:p>
        </w:tc>
        <w:tc>
          <w:tcPr>
            <w:tcW w:w="143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96</w:t>
            </w:r>
          </w:p>
        </w:tc>
        <w:tc>
          <w:tcPr>
            <w:tcW w:w="157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98.24</w:t>
            </w:r>
          </w:p>
        </w:tc>
        <w:tc>
          <w:tcPr>
            <w:tcW w:w="1719"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329" w:type="dxa"/>
            <w:vMerge w:val="continue"/>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p>
        </w:tc>
        <w:tc>
          <w:tcPr>
            <w:tcW w:w="329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残疾儿童义务阶段入学率（%）</w:t>
            </w:r>
          </w:p>
        </w:tc>
        <w:tc>
          <w:tcPr>
            <w:tcW w:w="143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95</w:t>
            </w:r>
          </w:p>
        </w:tc>
        <w:tc>
          <w:tcPr>
            <w:tcW w:w="157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97.4</w:t>
            </w:r>
          </w:p>
        </w:tc>
        <w:tc>
          <w:tcPr>
            <w:tcW w:w="1719"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329" w:type="dxa"/>
            <w:vMerge w:val="restart"/>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高中阶段</w:t>
            </w:r>
          </w:p>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教育</w:t>
            </w:r>
          </w:p>
        </w:tc>
        <w:tc>
          <w:tcPr>
            <w:tcW w:w="329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毛入学率（%）</w:t>
            </w:r>
          </w:p>
        </w:tc>
        <w:tc>
          <w:tcPr>
            <w:tcW w:w="143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86.67</w:t>
            </w:r>
          </w:p>
        </w:tc>
        <w:tc>
          <w:tcPr>
            <w:tcW w:w="157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92.91</w:t>
            </w:r>
          </w:p>
        </w:tc>
        <w:tc>
          <w:tcPr>
            <w:tcW w:w="1719"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329" w:type="dxa"/>
            <w:vMerge w:val="continue"/>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p>
        </w:tc>
        <w:tc>
          <w:tcPr>
            <w:tcW w:w="329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在校生（万人）</w:t>
            </w:r>
          </w:p>
        </w:tc>
        <w:tc>
          <w:tcPr>
            <w:tcW w:w="143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1.03</w:t>
            </w:r>
          </w:p>
        </w:tc>
        <w:tc>
          <w:tcPr>
            <w:tcW w:w="157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0.9054</w:t>
            </w:r>
          </w:p>
        </w:tc>
        <w:tc>
          <w:tcPr>
            <w:tcW w:w="1719"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329" w:type="dxa"/>
            <w:vMerge w:val="continue"/>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p>
        </w:tc>
        <w:tc>
          <w:tcPr>
            <w:tcW w:w="329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普通高中在校生（万人）</w:t>
            </w:r>
          </w:p>
        </w:tc>
        <w:tc>
          <w:tcPr>
            <w:tcW w:w="143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0.72</w:t>
            </w:r>
          </w:p>
        </w:tc>
        <w:tc>
          <w:tcPr>
            <w:tcW w:w="157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0.6064</w:t>
            </w:r>
          </w:p>
        </w:tc>
        <w:tc>
          <w:tcPr>
            <w:tcW w:w="1719"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329" w:type="dxa"/>
            <w:vMerge w:val="continue"/>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p>
        </w:tc>
        <w:tc>
          <w:tcPr>
            <w:tcW w:w="329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职业教育在校生（万人）</w:t>
            </w:r>
          </w:p>
        </w:tc>
        <w:tc>
          <w:tcPr>
            <w:tcW w:w="143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0.31</w:t>
            </w:r>
          </w:p>
        </w:tc>
        <w:tc>
          <w:tcPr>
            <w:tcW w:w="157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0.299</w:t>
            </w:r>
          </w:p>
        </w:tc>
        <w:tc>
          <w:tcPr>
            <w:tcW w:w="1719"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329"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高等教育</w:t>
            </w:r>
          </w:p>
        </w:tc>
        <w:tc>
          <w:tcPr>
            <w:tcW w:w="329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录取率（%）</w:t>
            </w:r>
          </w:p>
        </w:tc>
        <w:tc>
          <w:tcPr>
            <w:tcW w:w="143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80.4</w:t>
            </w:r>
          </w:p>
        </w:tc>
        <w:tc>
          <w:tcPr>
            <w:tcW w:w="157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85.42</w:t>
            </w:r>
          </w:p>
        </w:tc>
        <w:tc>
          <w:tcPr>
            <w:tcW w:w="1719"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329"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继续教育</w:t>
            </w:r>
          </w:p>
        </w:tc>
        <w:tc>
          <w:tcPr>
            <w:tcW w:w="329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从业人员继续教育（万人次）</w:t>
            </w:r>
          </w:p>
        </w:tc>
        <w:tc>
          <w:tcPr>
            <w:tcW w:w="143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0.62</w:t>
            </w:r>
          </w:p>
        </w:tc>
        <w:tc>
          <w:tcPr>
            <w:tcW w:w="157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0.55</w:t>
            </w:r>
          </w:p>
        </w:tc>
        <w:tc>
          <w:tcPr>
            <w:tcW w:w="1719"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-11.29</w:t>
            </w:r>
          </w:p>
        </w:tc>
      </w:tr>
    </w:tbl>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1"/>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说明：</w:t>
      </w:r>
      <w:r>
        <w:rPr>
          <w:rFonts w:hint="default" w:ascii="Times New Roman" w:hAnsi="Times New Roman" w:cs="Times New Roman"/>
          <w:color w:val="000000" w:themeColor="text1"/>
          <w:szCs w:val="21"/>
          <w14:textFill>
            <w14:solidFill>
              <w14:schemeClr w14:val="tx1"/>
            </w14:solidFill>
          </w14:textFill>
        </w:rPr>
        <w:t>1.因适龄学生人数减少，2020年幼儿园在园人数、高中阶段在校生、普通高中在校生、职业教育在校生四项指标有所下降；2.2020年受新冠疫情影响，部分线下培训未能开展，故从业人员继续教育人数较2015年有所减少。</w:t>
      </w:r>
    </w:p>
    <w:p>
      <w:pPr>
        <w:snapToGrid w:val="0"/>
        <w:spacing w:line="580" w:lineRule="exact"/>
        <w:ind w:firstLine="640" w:firstLineChars="200"/>
        <w:outlineLvl w:val="1"/>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二、“十三五”大英教育存在的主要问题</w:t>
      </w:r>
    </w:p>
    <w:p>
      <w:pPr>
        <w:adjustRightInd w:val="0"/>
        <w:snapToGrid w:val="0"/>
        <w:spacing w:line="580" w:lineRule="exact"/>
        <w:ind w:left="640"/>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（一）教育财政投入还需加大</w:t>
      </w:r>
    </w:p>
    <w:p>
      <w:pPr>
        <w:snapToGrid w:val="0"/>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基础教育投入不够充分，城区学校学位不足，“大班额”“大校额”现象依然存在，随迁子女入学不断增加与城镇学校的学位紧缺矛盾尤为突出。教育信息化建设投入不足，部分学校信息化教学设施设备缺口大、设施设备老旧。“健康教室”建设力度不够。教师培训经费不足。“教育附加费的30%用于职业教育”未落实到位。</w:t>
      </w:r>
    </w:p>
    <w:p>
      <w:pPr>
        <w:pStyle w:val="21"/>
        <w:widowControl/>
        <w:snapToGrid w:val="0"/>
        <w:spacing w:line="580" w:lineRule="exact"/>
        <w:ind w:firstLine="642" w:firstLineChars="200"/>
        <w:jc w:val="both"/>
        <w:rPr>
          <w:rFonts w:hint="default" w:ascii="Times New Roman" w:hAnsi="Times New Roman" w:eastAsia="楷体_GB2312" w:cs="Times New Roman"/>
          <w:b/>
          <w:color w:val="000000" w:themeColor="text1"/>
          <w:kern w:val="2"/>
          <w:sz w:val="32"/>
          <w:szCs w:val="32"/>
          <w14:textFill>
            <w14:solidFill>
              <w14:schemeClr w14:val="tx1"/>
            </w14:solidFill>
          </w14:textFill>
        </w:rPr>
      </w:pPr>
      <w:r>
        <w:rPr>
          <w:rFonts w:hint="default" w:ascii="Times New Roman" w:hAnsi="Times New Roman" w:eastAsia="楷体_GB2312" w:cs="Times New Roman"/>
          <w:b/>
          <w:color w:val="000000" w:themeColor="text1"/>
          <w:kern w:val="2"/>
          <w:sz w:val="32"/>
          <w:szCs w:val="32"/>
          <w14:textFill>
            <w14:solidFill>
              <w14:schemeClr w14:val="tx1"/>
            </w14:solidFill>
          </w14:textFill>
        </w:rPr>
        <w:t>（二）教育资源配置还需优化</w:t>
      </w:r>
    </w:p>
    <w:p>
      <w:pPr>
        <w:pStyle w:val="21"/>
        <w:widowControl/>
        <w:snapToGrid w:val="0"/>
        <w:spacing w:line="580" w:lineRule="exact"/>
        <w:ind w:firstLine="640" w:firstLineChars="200"/>
        <w:jc w:val="both"/>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随着城市化进程的不断推进，“城挤乡弱村空”现象日益突出，造成教育资源分布不平衡和极大浪费。因此，需科学规划学校布局，完善教师编制动态调整机制，不断优化教育资源配置、激发教师队伍活力。</w:t>
      </w:r>
    </w:p>
    <w:p>
      <w:pPr>
        <w:pStyle w:val="21"/>
        <w:widowControl/>
        <w:snapToGrid w:val="0"/>
        <w:spacing w:line="580" w:lineRule="exact"/>
        <w:ind w:firstLine="642" w:firstLineChars="200"/>
        <w:jc w:val="both"/>
        <w:rPr>
          <w:rFonts w:hint="default" w:ascii="Times New Roman" w:hAnsi="Times New Roman" w:eastAsia="楷体_GB2312" w:cs="Times New Roman"/>
          <w:b/>
          <w:color w:val="000000" w:themeColor="text1"/>
          <w:kern w:val="2"/>
          <w:sz w:val="32"/>
          <w:szCs w:val="32"/>
          <w14:textFill>
            <w14:solidFill>
              <w14:schemeClr w14:val="tx1"/>
            </w14:solidFill>
          </w14:textFill>
        </w:rPr>
      </w:pPr>
      <w:r>
        <w:rPr>
          <w:rFonts w:hint="default" w:ascii="Times New Roman" w:hAnsi="Times New Roman" w:eastAsia="楷体_GB2312" w:cs="Times New Roman"/>
          <w:b/>
          <w:color w:val="000000" w:themeColor="text1"/>
          <w:kern w:val="2"/>
          <w:sz w:val="32"/>
          <w:szCs w:val="32"/>
          <w14:textFill>
            <w14:solidFill>
              <w14:schemeClr w14:val="tx1"/>
            </w14:solidFill>
          </w14:textFill>
        </w:rPr>
        <w:t>（三）教师队伍建设还需加强</w:t>
      </w:r>
    </w:p>
    <w:p>
      <w:pPr>
        <w:snapToGrid w:val="0"/>
        <w:spacing w:line="580" w:lineRule="exact"/>
        <w:ind w:firstLine="60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教师编制不足、</w:t>
      </w:r>
      <w:r>
        <w:rPr>
          <w:rFonts w:hint="default" w:ascii="Times New Roman" w:hAnsi="Times New Roman" w:eastAsia="仿宋_GB2312" w:cs="Times New Roman"/>
          <w:color w:val="000000" w:themeColor="text1"/>
          <w:sz w:val="32"/>
          <w:szCs w:val="32"/>
          <w14:textFill>
            <w14:solidFill>
              <w14:schemeClr w14:val="tx1"/>
            </w14:solidFill>
          </w14:textFill>
        </w:rPr>
        <w:t>结构性缺编、</w:t>
      </w:r>
      <w:r>
        <w:rPr>
          <w:rFonts w:hint="default" w:ascii="Times New Roman" w:hAnsi="Times New Roman" w:eastAsia="仿宋_GB2312" w:cs="Times New Roman"/>
          <w:color w:val="000000" w:themeColor="text1"/>
          <w:sz w:val="30"/>
          <w:szCs w:val="30"/>
          <w14:textFill>
            <w14:solidFill>
              <w14:schemeClr w14:val="tx1"/>
            </w14:solidFill>
          </w14:textFill>
        </w:rPr>
        <w:t>结构比例不合理严重制约着学科教育良性发展，</w:t>
      </w:r>
      <w:r>
        <w:rPr>
          <w:rFonts w:hint="default" w:ascii="Times New Roman" w:hAnsi="Times New Roman" w:eastAsia="仿宋_GB2312" w:cs="Times New Roman"/>
          <w:color w:val="000000" w:themeColor="text1"/>
          <w:sz w:val="32"/>
          <w:szCs w:val="32"/>
          <w14:textFill>
            <w14:solidFill>
              <w14:schemeClr w14:val="tx1"/>
            </w14:solidFill>
          </w14:textFill>
        </w:rPr>
        <w:t>“专业不专教”现象、农村学校老龄化现象突出，少数学校外聘教师较多。青年教师的专业素养和业务水平还需进一步提高。心理健康教育、信息技术等专业人才紧缺，教师教育信息化运用能力不强。教研队伍薄弱，专职教研员配比不足。</w:t>
      </w:r>
    </w:p>
    <w:p>
      <w:pPr>
        <w:pStyle w:val="21"/>
        <w:widowControl/>
        <w:snapToGrid w:val="0"/>
        <w:spacing w:line="580" w:lineRule="exact"/>
        <w:ind w:firstLine="642" w:firstLineChars="200"/>
        <w:jc w:val="both"/>
        <w:rPr>
          <w:rFonts w:hint="default" w:ascii="Times New Roman" w:hAnsi="Times New Roman" w:eastAsia="楷体_GB2312" w:cs="Times New Roman"/>
          <w:b/>
          <w:color w:val="000000" w:themeColor="text1"/>
          <w:kern w:val="2"/>
          <w:sz w:val="32"/>
          <w:szCs w:val="32"/>
          <w14:textFill>
            <w14:solidFill>
              <w14:schemeClr w14:val="tx1"/>
            </w14:solidFill>
          </w14:textFill>
        </w:rPr>
      </w:pPr>
      <w:r>
        <w:rPr>
          <w:rFonts w:hint="default" w:ascii="Times New Roman" w:hAnsi="Times New Roman" w:eastAsia="楷体_GB2312" w:cs="Times New Roman"/>
          <w:b/>
          <w:color w:val="000000" w:themeColor="text1"/>
          <w:kern w:val="2"/>
          <w:sz w:val="32"/>
          <w:szCs w:val="32"/>
          <w14:textFill>
            <w14:solidFill>
              <w14:schemeClr w14:val="tx1"/>
            </w14:solidFill>
          </w14:textFill>
        </w:rPr>
        <w:t>（四）教育教学质量还需提升</w:t>
      </w:r>
    </w:p>
    <w:p>
      <w:pPr>
        <w:snapToGrid w:val="0"/>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部分学校未深入贯彻落实“立德树人”根本任务和“五育并举”育人理念，不同程度存在重智轻德与应试教育倾向。教育改革滞后于新时代改革开放步伐，教学方法滞后于课程改革要求，地方课程、校本课程建设推进缓慢。普高教育不能完全满足人民群众对优质教育的需求，职业教育服务社会能力有待加强，产教融合、校企合作亟需深化。</w:t>
      </w:r>
    </w:p>
    <w:p>
      <w:pPr>
        <w:snapToGrid w:val="0"/>
        <w:spacing w:line="580" w:lineRule="exact"/>
        <w:ind w:firstLine="640" w:firstLineChars="200"/>
        <w:outlineLvl w:val="1"/>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三、“十四五”大英教育面临的机遇与挑战</w:t>
      </w:r>
    </w:p>
    <w:p>
      <w:pPr>
        <w:pStyle w:val="21"/>
        <w:widowControl/>
        <w:snapToGrid w:val="0"/>
        <w:spacing w:line="580" w:lineRule="exact"/>
        <w:ind w:firstLine="642" w:firstLineChars="200"/>
        <w:jc w:val="both"/>
        <w:rPr>
          <w:rFonts w:hint="default" w:ascii="Times New Roman" w:hAnsi="Times New Roman" w:eastAsia="楷体_GB2312" w:cs="Times New Roman"/>
          <w:b/>
          <w:color w:val="000000" w:themeColor="text1"/>
          <w:kern w:val="2"/>
          <w:sz w:val="32"/>
          <w:szCs w:val="32"/>
          <w14:textFill>
            <w14:solidFill>
              <w14:schemeClr w14:val="tx1"/>
            </w14:solidFill>
          </w14:textFill>
        </w:rPr>
      </w:pPr>
      <w:r>
        <w:rPr>
          <w:rFonts w:hint="default" w:ascii="Times New Roman" w:hAnsi="Times New Roman" w:eastAsia="楷体_GB2312" w:cs="Times New Roman"/>
          <w:b/>
          <w:color w:val="000000" w:themeColor="text1"/>
          <w:kern w:val="2"/>
          <w:sz w:val="32"/>
          <w:szCs w:val="32"/>
          <w14:textFill>
            <w14:solidFill>
              <w14:schemeClr w14:val="tx1"/>
            </w14:solidFill>
          </w14:textFill>
        </w:rPr>
        <w:t>（一）把握新机遇</w:t>
      </w:r>
    </w:p>
    <w:p>
      <w:pPr>
        <w:snapToGrid w:val="0"/>
        <w:spacing w:line="580" w:lineRule="exact"/>
        <w:ind w:firstLine="642"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1.成渝地区双城经济圈建设。</w:t>
      </w:r>
      <w:r>
        <w:rPr>
          <w:rFonts w:hint="default" w:ascii="Times New Roman" w:hAnsi="Times New Roman" w:eastAsia="仿宋_GB2312" w:cs="Times New Roman"/>
          <w:bCs/>
          <w:color w:val="000000" w:themeColor="text1"/>
          <w:sz w:val="32"/>
          <w:szCs w:val="32"/>
          <w14:textFill>
            <w14:solidFill>
              <w14:schemeClr w14:val="tx1"/>
            </w14:solidFill>
          </w14:textFill>
        </w:rPr>
        <w:t>2020年10月，中共中央政治局审议通过《成渝地区双城经济圈建设规划纲要》，为推动成渝两地经济建设，形成优势互补、高质量发展的区域经济布局，进一步拓展市场空间、优化和稳定产业链供应链，构建以国内大循环为主体、国内国际双循环相互促进的新发展格局提供了基本遵循。成渝两地经济发展，必将带动教育事业的大繁荣，进一步</w:t>
      </w:r>
      <w:r>
        <w:rPr>
          <w:rFonts w:hint="default" w:ascii="Times New Roman" w:hAnsi="Times New Roman" w:eastAsia="仿宋_GB2312" w:cs="Times New Roman"/>
          <w:color w:val="000000" w:themeColor="text1"/>
          <w:sz w:val="32"/>
          <w:szCs w:val="32"/>
          <w14:textFill>
            <w14:solidFill>
              <w14:schemeClr w14:val="tx1"/>
            </w14:solidFill>
          </w14:textFill>
        </w:rPr>
        <w:t>助力大英教育快速发展。大英教育将依托成渝两地的优质教育资源，积极实施开放带动战略，加快与成渝名校交流协作，实现资源共享、借力提升。</w:t>
      </w:r>
    </w:p>
    <w:p>
      <w:pPr>
        <w:snapToGrid w:val="0"/>
        <w:spacing w:line="580" w:lineRule="exact"/>
        <w:ind w:firstLine="642"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2.成遂协同发展。</w:t>
      </w:r>
      <w:r>
        <w:rPr>
          <w:rFonts w:hint="default" w:ascii="Times New Roman" w:hAnsi="Times New Roman" w:eastAsia="仿宋_GB2312" w:cs="Times New Roman"/>
          <w:bCs/>
          <w:color w:val="000000" w:themeColor="text1"/>
          <w:sz w:val="32"/>
          <w:szCs w:val="32"/>
          <w14:textFill>
            <w14:solidFill>
              <w14:schemeClr w14:val="tx1"/>
            </w14:solidFill>
          </w14:textFill>
        </w:rPr>
        <w:t>2017年3月，成遂协同发展框架协议在成都正式签署。成遂牵手从基础设施互联互通、产业优势互补、协同发展平台建设、民生领域改革发展等多个领域强化协同发展，进一步深化两市多层次、宽领域、全方位合作，开创共赢发展新局面。大英作为成遂协同发展先行区，激励大英教育主动作为，加强对外交流合作，加快自身发展，进一步</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凸显</w:t>
      </w:r>
      <w:r>
        <w:rPr>
          <w:rFonts w:hint="default" w:ascii="Times New Roman" w:hAnsi="Times New Roman" w:eastAsia="仿宋_GB2312" w:cs="Times New Roman"/>
          <w:bCs/>
          <w:color w:val="000000" w:themeColor="text1"/>
          <w:sz w:val="32"/>
          <w:szCs w:val="32"/>
          <w14:textFill>
            <w14:solidFill>
              <w14:schemeClr w14:val="tx1"/>
            </w14:solidFill>
          </w14:textFill>
        </w:rPr>
        <w:t>教育基础性、先导性、全局性地位。</w:t>
      </w:r>
    </w:p>
    <w:p>
      <w:pPr>
        <w:snapToGrid w:val="0"/>
        <w:spacing w:line="580" w:lineRule="exact"/>
        <w:ind w:firstLine="642"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3.遂潼一体化发展。</w:t>
      </w:r>
      <w:r>
        <w:rPr>
          <w:rFonts w:hint="default" w:ascii="Times New Roman" w:hAnsi="Times New Roman" w:eastAsia="仿宋_GB2312" w:cs="Times New Roman"/>
          <w:bCs/>
          <w:color w:val="000000" w:themeColor="text1"/>
          <w:sz w:val="32"/>
          <w:szCs w:val="32"/>
          <w14:textFill>
            <w14:solidFill>
              <w14:schemeClr w14:val="tx1"/>
            </w14:solidFill>
          </w14:textFill>
        </w:rPr>
        <w:t>2018年8月，遂潼两地签订区域战略合作框架协议，联合印发《推进区域协同发展战略合作协议责任分工表》，明确20个合作事项。遂潼一体化发展，推动遂宁从成渝“地理中心”向“发展轴心”转变，从“中部塌陷”向“中部崛起”挺进。大英将借助遂潼一体化发展东风，主动谋划、深远布局，科学定位、积极作为，全力融入遂宁中心城区，加快融城发展、协同发展，推动教育崛起壮大。</w:t>
      </w:r>
    </w:p>
    <w:p>
      <w:pPr>
        <w:pStyle w:val="21"/>
        <w:widowControl/>
        <w:snapToGrid w:val="0"/>
        <w:spacing w:line="580" w:lineRule="exact"/>
        <w:ind w:firstLine="642" w:firstLineChars="200"/>
        <w:jc w:val="both"/>
        <w:rPr>
          <w:rFonts w:hint="default" w:ascii="Times New Roman" w:hAnsi="Times New Roman" w:eastAsia="楷体_GB2312" w:cs="Times New Roman"/>
          <w:b/>
          <w:color w:val="000000" w:themeColor="text1"/>
          <w:kern w:val="2"/>
          <w:sz w:val="32"/>
          <w:szCs w:val="32"/>
          <w14:textFill>
            <w14:solidFill>
              <w14:schemeClr w14:val="tx1"/>
            </w14:solidFill>
          </w14:textFill>
        </w:rPr>
      </w:pPr>
      <w:r>
        <w:rPr>
          <w:rFonts w:hint="default" w:ascii="Times New Roman" w:hAnsi="Times New Roman" w:eastAsia="楷体_GB2312" w:cs="Times New Roman"/>
          <w:b/>
          <w:color w:val="000000" w:themeColor="text1"/>
          <w:kern w:val="2"/>
          <w:sz w:val="32"/>
          <w:szCs w:val="32"/>
          <w14:textFill>
            <w14:solidFill>
              <w14:schemeClr w14:val="tx1"/>
            </w14:solidFill>
          </w14:textFill>
        </w:rPr>
        <w:t>（二）应对新挑战</w:t>
      </w:r>
    </w:p>
    <w:p>
      <w:pPr>
        <w:snapToGrid w:val="0"/>
        <w:spacing w:line="580" w:lineRule="exact"/>
        <w:ind w:firstLine="642"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1.教育开放带来的竞争日益加剧。</w:t>
      </w:r>
      <w:r>
        <w:rPr>
          <w:rFonts w:hint="default" w:ascii="Times New Roman" w:hAnsi="Times New Roman" w:eastAsia="仿宋_GB2312" w:cs="Times New Roman"/>
          <w:bCs/>
          <w:color w:val="000000" w:themeColor="text1"/>
          <w:sz w:val="32"/>
          <w:szCs w:val="32"/>
          <w14:textFill>
            <w14:solidFill>
              <w14:schemeClr w14:val="tx1"/>
            </w14:solidFill>
          </w14:textFill>
        </w:rPr>
        <w:t>随着成渝地区双城经济圈建设的进一步推进，成遂协作、遂潼合作日益密切，大英融城发展、协同发展步伐不断加快，</w:t>
      </w:r>
      <w:r>
        <w:rPr>
          <w:rFonts w:hint="default" w:ascii="Times New Roman" w:hAnsi="Times New Roman" w:eastAsia="仿宋_GB2312" w:cs="Times New Roman"/>
          <w:color w:val="000000" w:themeColor="text1"/>
          <w:sz w:val="32"/>
          <w:szCs w:val="32"/>
          <w14:textFill>
            <w14:solidFill>
              <w14:schemeClr w14:val="tx1"/>
            </w14:solidFill>
          </w14:textFill>
        </w:rPr>
        <w:t>区域之间、学校之间的优秀教师、优质生源等竞争愈发激烈。由于历史和现实诸多原因，大英在竞争中不占优势，制约大英教育质量提升、学校品牌打造，影响大英教育又好又快发展进程。</w:t>
      </w:r>
    </w:p>
    <w:p>
      <w:pPr>
        <w:snapToGrid w:val="0"/>
        <w:spacing w:line="580" w:lineRule="exact"/>
        <w:ind w:firstLine="642"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2.建设社会主义现代化强国和实现教育现代化的新要求。</w:t>
      </w:r>
      <w:r>
        <w:rPr>
          <w:rFonts w:hint="default" w:ascii="Times New Roman" w:hAnsi="Times New Roman" w:eastAsia="仿宋_GB2312" w:cs="Times New Roman"/>
          <w:color w:val="000000" w:themeColor="text1"/>
          <w:sz w:val="32"/>
          <w:szCs w:val="32"/>
          <w14:textFill>
            <w14:solidFill>
              <w14:schemeClr w14:val="tx1"/>
            </w14:solidFill>
          </w14:textFill>
        </w:rPr>
        <w:t>到2035年基本实现教育现代化，已经成为我国教育发展远景目标。大英教育为顺应国家教育现代化的新形势、新要求，必须在教育理念更新、教育设施优化、教育信息技术升级、教育体系与治理能力提升等方面增添新举措、实现新突破、取得新成就。</w:t>
      </w:r>
    </w:p>
    <w:p>
      <w:pPr>
        <w:snapToGrid w:val="0"/>
        <w:spacing w:line="540" w:lineRule="exact"/>
        <w:jc w:val="center"/>
        <w:outlineLvl w:val="0"/>
        <w:rPr>
          <w:rFonts w:hint="default" w:ascii="Times New Roman" w:hAnsi="Times New Roman" w:eastAsia="黑体" w:cs="Times New Roman"/>
          <w:bCs/>
          <w:color w:val="000000" w:themeColor="text1"/>
          <w:sz w:val="32"/>
          <w:szCs w:val="32"/>
          <w14:textFill>
            <w14:solidFill>
              <w14:schemeClr w14:val="tx1"/>
            </w14:solidFill>
          </w14:textFill>
        </w:rPr>
      </w:pPr>
    </w:p>
    <w:p>
      <w:pPr>
        <w:snapToGrid w:val="0"/>
        <w:spacing w:line="540" w:lineRule="exact"/>
        <w:jc w:val="center"/>
        <w:outlineLvl w:val="0"/>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第二章 发展战略</w:t>
      </w:r>
    </w:p>
    <w:p>
      <w:pPr>
        <w:snapToGrid w:val="0"/>
        <w:spacing w:line="540" w:lineRule="exact"/>
        <w:ind w:firstLine="640" w:firstLineChars="200"/>
        <w:outlineLvl w:val="1"/>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一、指导思想</w:t>
      </w:r>
    </w:p>
    <w:p>
      <w:pPr>
        <w:snapToGrid w:val="0"/>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习近平新时代中国特色社会主义思想为指导，全面贯彻落实党的教育方针，坚持立德树人根本任务，培养德智体美劳全面发展的社会主义建设者和接班人，坚持“教师以在大英教书为荣，学生以在大英读书为荣，社会以大英教育为荣”工作目标，紧紧围绕大英经济社会总体发展战略，全面加强党对教育工作的领导，落实教育优先发展战略，统筹规划、科学布局，优化结构、弥补短板，强化内涵、提高质量，统配资源、促进公平，深化改革、强力保障，全方位打造大英教育品牌，提升教育质量，实现大英教育新跨越，为大英实施融城发展、协同发展战略，加快融入成渝地区双城经济圈建设提供智力支撑和人才保障，为2035年实现教育现代化打下坚实基础。</w:t>
      </w:r>
    </w:p>
    <w:p>
      <w:pPr>
        <w:snapToGrid w:val="0"/>
        <w:spacing w:line="580" w:lineRule="exact"/>
        <w:ind w:firstLine="640" w:firstLineChars="200"/>
        <w:outlineLvl w:val="1"/>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二、实施原则</w:t>
      </w:r>
    </w:p>
    <w:p>
      <w:pPr>
        <w:snapToGrid w:val="0"/>
        <w:spacing w:line="580" w:lineRule="exact"/>
        <w:ind w:firstLine="642"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——立足当前，谋划长远。</w:t>
      </w:r>
      <w:r>
        <w:rPr>
          <w:rFonts w:hint="default" w:ascii="Times New Roman" w:hAnsi="Times New Roman" w:eastAsia="仿宋_GB2312" w:cs="Times New Roman"/>
          <w:color w:val="000000" w:themeColor="text1"/>
          <w:sz w:val="32"/>
          <w:szCs w:val="32"/>
          <w14:textFill>
            <w14:solidFill>
              <w14:schemeClr w14:val="tx1"/>
            </w14:solidFill>
          </w14:textFill>
        </w:rPr>
        <w:t>坚持教育“十四五”发展目标与教育现代化2035中长期目标相衔接，满足现实需要，谋划远期目标，促进长远发展。发挥基础优势，顺应教育改革发展大趋势，破解瓶颈，加快大英教育现代化进程。</w:t>
      </w:r>
    </w:p>
    <w:p>
      <w:pPr>
        <w:snapToGrid w:val="0"/>
        <w:spacing w:line="580" w:lineRule="exact"/>
        <w:ind w:firstLine="642"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——尊重规律，改革创新。</w:t>
      </w:r>
      <w:r>
        <w:rPr>
          <w:rFonts w:hint="default" w:ascii="Times New Roman" w:hAnsi="Times New Roman" w:eastAsia="仿宋_GB2312" w:cs="Times New Roman"/>
          <w:color w:val="000000" w:themeColor="text1"/>
          <w:sz w:val="32"/>
          <w:szCs w:val="32"/>
          <w14:textFill>
            <w14:solidFill>
              <w14:schemeClr w14:val="tx1"/>
            </w14:solidFill>
          </w14:textFill>
        </w:rPr>
        <w:t>根据大英经济社会产业结构升级调整和城乡一体化发展需求，遵循教育发展规律，深化教育领域综合改革，着力推动教育理念创新、制度创新和实践创新，以教育高质量发展推动大英经济社会高质量发展。</w:t>
      </w:r>
    </w:p>
    <w:p>
      <w:pPr>
        <w:snapToGrid w:val="0"/>
        <w:spacing w:line="580" w:lineRule="exact"/>
        <w:ind w:firstLine="642"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——聚焦重点，统筹兼顾。</w:t>
      </w:r>
      <w:r>
        <w:rPr>
          <w:rFonts w:hint="default" w:ascii="Times New Roman" w:hAnsi="Times New Roman" w:eastAsia="仿宋_GB2312" w:cs="Times New Roman"/>
          <w:bCs/>
          <w:color w:val="000000" w:themeColor="text1"/>
          <w:sz w:val="32"/>
          <w:szCs w:val="32"/>
          <w14:textFill>
            <w14:solidFill>
              <w14:schemeClr w14:val="tx1"/>
            </w14:solidFill>
          </w14:textFill>
        </w:rPr>
        <w:t>聚焦重点领域和重点问题，抓住主要矛盾，坚持补齐短板和提高质量并举，以重点突破带动全局发展。统筹兼顾各级各类教育发展规模、结构、质量和效益，促进大英教育事业协调健康发展。</w:t>
      </w:r>
    </w:p>
    <w:p>
      <w:pPr>
        <w:snapToGrid w:val="0"/>
        <w:spacing w:line="580" w:lineRule="exact"/>
        <w:ind w:firstLine="642"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——问题导向，注重实效。</w:t>
      </w:r>
      <w:r>
        <w:rPr>
          <w:rFonts w:hint="default" w:ascii="Times New Roman" w:hAnsi="Times New Roman" w:eastAsia="仿宋_GB2312" w:cs="Times New Roman"/>
          <w:bCs/>
          <w:color w:val="000000" w:themeColor="text1"/>
          <w:sz w:val="32"/>
          <w:szCs w:val="32"/>
          <w14:textFill>
            <w14:solidFill>
              <w14:schemeClr w14:val="tx1"/>
            </w14:solidFill>
          </w14:textFill>
        </w:rPr>
        <w:t>以办好人民满意的教育为宗旨，坚持问题导向，深入调查研究，精准把握教育面临的困难和挑战，解决教育发展所需、基层学校所困、人民群众所盼的热点和难点问题，实现各级各类教育更高水平、更有质量发展。</w:t>
      </w:r>
    </w:p>
    <w:p>
      <w:pPr>
        <w:snapToGrid w:val="0"/>
        <w:spacing w:line="580" w:lineRule="exact"/>
        <w:ind w:firstLine="640" w:firstLineChars="200"/>
        <w:outlineLvl w:val="1"/>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三、发展目标</w:t>
      </w:r>
    </w:p>
    <w:p>
      <w:pPr>
        <w:snapToGrid w:val="0"/>
        <w:spacing w:line="60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围绕“三个为荣”教育目标，加快教育强县建设，办好人民满意的教育。坚持教育公益性原则，深化教育改革，促进教育公平。稳妥推进中小学、幼儿园布局调整，优化配置城乡教育资源。加强公办幼儿园建设，加快推进学前教育普及普惠发展，</w:t>
      </w:r>
      <w:r>
        <w:rPr>
          <w:rFonts w:hint="default" w:ascii="Times New Roman" w:hAnsi="Times New Roman" w:eastAsia="仿宋_GB2312" w:cs="Times New Roman"/>
          <w:color w:val="000000" w:themeColor="text1"/>
          <w:sz w:val="32"/>
          <w:szCs w:val="32"/>
          <w14:textFill>
            <w14:solidFill>
              <w14:schemeClr w14:val="tx1"/>
            </w14:solidFill>
          </w14:textFill>
        </w:rPr>
        <w:t>创建一批“省级示范性幼儿园”</w:t>
      </w:r>
      <w:r>
        <w:rPr>
          <w:rFonts w:hint="default" w:ascii="Times New Roman" w:hAnsi="Times New Roman" w:eastAsia="仿宋_GB2312" w:cs="Times New Roman"/>
          <w:bCs/>
          <w:color w:val="000000" w:themeColor="text1"/>
          <w:sz w:val="32"/>
          <w:szCs w:val="32"/>
          <w14:textFill>
            <w14:solidFill>
              <w14:schemeClr w14:val="tx1"/>
            </w14:solidFill>
          </w14:textFill>
        </w:rPr>
        <w:t>。着力义务教育优质均衡发展，进一步缩小义务教育城乡差距和校际差距，</w:t>
      </w:r>
      <w:r>
        <w:rPr>
          <w:rFonts w:hint="default" w:ascii="Times New Roman" w:hAnsi="Times New Roman" w:eastAsia="仿宋_GB2312" w:cs="Times New Roman"/>
          <w:color w:val="000000" w:themeColor="text1"/>
          <w:sz w:val="32"/>
          <w:szCs w:val="32"/>
          <w14:textFill>
            <w14:solidFill>
              <w14:schemeClr w14:val="tx1"/>
            </w14:solidFill>
          </w14:textFill>
        </w:rPr>
        <w:t>创建国家义务教育优质均衡发展县。加强办学管理标准化建设，创建一批“省义务教育优质发展共同体领航学校”</w:t>
      </w:r>
      <w:r>
        <w:rPr>
          <w:rFonts w:hint="default" w:ascii="Times New Roman" w:hAnsi="Times New Roman" w:eastAsia="仿宋_GB2312" w:cs="Times New Roman"/>
          <w:bCs/>
          <w:color w:val="000000" w:themeColor="text1"/>
          <w:sz w:val="32"/>
          <w:szCs w:val="32"/>
          <w14:textFill>
            <w14:solidFill>
              <w14:schemeClr w14:val="tx1"/>
            </w14:solidFill>
          </w14:textFill>
        </w:rPr>
        <w:t>。推动普高教育特色多元发展，切实提升大英中学、育才中学办学质量，努力把大英中学办成“四川省一级示范性普通高中（引领型）”，育才中学办成“市级特色办学普通高中”。提升职业教育整体水平，依托县中职</w:t>
      </w:r>
      <w:r>
        <w:rPr>
          <w:rFonts w:hint="default" w:ascii="Times New Roman" w:hAnsi="Times New Roman" w:eastAsia="仿宋_GB2312" w:cs="Times New Roman"/>
          <w:color w:val="000000" w:themeColor="text1"/>
          <w:sz w:val="32"/>
          <w:szCs w:val="32"/>
          <w14:textFill>
            <w14:solidFill>
              <w14:schemeClr w14:val="tx1"/>
            </w14:solidFill>
          </w14:textFill>
        </w:rPr>
        <w:t>校深化职普融通、产教</w:t>
      </w:r>
      <w:r>
        <w:rPr>
          <w:rFonts w:hint="default" w:ascii="Times New Roman" w:hAnsi="Times New Roman" w:eastAsia="仿宋_GB2312" w:cs="Times New Roman"/>
          <w:bCs/>
          <w:color w:val="000000" w:themeColor="text1"/>
          <w:sz w:val="32"/>
          <w:szCs w:val="32"/>
          <w14:textFill>
            <w14:solidFill>
              <w14:schemeClr w14:val="tx1"/>
            </w14:solidFill>
          </w14:textFill>
        </w:rPr>
        <w:t>融合、校企合作，让职业教育更好地服务区域经济发展。加快发展高等教育，支持四川文轩职业学院如期建成投用、招生入校，积极争创示范性高职院校，加快申办职业本科大学，着力打造职业教育大基地。深化新时代教师队伍建设体制机制改革，加强师德师风建设，按照“四有好老师”“四个引路人”标准，打造高素质、专业化、创新型教师队伍。支持和规范民办教育发展，规范校外培训机构。完善特殊教育体制机制，推进特殊教育优质全纳发展。推进教育开放和终身教育体系建设，大力发展在线教育、社区教育，建设学习型社会。健全学校家庭社会协同育人机制，构建党政机关、社会团体、企事业单位及镇（街道）、村（社区）、家庭共同育人格局。加强语言文字工作，贯彻落实国务院办公厅《关于全面加强新时代语言文字工作的意见》，全力推进语言文字事业改革发展。</w:t>
      </w:r>
    </w:p>
    <w:p>
      <w:pPr>
        <w:snapToGrid w:val="0"/>
        <w:spacing w:line="24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p>
    <w:p>
      <w:pPr>
        <w:snapToGrid w:val="0"/>
        <w:spacing w:line="58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专栏2  大英教育事业“十四五”发展主要目标</w:t>
      </w:r>
    </w:p>
    <w:p>
      <w:pPr>
        <w:snapToGrid w:val="0"/>
        <w:spacing w:line="24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441"/>
        <w:gridCol w:w="1403"/>
        <w:gridCol w:w="1122"/>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jc w:val="center"/>
        </w:trPr>
        <w:tc>
          <w:tcPr>
            <w:tcW w:w="1696" w:type="dxa"/>
            <w:vAlign w:val="center"/>
          </w:tcPr>
          <w:p>
            <w:pPr>
              <w:pStyle w:val="12"/>
              <w:snapToGrid w:val="0"/>
              <w:spacing w:before="0" w:beforeAutospacing="0" w:after="0" w:afterAutospacing="0"/>
              <w:jc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教育层次</w:t>
            </w:r>
          </w:p>
        </w:tc>
        <w:tc>
          <w:tcPr>
            <w:tcW w:w="3441" w:type="dxa"/>
            <w:vAlign w:val="center"/>
          </w:tcPr>
          <w:p>
            <w:pPr>
              <w:pStyle w:val="12"/>
              <w:snapToGrid w:val="0"/>
              <w:spacing w:before="0" w:beforeAutospacing="0" w:after="0" w:afterAutospacing="0"/>
              <w:jc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拟规划项目名称</w:t>
            </w:r>
          </w:p>
        </w:tc>
        <w:tc>
          <w:tcPr>
            <w:tcW w:w="1403" w:type="dxa"/>
            <w:vAlign w:val="center"/>
          </w:tcPr>
          <w:p>
            <w:pPr>
              <w:pStyle w:val="12"/>
              <w:snapToGrid w:val="0"/>
              <w:spacing w:before="0" w:beforeAutospacing="0" w:after="0" w:afterAutospacing="0"/>
              <w:jc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2020年</w:t>
            </w:r>
          </w:p>
        </w:tc>
        <w:tc>
          <w:tcPr>
            <w:tcW w:w="1122" w:type="dxa"/>
            <w:vAlign w:val="center"/>
          </w:tcPr>
          <w:p>
            <w:pPr>
              <w:pStyle w:val="12"/>
              <w:snapToGrid w:val="0"/>
              <w:spacing w:before="0" w:beforeAutospacing="0" w:after="0" w:afterAutospacing="0"/>
              <w:jc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2025年</w:t>
            </w:r>
          </w:p>
        </w:tc>
        <w:tc>
          <w:tcPr>
            <w:tcW w:w="1150" w:type="dxa"/>
            <w:vAlign w:val="center"/>
          </w:tcPr>
          <w:p>
            <w:pPr>
              <w:pStyle w:val="12"/>
              <w:snapToGrid w:val="0"/>
              <w:spacing w:before="0" w:beforeAutospacing="0" w:after="0" w:afterAutospacing="0"/>
              <w:jc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bCs/>
                <w:color w:val="000000" w:themeColor="text1"/>
                <w:sz w:val="24"/>
                <w:szCs w:val="24"/>
                <w14:textFill>
                  <w14:solidFill>
                    <w14:schemeClr w14:val="tx1"/>
                  </w14:solidFill>
                </w14:textFill>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96" w:type="dxa"/>
            <w:vMerge w:val="restart"/>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学前教育</w:t>
            </w:r>
          </w:p>
        </w:tc>
        <w:tc>
          <w:tcPr>
            <w:tcW w:w="3441"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幼儿在园人数（万人）</w:t>
            </w:r>
          </w:p>
        </w:tc>
        <w:tc>
          <w:tcPr>
            <w:tcW w:w="1403"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1.3011</w:t>
            </w:r>
          </w:p>
        </w:tc>
        <w:tc>
          <w:tcPr>
            <w:tcW w:w="112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1.38</w:t>
            </w:r>
          </w:p>
        </w:tc>
        <w:tc>
          <w:tcPr>
            <w:tcW w:w="1150"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96" w:type="dxa"/>
            <w:vMerge w:val="continue"/>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p>
        </w:tc>
        <w:tc>
          <w:tcPr>
            <w:tcW w:w="3441"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学前三年毛入园率（%）</w:t>
            </w:r>
          </w:p>
        </w:tc>
        <w:tc>
          <w:tcPr>
            <w:tcW w:w="1403"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91.06</w:t>
            </w:r>
          </w:p>
        </w:tc>
        <w:tc>
          <w:tcPr>
            <w:tcW w:w="112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92</w:t>
            </w:r>
          </w:p>
        </w:tc>
        <w:tc>
          <w:tcPr>
            <w:tcW w:w="1150"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96" w:type="dxa"/>
            <w:vMerge w:val="continue"/>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p>
        </w:tc>
        <w:tc>
          <w:tcPr>
            <w:tcW w:w="3441"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普惠性幼儿园比例（%）</w:t>
            </w:r>
          </w:p>
        </w:tc>
        <w:tc>
          <w:tcPr>
            <w:tcW w:w="1403"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89.89</w:t>
            </w:r>
          </w:p>
        </w:tc>
        <w:tc>
          <w:tcPr>
            <w:tcW w:w="112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90</w:t>
            </w:r>
          </w:p>
        </w:tc>
        <w:tc>
          <w:tcPr>
            <w:tcW w:w="1150"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9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特殊教育</w:t>
            </w:r>
          </w:p>
        </w:tc>
        <w:tc>
          <w:tcPr>
            <w:tcW w:w="3441"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义务教育入学率（%）</w:t>
            </w:r>
          </w:p>
        </w:tc>
        <w:tc>
          <w:tcPr>
            <w:tcW w:w="1403"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97.4</w:t>
            </w:r>
          </w:p>
        </w:tc>
        <w:tc>
          <w:tcPr>
            <w:tcW w:w="112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98</w:t>
            </w:r>
          </w:p>
        </w:tc>
        <w:tc>
          <w:tcPr>
            <w:tcW w:w="1150"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96" w:type="dxa"/>
            <w:vMerge w:val="restart"/>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义务教育</w:t>
            </w:r>
          </w:p>
        </w:tc>
        <w:tc>
          <w:tcPr>
            <w:tcW w:w="3441"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在校生人数（万人）</w:t>
            </w:r>
          </w:p>
        </w:tc>
        <w:tc>
          <w:tcPr>
            <w:tcW w:w="1403"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3.9449</w:t>
            </w:r>
          </w:p>
        </w:tc>
        <w:tc>
          <w:tcPr>
            <w:tcW w:w="112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3.85</w:t>
            </w:r>
          </w:p>
        </w:tc>
        <w:tc>
          <w:tcPr>
            <w:tcW w:w="1150" w:type="dxa"/>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96" w:type="dxa"/>
            <w:vMerge w:val="continue"/>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p>
        </w:tc>
        <w:tc>
          <w:tcPr>
            <w:tcW w:w="3441"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适龄儿童入学率（%）</w:t>
            </w:r>
          </w:p>
        </w:tc>
        <w:tc>
          <w:tcPr>
            <w:tcW w:w="1403"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100</w:t>
            </w:r>
          </w:p>
        </w:tc>
        <w:tc>
          <w:tcPr>
            <w:tcW w:w="112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100</w:t>
            </w:r>
          </w:p>
        </w:tc>
        <w:tc>
          <w:tcPr>
            <w:tcW w:w="1150" w:type="dxa"/>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96" w:type="dxa"/>
            <w:vMerge w:val="continue"/>
            <w:vAlign w:val="center"/>
          </w:tcPr>
          <w:p>
            <w:pPr>
              <w:pStyle w:val="12"/>
              <w:snapToGrid w:val="0"/>
              <w:spacing w:before="0" w:beforeAutospacing="0" w:after="0" w:afterAutospacing="0"/>
              <w:jc w:val="both"/>
              <w:rPr>
                <w:rFonts w:hint="default" w:ascii="Times New Roman" w:hAnsi="Times New Roman" w:cs="Times New Roman"/>
                <w:color w:val="000000" w:themeColor="text1"/>
                <w:sz w:val="21"/>
                <w:szCs w:val="21"/>
                <w14:textFill>
                  <w14:solidFill>
                    <w14:schemeClr w14:val="tx1"/>
                  </w14:solidFill>
                </w14:textFill>
              </w:rPr>
            </w:pPr>
          </w:p>
        </w:tc>
        <w:tc>
          <w:tcPr>
            <w:tcW w:w="3441"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小学六年巩固率（%）</w:t>
            </w:r>
          </w:p>
        </w:tc>
        <w:tc>
          <w:tcPr>
            <w:tcW w:w="1403"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99.32</w:t>
            </w:r>
          </w:p>
        </w:tc>
        <w:tc>
          <w:tcPr>
            <w:tcW w:w="112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99.50</w:t>
            </w:r>
          </w:p>
        </w:tc>
        <w:tc>
          <w:tcPr>
            <w:tcW w:w="1150" w:type="dxa"/>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96" w:type="dxa"/>
            <w:vMerge w:val="continue"/>
            <w:vAlign w:val="center"/>
          </w:tcPr>
          <w:p>
            <w:pPr>
              <w:pStyle w:val="12"/>
              <w:snapToGrid w:val="0"/>
              <w:spacing w:before="0" w:beforeAutospacing="0" w:after="0" w:afterAutospacing="0"/>
              <w:jc w:val="both"/>
              <w:rPr>
                <w:rFonts w:hint="default" w:ascii="Times New Roman" w:hAnsi="Times New Roman" w:cs="Times New Roman"/>
                <w:color w:val="000000" w:themeColor="text1"/>
                <w:sz w:val="21"/>
                <w:szCs w:val="21"/>
                <w14:textFill>
                  <w14:solidFill>
                    <w14:schemeClr w14:val="tx1"/>
                  </w14:solidFill>
                </w14:textFill>
              </w:rPr>
            </w:pPr>
          </w:p>
        </w:tc>
        <w:tc>
          <w:tcPr>
            <w:tcW w:w="3441"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初中三年巩固率（%）</w:t>
            </w:r>
          </w:p>
        </w:tc>
        <w:tc>
          <w:tcPr>
            <w:tcW w:w="1403"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98.24</w:t>
            </w:r>
          </w:p>
        </w:tc>
        <w:tc>
          <w:tcPr>
            <w:tcW w:w="112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98.30</w:t>
            </w:r>
          </w:p>
        </w:tc>
        <w:tc>
          <w:tcPr>
            <w:tcW w:w="1150" w:type="dxa"/>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96" w:type="dxa"/>
            <w:vMerge w:val="restart"/>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高中阶段</w:t>
            </w:r>
          </w:p>
        </w:tc>
        <w:tc>
          <w:tcPr>
            <w:tcW w:w="3441"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毛入学率（%）</w:t>
            </w:r>
          </w:p>
        </w:tc>
        <w:tc>
          <w:tcPr>
            <w:tcW w:w="1403"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92.91</w:t>
            </w:r>
          </w:p>
        </w:tc>
        <w:tc>
          <w:tcPr>
            <w:tcW w:w="112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93</w:t>
            </w:r>
          </w:p>
        </w:tc>
        <w:tc>
          <w:tcPr>
            <w:tcW w:w="1150" w:type="dxa"/>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96" w:type="dxa"/>
            <w:vMerge w:val="continue"/>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p>
        </w:tc>
        <w:tc>
          <w:tcPr>
            <w:tcW w:w="3441"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普通高中在校生（万人）</w:t>
            </w:r>
          </w:p>
        </w:tc>
        <w:tc>
          <w:tcPr>
            <w:tcW w:w="1403"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0.6064</w:t>
            </w:r>
          </w:p>
        </w:tc>
        <w:tc>
          <w:tcPr>
            <w:tcW w:w="112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0.645</w:t>
            </w:r>
          </w:p>
        </w:tc>
        <w:tc>
          <w:tcPr>
            <w:tcW w:w="1150" w:type="dxa"/>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96" w:type="dxa"/>
            <w:vMerge w:val="continue"/>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p>
        </w:tc>
        <w:tc>
          <w:tcPr>
            <w:tcW w:w="3441"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中职学校在校生（万人）</w:t>
            </w:r>
          </w:p>
        </w:tc>
        <w:tc>
          <w:tcPr>
            <w:tcW w:w="1403"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0.299</w:t>
            </w:r>
          </w:p>
        </w:tc>
        <w:tc>
          <w:tcPr>
            <w:tcW w:w="112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0.5</w:t>
            </w:r>
          </w:p>
        </w:tc>
        <w:tc>
          <w:tcPr>
            <w:tcW w:w="1150" w:type="dxa"/>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96" w:type="dxa"/>
            <w:vMerge w:val="continue"/>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p>
        </w:tc>
        <w:tc>
          <w:tcPr>
            <w:tcW w:w="3441"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职普比</w:t>
            </w:r>
          </w:p>
        </w:tc>
        <w:tc>
          <w:tcPr>
            <w:tcW w:w="1403"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42.8：57.2</w:t>
            </w:r>
          </w:p>
        </w:tc>
        <w:tc>
          <w:tcPr>
            <w:tcW w:w="112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1:1</w:t>
            </w:r>
          </w:p>
        </w:tc>
        <w:tc>
          <w:tcPr>
            <w:tcW w:w="1150" w:type="dxa"/>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9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高等教育</w:t>
            </w:r>
          </w:p>
        </w:tc>
        <w:tc>
          <w:tcPr>
            <w:tcW w:w="3441"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在校生总数（万人）</w:t>
            </w:r>
          </w:p>
        </w:tc>
        <w:tc>
          <w:tcPr>
            <w:tcW w:w="1403"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12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w:t>
            </w:r>
          </w:p>
        </w:tc>
        <w:tc>
          <w:tcPr>
            <w:tcW w:w="1150" w:type="dxa"/>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96"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继续教育</w:t>
            </w:r>
          </w:p>
        </w:tc>
        <w:tc>
          <w:tcPr>
            <w:tcW w:w="3441"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从业人员继续教育（万人次）</w:t>
            </w:r>
          </w:p>
        </w:tc>
        <w:tc>
          <w:tcPr>
            <w:tcW w:w="1403"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0.55</w:t>
            </w:r>
          </w:p>
        </w:tc>
        <w:tc>
          <w:tcPr>
            <w:tcW w:w="1122" w:type="dxa"/>
            <w:vAlign w:val="center"/>
          </w:tcPr>
          <w:p>
            <w:pPr>
              <w:pStyle w:val="12"/>
              <w:snapToGrid w:val="0"/>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0.64</w:t>
            </w:r>
          </w:p>
        </w:tc>
        <w:tc>
          <w:tcPr>
            <w:tcW w:w="1150" w:type="dxa"/>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预期性</w:t>
            </w:r>
          </w:p>
        </w:tc>
      </w:tr>
    </w:tbl>
    <w:p>
      <w:pPr>
        <w:widowControl/>
        <w:snapToGrid w:val="0"/>
        <w:spacing w:line="580" w:lineRule="exact"/>
        <w:jc w:val="center"/>
        <w:rPr>
          <w:rFonts w:hint="default" w:ascii="Times New Roman" w:hAnsi="Times New Roman" w:eastAsia="黑体" w:cs="Times New Roman"/>
          <w:bCs/>
          <w:color w:val="000000" w:themeColor="text1"/>
          <w:sz w:val="32"/>
          <w:szCs w:val="32"/>
          <w14:textFill>
            <w14:solidFill>
              <w14:schemeClr w14:val="tx1"/>
            </w14:solidFill>
          </w14:textFill>
        </w:rPr>
      </w:pPr>
    </w:p>
    <w:p>
      <w:pPr>
        <w:widowControl/>
        <w:snapToGrid w:val="0"/>
        <w:spacing w:line="580" w:lineRule="exact"/>
        <w:jc w:val="center"/>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第三章 重点任务</w:t>
      </w:r>
    </w:p>
    <w:p>
      <w:pPr>
        <w:snapToGrid w:val="0"/>
        <w:spacing w:line="580" w:lineRule="exact"/>
        <w:ind w:firstLine="640" w:firstLineChars="200"/>
        <w:outlineLvl w:val="1"/>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一、全面落实立德树人根本任务</w:t>
      </w:r>
    </w:p>
    <w:p>
      <w:pPr>
        <w:snapToGrid w:val="0"/>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坚持用习近平新时代中国特色社会主义思想铸魂育人，全面贯彻党的教育方针，加强社会主义核心价值观教育，落实立德树人根本任务，弘扬伟大建党精神，厚植爱国主义情怀，聚焦坚定理想信念，加强思想品德教育，培养德智体美劳全面发展的社会主义建设者和接班人。</w:t>
      </w:r>
    </w:p>
    <w:p>
      <w:pPr>
        <w:snapToGrid w:val="0"/>
        <w:spacing w:line="580" w:lineRule="exact"/>
        <w:ind w:firstLine="642"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（一）坚持学思用贯通，用习近平新时代中国特色社会主义思想铸魂育人</w:t>
      </w:r>
    </w:p>
    <w:p>
      <w:pPr>
        <w:snapToGrid w:val="0"/>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坚持把习近平新时代中国特色社会主义思想贯穿教育教学全过程，重视共青团、少先队工作在德育中的重要作用，落实每周1课时的少先队活动课。加强教材管理，全县中小学统一使用道德与法治（思想政治）、语文和历史等国家统编教材，将党史学习教育、法治教育、生态文明教育等融入学校思政课教学中。规范课外读物进校园管理，防止问题读物进入校园。充分挖掘各学科课程蕴含的思想政治教育元素，着力提升学科课程的育人功能。深入开展党的创新理论集中宣讲活动。</w:t>
      </w:r>
    </w:p>
    <w:p>
      <w:pPr>
        <w:snapToGrid w:val="0"/>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坚持将习近平新时代中国特色社会主义思想和习近平总书记关于教育的重要论述纳入教师培训必修课程，引导广大教师深刻理解掌握科学体系和丰富内涵，做到学思用贯通、知信行统一。组织举办各级党组织书记、党务工作者、班主任、学科教师和少先队辅导员、团干部等专题学习培训班，在义务教育阶段学校开设习近平新时代中国特色社会主义思想主题团队课，在高中阶段学校开设习近平新时代中国特色社会主义思想政治课。</w:t>
      </w:r>
    </w:p>
    <w:p>
      <w:pPr>
        <w:pStyle w:val="21"/>
        <w:widowControl/>
        <w:snapToGrid w:val="0"/>
        <w:spacing w:line="580" w:lineRule="exact"/>
        <w:ind w:firstLine="642" w:firstLineChars="200"/>
        <w:jc w:val="both"/>
        <w:rPr>
          <w:rFonts w:hint="default" w:ascii="Times New Roman" w:hAnsi="Times New Roman" w:eastAsia="楷体_GB2312" w:cs="Times New Roman"/>
          <w:b/>
          <w:color w:val="000000" w:themeColor="text1"/>
          <w:kern w:val="2"/>
          <w:sz w:val="32"/>
          <w:szCs w:val="32"/>
          <w14:textFill>
            <w14:solidFill>
              <w14:schemeClr w14:val="tx1"/>
            </w14:solidFill>
          </w14:textFill>
        </w:rPr>
      </w:pPr>
      <w:r>
        <w:rPr>
          <w:rFonts w:hint="default" w:ascii="Times New Roman" w:hAnsi="Times New Roman" w:eastAsia="楷体_GB2312" w:cs="Times New Roman"/>
          <w:b/>
          <w:color w:val="000000" w:themeColor="text1"/>
          <w:kern w:val="2"/>
          <w:sz w:val="32"/>
          <w:szCs w:val="32"/>
          <w14:textFill>
            <w14:solidFill>
              <w14:schemeClr w14:val="tx1"/>
            </w14:solidFill>
          </w14:textFill>
        </w:rPr>
        <w:t>（二）完善德育工作体系，推进德育常态长效</w:t>
      </w:r>
    </w:p>
    <w:p>
      <w:pPr>
        <w:snapToGrid w:val="0"/>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落实《中小学德育工作指南》《新时代爱国主义教育实施纲要》等文件要求，整合德育资源和工作力量，以培育和践行社会主义核心价值观为主线，以培养学生良好思想品德和健全人格为根本，形成方向正确、内容完善、学段衔接、载体丰富、常态开展的德育工作体系，推动形成学校家庭社会协同育人新格局。</w:t>
      </w:r>
    </w:p>
    <w:p>
      <w:pPr>
        <w:snapToGrid w:val="0"/>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把握新时代德育工作新要求，加强理想信念、社会主义核心价值观、中华优秀传统文化、生态文明教育和社会公德、职业道德、家庭美德、个人品德教育，大力弘扬新时代爱国主义精神，全面提升科学素养和公民素养。拓宽德育实施途径，夯实课程育人，加强文化育人，强化活动育人，重视实践育人，深化管理育人，完善协同育人。加强德育阵地建设，打造一批省级中小学生研学实践教育基地，开展好研学旅行活动和红色基因传承活动。加强德育队伍建设，打造一支职责明确的德育队伍，建设一支专业全面的班主任队伍，培育一支业务精湛的思政课教师、共青团干部和少先队辅导员队伍。</w:t>
      </w:r>
    </w:p>
    <w:p>
      <w:pPr>
        <w:pStyle w:val="21"/>
        <w:widowControl/>
        <w:snapToGrid w:val="0"/>
        <w:spacing w:line="580" w:lineRule="exact"/>
        <w:ind w:firstLine="642" w:firstLineChars="200"/>
        <w:jc w:val="both"/>
        <w:rPr>
          <w:rFonts w:hint="default" w:ascii="Times New Roman" w:hAnsi="Times New Roman" w:eastAsia="楷体_GB2312" w:cs="Times New Roman"/>
          <w:b/>
          <w:color w:val="000000" w:themeColor="text1"/>
          <w:kern w:val="2"/>
          <w:sz w:val="32"/>
          <w:szCs w:val="32"/>
          <w14:textFill>
            <w14:solidFill>
              <w14:schemeClr w14:val="tx1"/>
            </w14:solidFill>
          </w14:textFill>
        </w:rPr>
      </w:pPr>
      <w:r>
        <w:rPr>
          <w:rFonts w:hint="default" w:ascii="Times New Roman" w:hAnsi="Times New Roman" w:eastAsia="楷体_GB2312" w:cs="Times New Roman"/>
          <w:b/>
          <w:color w:val="000000" w:themeColor="text1"/>
          <w:kern w:val="2"/>
          <w:sz w:val="32"/>
          <w:szCs w:val="32"/>
          <w14:textFill>
            <w14:solidFill>
              <w14:schemeClr w14:val="tx1"/>
            </w14:solidFill>
          </w14:textFill>
        </w:rPr>
        <w:t>（三）加强体育美育劳动教育，增强学生综合素质</w:t>
      </w:r>
    </w:p>
    <w:p>
      <w:pPr>
        <w:snapToGrid w:val="0"/>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服务学生全面发展、增强综合素质为目标，坚持健康第一的理念，推动青少年文化学习和体育锻炼协调发展，帮助学生在体育锻炼中享受乐趣、增强体质、健全人格、锤炼意志。补齐师资、场馆、器材等短板，强推“三大球”在学校大课间体育活动中的运用，形成“一校一品”“一校多品”的学校体育发展新局面。深入开展传统体育进校园活动，强化学校体育教学训练，逐步完善“健康知识+基本运动技能+专项运动技能”的教学模式，帮助学生掌握1至2项运动技能。合理安排校内校外体育活动时间，着力保障学生每天校内、校外各1个小时体育活动时间。坚持每年举办全县性中小学生田径运动会和足球、篮球、乒乓球比赛。继续大力推进校园足球工作，创建一批全国足球特色学校，体育特色学校新增5所。到2022年配齐配强体育教师，开齐开足上好体育课，学校体育工作体制机制更加健全，教学、训练、竞赛体系普遍建立，教育教学质量全面提高，育人成效显著增强，学生身体素质和综合素养明显提升。</w:t>
      </w:r>
    </w:p>
    <w:p>
      <w:pPr>
        <w:snapToGrid w:val="0"/>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提高学生审美和人文素养为目标，弘扬中华美育精神，以美育人、以美化人、以美培元。坚持开展优秀传统文化进校园活动，加强分类指导，鼓励特色发展，形成“一校一品”“一校多品”的学校美育发展新局面。到2022年，配齐配好美育教师，开齐开足上好美育课，深化美育教学改革，逐步完善“艺术基础知识基本技能+艺术审美体验+艺术专项特长”的教学模式，帮助学生掌握1至2项艺术特长。建立常态化学生全员艺术展演机制，坚持每3年组织1次县级中小学生综合性艺术展演活动和美育教师赛课（论文）评比活动、基本功比赛活动，坚持每年度开展1次美术教师实地写生活动，坚持教工合唱团常年训练。全面实施中小学生艺术素质测评。</w:t>
      </w:r>
    </w:p>
    <w:p>
      <w:pPr>
        <w:snapToGrid w:val="0"/>
        <w:spacing w:line="580" w:lineRule="exact"/>
        <w:ind w:firstLine="640" w:firstLineChars="200"/>
        <w:outlineLvl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加强劳动教育和实践育人。贯彻落实中共中央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国务院《关于全面加强新时代大中小学劳动教育的意见》，把握劳动教育基本内涵，明确劳动教育总体目标，牢固树立劳动最光荣、劳动最崇高、劳动最伟大、劳动最美丽的观念。制定《大英县全面加强新时代中小学劳动教育实施办法》，把劳动教育课程纳入中小学必修课，针对不同学段、类型学生特点，以日常生活劳动、生产劳动和服务性劳动为主要内容，确保中小学每周开展劳动教育不少于1课时，职业学校除实习、实训外，劳动精神、劳模精神、工匠精神等专题教育不少于16学时。健全劳动素养评价制度，把劳动素养评价结果作为衡量学生全面发展的重要内容。广泛开展劳动教育实践活动，发挥家庭在劳动教育中的基础作用，学校在劳动教育中的主导作用，社会在劳动教育中的支持作用。提升劳动教育支撑保障能力，多渠道拓展实践场所，多举措加强人才队伍建设，健全经费投入机制，多方面强化安全保障。打造一批劳动教育实践基地，充分发挥研学实践与劳动教育综合育人功能，加强学生生活实践、劳动技术和职业体验教育。</w:t>
      </w:r>
    </w:p>
    <w:p>
      <w:pPr>
        <w:pStyle w:val="21"/>
        <w:widowControl/>
        <w:snapToGrid w:val="0"/>
        <w:spacing w:line="580" w:lineRule="exact"/>
        <w:ind w:firstLine="642" w:firstLineChars="200"/>
        <w:jc w:val="both"/>
        <w:rPr>
          <w:rFonts w:hint="default" w:ascii="Times New Roman" w:hAnsi="Times New Roman" w:eastAsia="楷体_GB2312" w:cs="Times New Roman"/>
          <w:b/>
          <w:color w:val="000000" w:themeColor="text1"/>
          <w:kern w:val="2"/>
          <w:sz w:val="32"/>
          <w:szCs w:val="32"/>
          <w14:textFill>
            <w14:solidFill>
              <w14:schemeClr w14:val="tx1"/>
            </w14:solidFill>
          </w14:textFill>
        </w:rPr>
      </w:pPr>
      <w:r>
        <w:rPr>
          <w:rFonts w:hint="default" w:ascii="Times New Roman" w:hAnsi="Times New Roman" w:eastAsia="楷体_GB2312" w:cs="Times New Roman"/>
          <w:b/>
          <w:color w:val="000000" w:themeColor="text1"/>
          <w:kern w:val="2"/>
          <w:sz w:val="32"/>
          <w:szCs w:val="32"/>
          <w14:textFill>
            <w14:solidFill>
              <w14:schemeClr w14:val="tx1"/>
            </w14:solidFill>
          </w14:textFill>
        </w:rPr>
        <w:t>（四）加强卫生健康和心理健康教育，促进学生健康成长</w:t>
      </w:r>
    </w:p>
    <w:p>
      <w:pPr>
        <w:snapToGrid w:val="0"/>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切实加强爱卫宣传教育，充分利用黑板报、展板、校园广播、征文、手抄报、讲座等，开展形式多样的宣传教育活动，普及病媒生物防治、食品卫生、节约用水、垃圾分类、校园环境保护、吸烟有害健康等知识，不断提高师生员工对爱卫工作的认识，营造人人爱卫的良好氛围。健全学生健康监测和综合干预体系，做好登记建档工作。对监测中发现患有近视、肥胖、沙眼、龋齿、贫血等疾病的学生，要及时告知学生和家长，指导家长对其进行矫治；对于患有心血管疾病等重大疾病和特异体质的学生，要及时告知班主任和体育教师，不组织参加剧烈运动。各学校针对体检出现的各种问题制定整改措施，逐步改善，逐年降低患病率。</w:t>
      </w:r>
    </w:p>
    <w:p>
      <w:pPr>
        <w:snapToGrid w:val="0"/>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强心理健康教育队伍建设，支持教师参加国家心理咨询师资格考试，鼓励更多的心理教育优秀专业人才进入学校，提升心理健康教育质量。高度关注留守儿童、农民工随迁子女、单亲家庭学生心理健康教育，建立特殊群体学生台账。加强学生抗挫折教育，健全心理危机预防、预警、干预“三预”机制。组建学生心理危机干预团队，协助开展心理健康教育和心理咨询的指导、检查、评估等工作，协助各学校对心理问题比较严重的学生开展心理危机干预，帮助制定干预方案，指导学校开展干预工作，为青少年健康成长保驾护航。</w:t>
      </w:r>
    </w:p>
    <w:p>
      <w:pPr>
        <w:snapToGrid w:val="0"/>
        <w:spacing w:line="580" w:lineRule="exact"/>
        <w:ind w:firstLine="800" w:firstLineChars="25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二、全面优化城乡教育资源配置</w:t>
      </w:r>
    </w:p>
    <w:p>
      <w:pPr>
        <w:pStyle w:val="21"/>
        <w:widowControl/>
        <w:snapToGrid w:val="0"/>
        <w:spacing w:line="580" w:lineRule="exact"/>
        <w:ind w:firstLine="642" w:firstLineChars="200"/>
        <w:jc w:val="both"/>
        <w:rPr>
          <w:rFonts w:hint="default" w:ascii="Times New Roman" w:hAnsi="Times New Roman" w:eastAsia="楷体_GB2312" w:cs="Times New Roman"/>
          <w:b/>
          <w:color w:val="000000" w:themeColor="text1"/>
          <w:kern w:val="2"/>
          <w:sz w:val="32"/>
          <w:szCs w:val="32"/>
          <w14:textFill>
            <w14:solidFill>
              <w14:schemeClr w14:val="tx1"/>
            </w14:solidFill>
          </w14:textFill>
        </w:rPr>
      </w:pPr>
      <w:r>
        <w:rPr>
          <w:rFonts w:hint="default" w:ascii="Times New Roman" w:hAnsi="Times New Roman" w:eastAsia="楷体_GB2312" w:cs="Times New Roman"/>
          <w:b/>
          <w:color w:val="000000" w:themeColor="text1"/>
          <w:kern w:val="2"/>
          <w:sz w:val="32"/>
          <w:szCs w:val="32"/>
          <w14:textFill>
            <w14:solidFill>
              <w14:schemeClr w14:val="tx1"/>
            </w14:solidFill>
          </w14:textFill>
        </w:rPr>
        <w:t>（一）优化学校布局调整</w:t>
      </w:r>
    </w:p>
    <w:p>
      <w:pPr>
        <w:snapToGrid w:val="0"/>
        <w:spacing w:line="580" w:lineRule="exact"/>
        <w:ind w:firstLine="642"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b/>
          <w:color w:val="000000" w:themeColor="text1"/>
          <w:kern w:val="0"/>
          <w:sz w:val="32"/>
          <w:szCs w:val="32"/>
          <w14:textFill>
            <w14:solidFill>
              <w14:schemeClr w14:val="tx1"/>
            </w14:solidFill>
          </w14:textFill>
        </w:rPr>
        <w:t>科学调整城乡学校布局。</w:t>
      </w:r>
      <w:r>
        <w:rPr>
          <w:rFonts w:hint="default" w:ascii="Times New Roman" w:hAnsi="Times New Roman" w:eastAsia="仿宋_GB2312" w:cs="Times New Roman"/>
          <w:color w:val="000000" w:themeColor="text1"/>
          <w:kern w:val="0"/>
          <w:sz w:val="32"/>
          <w:szCs w:val="32"/>
          <w14:textFill>
            <w14:solidFill>
              <w14:schemeClr w14:val="tx1"/>
            </w14:solidFill>
          </w14:textFill>
        </w:rPr>
        <w:t>做好乡镇行</w:t>
      </w:r>
      <w:r>
        <w:rPr>
          <w:rFonts w:hint="default" w:ascii="Times New Roman" w:hAnsi="Times New Roman" w:eastAsia="仿宋_GB2312" w:cs="Times New Roman"/>
          <w:color w:val="000000" w:themeColor="text1"/>
          <w:sz w:val="32"/>
          <w:szCs w:val="32"/>
          <w14:textFill>
            <w14:solidFill>
              <w14:schemeClr w14:val="tx1"/>
            </w14:solidFill>
          </w14:textFill>
        </w:rPr>
        <w:t>政区划和村级建制调整改革“后半篇”文章，</w:t>
      </w:r>
      <w:r>
        <w:rPr>
          <w:rFonts w:hint="default" w:ascii="Times New Roman" w:hAnsi="Times New Roman" w:eastAsia="仿宋_GB2312" w:cs="Times New Roman"/>
          <w:color w:val="000000" w:themeColor="text1"/>
          <w:kern w:val="0"/>
          <w:sz w:val="32"/>
          <w:szCs w:val="32"/>
          <w14:textFill>
            <w14:solidFill>
              <w14:schemeClr w14:val="tx1"/>
            </w14:solidFill>
          </w14:textFill>
        </w:rPr>
        <w:t>按照“幼儿园就近就便、小学向乡镇集中、初中向中心城镇或片区集中、高中向县城集中”思路，科学调整基础教育学校布局，合理配置教育资源，不断缩小城乡、区域、学校、群体之间差距，有效解决“城挤乡弱村空”问题。</w:t>
      </w:r>
      <w:r>
        <w:rPr>
          <w:rFonts w:hint="default" w:ascii="Times New Roman" w:hAnsi="Times New Roman" w:eastAsia="仿宋_GB2312" w:cs="Times New Roman"/>
          <w:color w:val="000000" w:themeColor="text1"/>
          <w:sz w:val="32"/>
          <w:szCs w:val="32"/>
          <w14:textFill>
            <w14:solidFill>
              <w14:schemeClr w14:val="tx1"/>
            </w14:solidFill>
          </w14:textFill>
        </w:rPr>
        <w:t>在保留必要的小规模学校基础上，逐步撤并100人以下小规模</w:t>
      </w:r>
      <w:r>
        <w:rPr>
          <w:rFonts w:hint="default" w:ascii="Times New Roman" w:hAnsi="Times New Roman" w:eastAsia="仿宋_GB2312" w:cs="Times New Roman"/>
          <w:color w:val="000000" w:themeColor="text1"/>
          <w:kern w:val="0"/>
          <w:sz w:val="32"/>
          <w:szCs w:val="32"/>
          <w14:textFill>
            <w14:solidFill>
              <w14:schemeClr w14:val="tx1"/>
            </w14:solidFill>
          </w14:textFill>
        </w:rPr>
        <w:t>学校（含教学点）。计划撤销教学点10个，调整教学点1个、保留1个，撤销小学9所、初中4所，调整九年一贯制学校初中部2个。到2025年，全县公办幼儿园18所，小学附设幼儿园23所；公办小学26所，初中8所，九年一贯制学校9所，教学点2个；公办普通高中2所，中职学校1所。</w:t>
      </w:r>
    </w:p>
    <w:p>
      <w:pPr>
        <w:pStyle w:val="12"/>
        <w:widowControl w:val="0"/>
        <w:shd w:val="clear" w:color="auto" w:fill="FEFEFE"/>
        <w:snapToGrid w:val="0"/>
        <w:spacing w:before="0" w:beforeAutospacing="0" w:after="0" w:afterAutospacing="0" w:line="580" w:lineRule="exact"/>
        <w:ind w:firstLine="72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切实加强学校项目建设。</w:t>
      </w:r>
      <w:r>
        <w:rPr>
          <w:rFonts w:hint="default" w:ascii="Times New Roman" w:hAnsi="Times New Roman" w:eastAsia="仿宋_GB2312" w:cs="Times New Roman"/>
          <w:color w:val="000000" w:themeColor="text1"/>
          <w:sz w:val="32"/>
          <w:szCs w:val="32"/>
          <w14:textFill>
            <w14:solidFill>
              <w14:schemeClr w14:val="tx1"/>
            </w14:solidFill>
          </w14:textFill>
        </w:rPr>
        <w:t>继续加大政府财政投入，进一步改善办学条件。实施学前教育普及普惠工程。扩大普惠性学前教育资源，规划乡镇迁建幼儿园1所，在县城新建3—4所公办幼儿园，扩大公办园在园幼儿占比。实施义务教育学校建设提标工程。优先支持农村薄弱学校发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加大</w:t>
      </w:r>
      <w:r>
        <w:rPr>
          <w:rFonts w:hint="default" w:ascii="Times New Roman" w:hAnsi="Times New Roman" w:eastAsia="仿宋_GB2312" w:cs="Times New Roman"/>
          <w:color w:val="000000" w:themeColor="text1"/>
          <w:sz w:val="32"/>
          <w:szCs w:val="32"/>
          <w14:textFill>
            <w14:solidFill>
              <w14:schemeClr w14:val="tx1"/>
            </w14:solidFill>
          </w14:textFill>
        </w:rPr>
        <w:t>城镇学校建设力度，确保所有义务教育学校达到省定办学标准。计划新建县城学校3所，迁建学校2所，建成寄宿制学校30所，改扩建中小学14所，新建改扩建教师周转房150套，基本消除义务教育阶段大校额、大班额。实施高中阶段教育普及攻坚计划。加强高中学校标准化建设，拓宽高中建设资金筹措渠道，加大经费投入，对大英中学进行升级改造。实施大英中学教学综合大楼建设项目，扩大2所普通高中办学规模，配齐“选课走班”教室，进一步提高高中阶段教育毛入学率。实施特殊教育保障工程。紧扣“提高特殊教育保障能力、完善特殊教育体系、提高特殊教育质量”三大重点任务，加快推进特殊教育学校标准化建设，新建大英县特殊教育资源中心1个，新建特殊教育学校附设学前部和附设高中部，创建省级特教示范校。2022年，每个乡镇全部完成特教资源教室建设，确保残疾儿童接受义务教育，全县残疾儿童少年义务教育阶段学校入学率达97.6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12"/>
        <w:widowControl w:val="0"/>
        <w:shd w:val="clear" w:color="auto" w:fill="FEFEFE"/>
        <w:snapToGrid w:val="0"/>
        <w:spacing w:before="0" w:beforeAutospacing="0" w:after="0" w:afterAutospacing="0" w:line="240" w:lineRule="exact"/>
        <w:ind w:firstLine="720"/>
        <w:jc w:val="both"/>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76"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专栏3  大英县基础教育学校布局调整规划表</w:t>
      </w:r>
    </w:p>
    <w:p>
      <w:pPr>
        <w:pStyle w:val="12"/>
        <w:widowControl w:val="0"/>
        <w:shd w:val="clear" w:color="auto" w:fill="FEFEFE"/>
        <w:snapToGrid w:val="0"/>
        <w:spacing w:before="0" w:beforeAutospacing="0" w:after="0" w:afterAutospacing="0" w:line="240" w:lineRule="exact"/>
        <w:ind w:firstLine="720"/>
        <w:jc w:val="both"/>
        <w:rPr>
          <w:rFonts w:hint="default" w:ascii="Times New Roman" w:hAnsi="Times New Roman" w:eastAsia="仿宋_GB2312" w:cs="Times New Roman"/>
          <w:color w:val="000000" w:themeColor="text1"/>
          <w:sz w:val="32"/>
          <w:szCs w:val="32"/>
          <w14:textFill>
            <w14:solidFill>
              <w14:schemeClr w14:val="tx1"/>
            </w14:solidFill>
          </w14:textFill>
        </w:rPr>
      </w:pPr>
    </w:p>
    <w:tbl>
      <w:tblPr>
        <w:tblStyle w:val="1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5"/>
        <w:gridCol w:w="705"/>
        <w:gridCol w:w="885"/>
        <w:gridCol w:w="3820"/>
        <w:gridCol w:w="1559"/>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tblHeader/>
          <w:jc w:val="center"/>
        </w:trPr>
        <w:tc>
          <w:tcPr>
            <w:tcW w:w="79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kern w:val="0"/>
                <w:sz w:val="24"/>
                <w:szCs w:val="24"/>
                <w14:textFill>
                  <w14:solidFill>
                    <w14:schemeClr w14:val="tx1"/>
                  </w14:solidFill>
                </w14:textFill>
              </w:rPr>
              <w:t>时间</w:t>
            </w: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kern w:val="0"/>
                <w:sz w:val="24"/>
                <w:szCs w:val="24"/>
                <w14:textFill>
                  <w14:solidFill>
                    <w14:schemeClr w14:val="tx1"/>
                  </w14:solidFill>
                </w14:textFill>
              </w:rPr>
              <w:t>方式</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kern w:val="0"/>
                <w:sz w:val="24"/>
                <w:szCs w:val="24"/>
                <w14:textFill>
                  <w14:solidFill>
                    <w14:schemeClr w14:val="tx1"/>
                  </w14:solidFill>
                </w14:textFill>
              </w:rPr>
              <w:t>学校</w:t>
            </w:r>
            <w:r>
              <w:rPr>
                <w:rFonts w:hint="default" w:ascii="Times New Roman" w:hAnsi="Times New Roman" w:eastAsia="黑体" w:cs="Times New Roman"/>
                <w:b w:val="0"/>
                <w:bCs/>
                <w:color w:val="000000" w:themeColor="text1"/>
                <w:kern w:val="0"/>
                <w:sz w:val="24"/>
                <w:szCs w:val="24"/>
                <w14:textFill>
                  <w14:solidFill>
                    <w14:schemeClr w14:val="tx1"/>
                  </w14:solidFill>
                </w14:textFill>
              </w:rPr>
              <w:br w:type="textWrapping"/>
            </w:r>
            <w:r>
              <w:rPr>
                <w:rFonts w:hint="default" w:ascii="Times New Roman" w:hAnsi="Times New Roman" w:eastAsia="黑体" w:cs="Times New Roman"/>
                <w:b w:val="0"/>
                <w:bCs/>
                <w:color w:val="000000" w:themeColor="text1"/>
                <w:kern w:val="0"/>
                <w:sz w:val="24"/>
                <w:szCs w:val="24"/>
                <w14:textFill>
                  <w14:solidFill>
                    <w14:schemeClr w14:val="tx1"/>
                  </w14:solidFill>
                </w14:textFill>
              </w:rPr>
              <w:t>类别</w:t>
            </w:r>
          </w:p>
        </w:tc>
        <w:tc>
          <w:tcPr>
            <w:tcW w:w="3820"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kern w:val="0"/>
                <w:sz w:val="24"/>
                <w:szCs w:val="24"/>
                <w14:textFill>
                  <w14:solidFill>
                    <w14:schemeClr w14:val="tx1"/>
                  </w14:solidFill>
                </w14:textFill>
              </w:rPr>
              <w:t>布局调整对象</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kern w:val="0"/>
                <w:sz w:val="24"/>
                <w:szCs w:val="24"/>
                <w14:textFill>
                  <w14:solidFill>
                    <w14:schemeClr w14:val="tx1"/>
                  </w14:solidFill>
                </w14:textFill>
              </w:rPr>
              <w:t>学生去向</w:t>
            </w:r>
          </w:p>
        </w:tc>
        <w:tc>
          <w:tcPr>
            <w:tcW w:w="1297"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kern w:val="0"/>
                <w:sz w:val="24"/>
                <w:szCs w:val="24"/>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95" w:type="dxa"/>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2021年</w:t>
            </w: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教学点</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石门崇英村小</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石门小学</w:t>
            </w:r>
          </w:p>
        </w:tc>
        <w:tc>
          <w:tcPr>
            <w:tcW w:w="1297" w:type="dxa"/>
            <w:vMerge w:val="restart"/>
            <w:tcMar>
              <w:top w:w="15" w:type="dxa"/>
              <w:left w:w="15" w:type="dxa"/>
              <w:right w:w="15" w:type="dxa"/>
            </w:tcMar>
            <w:vAlign w:val="center"/>
          </w:tcPr>
          <w:p>
            <w:pPr>
              <w:widowControl/>
              <w:adjustRightInd w:val="0"/>
              <w:snapToGrid w:val="0"/>
              <w:jc w:val="left"/>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撤销教学点5个、初中1所、小学2所，调整九年一贯制学校初中部1所；小计9所。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95" w:type="dxa"/>
            <w:vMerge w:val="continue"/>
            <w:tcMar>
              <w:top w:w="15" w:type="dxa"/>
              <w:left w:w="15" w:type="dxa"/>
              <w:right w:w="15" w:type="dxa"/>
            </w:tcMar>
            <w:vAlign w:val="center"/>
          </w:tcPr>
          <w:p>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教学点</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安乐蓄金村小</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安乐小学</w:t>
            </w:r>
          </w:p>
        </w:tc>
        <w:tc>
          <w:tcPr>
            <w:tcW w:w="1297" w:type="dxa"/>
            <w:vMerge w:val="continue"/>
            <w:tcMar>
              <w:top w:w="15" w:type="dxa"/>
              <w:left w:w="15" w:type="dxa"/>
              <w:right w:w="15" w:type="dxa"/>
            </w:tcMar>
            <w:vAlign w:val="center"/>
          </w:tcPr>
          <w:p>
            <w:pPr>
              <w:widowControl/>
              <w:adjustRightInd w:val="0"/>
              <w:snapToGrid w:val="0"/>
              <w:jc w:val="lef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95" w:type="dxa"/>
            <w:vMerge w:val="continue"/>
            <w:tcMar>
              <w:top w:w="15" w:type="dxa"/>
              <w:left w:w="15" w:type="dxa"/>
              <w:right w:w="15" w:type="dxa"/>
            </w:tcMar>
            <w:vAlign w:val="center"/>
          </w:tcPr>
          <w:p>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教学点</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民主飞钟寺村小</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民主小学</w:t>
            </w:r>
            <w:r>
              <w:rPr>
                <w:rFonts w:hint="default" w:ascii="Times New Roman" w:hAnsi="Times New Roman" w:cs="Times New Roman"/>
                <w:color w:val="000000" w:themeColor="text1"/>
                <w:kern w:val="0"/>
                <w:szCs w:val="21"/>
                <w14:textFill>
                  <w14:solidFill>
                    <w14:schemeClr w14:val="tx1"/>
                  </w14:solidFill>
                </w14:textFill>
              </w:rPr>
              <w:br w:type="textWrapping"/>
            </w:r>
            <w:r>
              <w:rPr>
                <w:rFonts w:hint="default" w:ascii="Times New Roman" w:hAnsi="Times New Roman" w:cs="Times New Roman"/>
                <w:color w:val="000000" w:themeColor="text1"/>
                <w:kern w:val="0"/>
                <w:szCs w:val="21"/>
                <w14:textFill>
                  <w14:solidFill>
                    <w14:schemeClr w14:val="tx1"/>
                  </w14:solidFill>
                </w14:textFill>
              </w:rPr>
              <w:t>金竹小学</w:t>
            </w:r>
          </w:p>
        </w:tc>
        <w:tc>
          <w:tcPr>
            <w:tcW w:w="1297" w:type="dxa"/>
            <w:vMerge w:val="continue"/>
            <w:tcMar>
              <w:top w:w="15" w:type="dxa"/>
              <w:left w:w="15" w:type="dxa"/>
              <w:right w:w="15" w:type="dxa"/>
            </w:tcMar>
            <w:vAlign w:val="center"/>
          </w:tcPr>
          <w:p>
            <w:pPr>
              <w:widowControl/>
              <w:adjustRightInd w:val="0"/>
              <w:snapToGrid w:val="0"/>
              <w:jc w:val="lef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95" w:type="dxa"/>
            <w:vMerge w:val="continue"/>
            <w:tcMar>
              <w:top w:w="15" w:type="dxa"/>
              <w:left w:w="15" w:type="dxa"/>
              <w:right w:w="15" w:type="dxa"/>
            </w:tcMar>
            <w:vAlign w:val="center"/>
          </w:tcPr>
          <w:p>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教学点</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永前永明村小</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p>
        </w:tc>
        <w:tc>
          <w:tcPr>
            <w:tcW w:w="1297" w:type="dxa"/>
            <w:vMerge w:val="continue"/>
            <w:tcMar>
              <w:top w:w="15" w:type="dxa"/>
              <w:left w:w="15" w:type="dxa"/>
              <w:right w:w="15" w:type="dxa"/>
            </w:tcMar>
            <w:vAlign w:val="center"/>
          </w:tcPr>
          <w:p>
            <w:pPr>
              <w:widowControl/>
              <w:adjustRightInd w:val="0"/>
              <w:snapToGrid w:val="0"/>
              <w:jc w:val="lef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95" w:type="dxa"/>
            <w:vMerge w:val="continue"/>
            <w:tcMar>
              <w:top w:w="15" w:type="dxa"/>
              <w:left w:w="15" w:type="dxa"/>
              <w:right w:w="15" w:type="dxa"/>
            </w:tcMar>
            <w:vAlign w:val="center"/>
          </w:tcPr>
          <w:p>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教学点</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福禄拦江村小</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福禄小学</w:t>
            </w:r>
          </w:p>
        </w:tc>
        <w:tc>
          <w:tcPr>
            <w:tcW w:w="1297" w:type="dxa"/>
            <w:vMerge w:val="continue"/>
            <w:tcMar>
              <w:top w:w="15" w:type="dxa"/>
              <w:left w:w="15" w:type="dxa"/>
              <w:right w:w="15" w:type="dxa"/>
            </w:tcMar>
            <w:vAlign w:val="center"/>
          </w:tcPr>
          <w:p>
            <w:pPr>
              <w:widowControl/>
              <w:adjustRightInd w:val="0"/>
              <w:snapToGrid w:val="0"/>
              <w:jc w:val="lef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95" w:type="dxa"/>
            <w:vMerge w:val="continue"/>
            <w:tcMar>
              <w:top w:w="15" w:type="dxa"/>
              <w:left w:w="15" w:type="dxa"/>
              <w:right w:w="15" w:type="dxa"/>
            </w:tcMar>
            <w:vAlign w:val="center"/>
          </w:tcPr>
          <w:p>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初中</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民主初中</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隆盛初中</w:t>
            </w:r>
          </w:p>
          <w:p>
            <w:pPr>
              <w:widowControl/>
              <w:adjustRightInd w:val="0"/>
              <w:snapToGrid w:val="0"/>
              <w:jc w:val="center"/>
              <w:textAlignment w:val="center"/>
              <w:rPr>
                <w:rFonts w:hint="default" w:ascii="Times New Roman" w:hAnsi="Times New Roman" w:eastAsia="方正仿宋简体"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回马中学</w:t>
            </w:r>
          </w:p>
        </w:tc>
        <w:tc>
          <w:tcPr>
            <w:tcW w:w="1297" w:type="dxa"/>
            <w:vMerge w:val="continue"/>
            <w:tcMar>
              <w:top w:w="15" w:type="dxa"/>
              <w:left w:w="15" w:type="dxa"/>
              <w:right w:w="15" w:type="dxa"/>
            </w:tcMar>
            <w:vAlign w:val="center"/>
          </w:tcPr>
          <w:p>
            <w:pPr>
              <w:widowControl/>
              <w:adjustRightInd w:val="0"/>
              <w:snapToGrid w:val="0"/>
              <w:jc w:val="lef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95" w:type="dxa"/>
            <w:vMerge w:val="continue"/>
            <w:tcMar>
              <w:top w:w="15" w:type="dxa"/>
              <w:left w:w="15" w:type="dxa"/>
              <w:right w:w="15" w:type="dxa"/>
            </w:tcMar>
            <w:vAlign w:val="center"/>
          </w:tcPr>
          <w:p>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小学</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高峰小学（与通仙小学合并）</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通仙小学</w:t>
            </w:r>
          </w:p>
        </w:tc>
        <w:tc>
          <w:tcPr>
            <w:tcW w:w="1297" w:type="dxa"/>
            <w:vMerge w:val="continue"/>
            <w:tcMar>
              <w:top w:w="15" w:type="dxa"/>
              <w:left w:w="15" w:type="dxa"/>
              <w:right w:w="15" w:type="dxa"/>
            </w:tcMar>
            <w:vAlign w:val="center"/>
          </w:tcPr>
          <w:p>
            <w:pPr>
              <w:widowControl/>
              <w:adjustRightInd w:val="0"/>
              <w:snapToGrid w:val="0"/>
              <w:jc w:val="lef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95" w:type="dxa"/>
            <w:vMerge w:val="continue"/>
            <w:tcMar>
              <w:top w:w="15" w:type="dxa"/>
              <w:left w:w="15" w:type="dxa"/>
              <w:right w:w="15" w:type="dxa"/>
            </w:tcMar>
            <w:vAlign w:val="center"/>
          </w:tcPr>
          <w:p>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小学</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江平小学（与金元小学合并）</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金元小学</w:t>
            </w:r>
            <w:r>
              <w:rPr>
                <w:rFonts w:hint="default" w:ascii="Times New Roman" w:hAnsi="Times New Roman" w:cs="Times New Roman"/>
                <w:color w:val="000000" w:themeColor="text1"/>
                <w:kern w:val="0"/>
                <w:szCs w:val="21"/>
                <w14:textFill>
                  <w14:solidFill>
                    <w14:schemeClr w14:val="tx1"/>
                  </w14:solidFill>
                </w14:textFill>
              </w:rPr>
              <w:br w:type="textWrapping"/>
            </w:r>
            <w:r>
              <w:rPr>
                <w:rFonts w:hint="default" w:ascii="Times New Roman" w:hAnsi="Times New Roman" w:cs="Times New Roman"/>
                <w:color w:val="000000" w:themeColor="text1"/>
                <w:kern w:val="0"/>
                <w:szCs w:val="21"/>
                <w14:textFill>
                  <w14:solidFill>
                    <w14:schemeClr w14:val="tx1"/>
                  </w14:solidFill>
                </w14:textFill>
              </w:rPr>
              <w:t>天保小学</w:t>
            </w:r>
          </w:p>
        </w:tc>
        <w:tc>
          <w:tcPr>
            <w:tcW w:w="1297" w:type="dxa"/>
            <w:vMerge w:val="continue"/>
            <w:tcMar>
              <w:top w:w="15" w:type="dxa"/>
              <w:left w:w="15" w:type="dxa"/>
              <w:right w:w="15" w:type="dxa"/>
            </w:tcMar>
            <w:vAlign w:val="center"/>
          </w:tcPr>
          <w:p>
            <w:pPr>
              <w:widowControl/>
              <w:adjustRightInd w:val="0"/>
              <w:snapToGrid w:val="0"/>
              <w:jc w:val="lef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95" w:type="dxa"/>
            <w:vMerge w:val="continue"/>
            <w:tcMar>
              <w:top w:w="15" w:type="dxa"/>
              <w:left w:w="15" w:type="dxa"/>
              <w:right w:w="15" w:type="dxa"/>
            </w:tcMar>
            <w:vAlign w:val="center"/>
          </w:tcPr>
          <w:p>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调整</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九义校</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同心小学初中部（停招初一新生）</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隆盛初中</w:t>
            </w:r>
          </w:p>
        </w:tc>
        <w:tc>
          <w:tcPr>
            <w:tcW w:w="1297" w:type="dxa"/>
            <w:vMerge w:val="continue"/>
            <w:tcMar>
              <w:top w:w="15" w:type="dxa"/>
              <w:left w:w="15" w:type="dxa"/>
              <w:right w:w="15" w:type="dxa"/>
            </w:tcMar>
            <w:vAlign w:val="center"/>
          </w:tcPr>
          <w:p>
            <w:pPr>
              <w:widowControl/>
              <w:adjustRightInd w:val="0"/>
              <w:snapToGrid w:val="0"/>
              <w:jc w:val="lef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5" w:type="dxa"/>
            <w:vMerge w:val="restart"/>
            <w:tcMar>
              <w:top w:w="15" w:type="dxa"/>
              <w:left w:w="15" w:type="dxa"/>
              <w:right w:w="15" w:type="dxa"/>
            </w:tcMar>
            <w:vAlign w:val="center"/>
          </w:tcPr>
          <w:p>
            <w:pPr>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2022年</w:t>
            </w: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教学点</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太吉千福村小</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郪江外国语学校太吉小学</w:t>
            </w:r>
          </w:p>
        </w:tc>
        <w:tc>
          <w:tcPr>
            <w:tcW w:w="1297" w:type="dxa"/>
            <w:vMerge w:val="restart"/>
            <w:tcMar>
              <w:top w:w="15" w:type="dxa"/>
              <w:left w:w="15" w:type="dxa"/>
              <w:right w:w="15" w:type="dxa"/>
            </w:tcMar>
            <w:vAlign w:val="center"/>
          </w:tcPr>
          <w:p>
            <w:pPr>
              <w:adjustRightInd w:val="0"/>
              <w:snapToGrid w:val="0"/>
              <w:jc w:val="left"/>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撤销教学点3个、初中1所、小学1所，调整小学1所、教学点1个；小计7所。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795" w:type="dxa"/>
            <w:vMerge w:val="continue"/>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教学点</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安乐槐花村小</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安乐小学</w:t>
            </w:r>
          </w:p>
        </w:tc>
        <w:tc>
          <w:tcPr>
            <w:tcW w:w="1297" w:type="dxa"/>
            <w:vMerge w:val="continue"/>
            <w:tcMar>
              <w:top w:w="15" w:type="dxa"/>
              <w:left w:w="15" w:type="dxa"/>
              <w:right w:w="15" w:type="dxa"/>
            </w:tcMar>
            <w:vAlign w:val="center"/>
          </w:tcPr>
          <w:p>
            <w:pPr>
              <w:widowControl/>
              <w:adjustRightInd w:val="0"/>
              <w:snapToGrid w:val="0"/>
              <w:jc w:val="left"/>
              <w:textAlignment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795" w:type="dxa"/>
            <w:vMerge w:val="continue"/>
            <w:tcMar>
              <w:top w:w="15" w:type="dxa"/>
              <w:left w:w="15" w:type="dxa"/>
              <w:right w:w="15" w:type="dxa"/>
            </w:tcMar>
            <w:vAlign w:val="center"/>
          </w:tcPr>
          <w:p>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教学点</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金竹村小</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回马小学      民主小学     隆盛小学</w:t>
            </w:r>
          </w:p>
          <w:p>
            <w:pPr>
              <w:widowControl/>
              <w:adjustRightInd w:val="0"/>
              <w:snapToGrid w:val="0"/>
              <w:jc w:val="center"/>
              <w:textAlignment w:val="center"/>
              <w:rPr>
                <w:rFonts w:hint="default" w:ascii="Times New Roman" w:hAnsi="Times New Roman" w:eastAsia="方正仿宋简体"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金竹小学</w:t>
            </w:r>
          </w:p>
        </w:tc>
        <w:tc>
          <w:tcPr>
            <w:tcW w:w="1297" w:type="dxa"/>
            <w:vMerge w:val="continue"/>
            <w:tcMar>
              <w:top w:w="15" w:type="dxa"/>
              <w:left w:w="15" w:type="dxa"/>
              <w:right w:w="15" w:type="dxa"/>
            </w:tcMar>
            <w:vAlign w:val="center"/>
          </w:tcPr>
          <w:p>
            <w:pPr>
              <w:widowControl/>
              <w:adjustRightInd w:val="0"/>
              <w:snapToGrid w:val="0"/>
              <w:jc w:val="lef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795" w:type="dxa"/>
            <w:vMerge w:val="continue"/>
            <w:tcMar>
              <w:top w:w="15" w:type="dxa"/>
              <w:left w:w="15" w:type="dxa"/>
              <w:right w:w="15" w:type="dxa"/>
            </w:tcMar>
            <w:vAlign w:val="center"/>
          </w:tcPr>
          <w:p>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初中</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寸塘口初中</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县城区及</w:t>
            </w:r>
            <w:r>
              <w:rPr>
                <w:rFonts w:hint="default" w:ascii="Times New Roman" w:hAnsi="Times New Roman" w:cs="Times New Roman"/>
                <w:color w:val="000000" w:themeColor="text1"/>
                <w:kern w:val="0"/>
                <w:szCs w:val="21"/>
                <w14:textFill>
                  <w14:solidFill>
                    <w14:schemeClr w14:val="tx1"/>
                  </w14:solidFill>
                </w14:textFill>
              </w:rPr>
              <w:br w:type="textWrapping"/>
            </w:r>
            <w:r>
              <w:rPr>
                <w:rFonts w:hint="default" w:ascii="Times New Roman" w:hAnsi="Times New Roman" w:cs="Times New Roman"/>
                <w:color w:val="000000" w:themeColor="text1"/>
                <w:kern w:val="0"/>
                <w:szCs w:val="21"/>
                <w14:textFill>
                  <w14:solidFill>
                    <w14:schemeClr w14:val="tx1"/>
                  </w14:solidFill>
                </w14:textFill>
              </w:rPr>
              <w:t>附近学校</w:t>
            </w:r>
          </w:p>
        </w:tc>
        <w:tc>
          <w:tcPr>
            <w:tcW w:w="1297" w:type="dxa"/>
            <w:vMerge w:val="continue"/>
            <w:tcMar>
              <w:top w:w="15" w:type="dxa"/>
              <w:left w:w="15" w:type="dxa"/>
              <w:right w:w="15" w:type="dxa"/>
            </w:tcMar>
            <w:vAlign w:val="center"/>
          </w:tcPr>
          <w:p>
            <w:pPr>
              <w:widowControl/>
              <w:adjustRightInd w:val="0"/>
              <w:snapToGrid w:val="0"/>
              <w:jc w:val="lef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795" w:type="dxa"/>
            <w:vMerge w:val="continue"/>
            <w:tcMar>
              <w:top w:w="15" w:type="dxa"/>
              <w:left w:w="15" w:type="dxa"/>
              <w:right w:w="15" w:type="dxa"/>
            </w:tcMar>
            <w:vAlign w:val="center"/>
          </w:tcPr>
          <w:p>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小学</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火井小学（与盐华小学合并）</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盐华小学</w:t>
            </w:r>
          </w:p>
        </w:tc>
        <w:tc>
          <w:tcPr>
            <w:tcW w:w="1297" w:type="dxa"/>
            <w:vMerge w:val="continue"/>
            <w:tcMar>
              <w:top w:w="15" w:type="dxa"/>
              <w:left w:w="15" w:type="dxa"/>
              <w:right w:w="15" w:type="dxa"/>
            </w:tcMar>
            <w:vAlign w:val="center"/>
          </w:tcPr>
          <w:p>
            <w:pPr>
              <w:widowControl/>
              <w:adjustRightInd w:val="0"/>
              <w:snapToGrid w:val="0"/>
              <w:jc w:val="lef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795" w:type="dxa"/>
            <w:vMerge w:val="continue"/>
            <w:tcMar>
              <w:top w:w="15" w:type="dxa"/>
              <w:left w:w="15" w:type="dxa"/>
              <w:right w:w="15" w:type="dxa"/>
            </w:tcMar>
            <w:vAlign w:val="center"/>
          </w:tcPr>
          <w:p>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调整</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教学点</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郪口长江村小学改扩建为郪口小学中心校</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kern w:val="0"/>
                <w:szCs w:val="21"/>
                <w14:textFill>
                  <w14:solidFill>
                    <w14:schemeClr w14:val="tx1"/>
                  </w14:solidFill>
                </w14:textFill>
              </w:rPr>
            </w:pPr>
          </w:p>
        </w:tc>
        <w:tc>
          <w:tcPr>
            <w:tcW w:w="1297" w:type="dxa"/>
            <w:vMerge w:val="continue"/>
            <w:tcMar>
              <w:top w:w="15" w:type="dxa"/>
              <w:left w:w="15" w:type="dxa"/>
              <w:right w:w="15" w:type="dxa"/>
            </w:tcMar>
            <w:vAlign w:val="center"/>
          </w:tcPr>
          <w:p>
            <w:pPr>
              <w:widowControl/>
              <w:adjustRightInd w:val="0"/>
              <w:snapToGrid w:val="0"/>
              <w:jc w:val="lef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795" w:type="dxa"/>
            <w:vMerge w:val="continue"/>
            <w:tcMar>
              <w:top w:w="15" w:type="dxa"/>
              <w:left w:w="15" w:type="dxa"/>
              <w:right w:w="15" w:type="dxa"/>
            </w:tcMar>
            <w:vAlign w:val="center"/>
          </w:tcPr>
          <w:p>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调整</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小学</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郪口小学调整为教学点</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p>
        </w:tc>
        <w:tc>
          <w:tcPr>
            <w:tcW w:w="1297" w:type="dxa"/>
            <w:vMerge w:val="continue"/>
            <w:tcMar>
              <w:top w:w="15" w:type="dxa"/>
              <w:left w:w="15" w:type="dxa"/>
              <w:right w:w="15" w:type="dxa"/>
            </w:tcMar>
            <w:vAlign w:val="center"/>
          </w:tcPr>
          <w:p>
            <w:pPr>
              <w:widowControl/>
              <w:adjustRightInd w:val="0"/>
              <w:snapToGrid w:val="0"/>
              <w:jc w:val="lef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795" w:type="dxa"/>
            <w:vMerge w:val="restart"/>
            <w:tcMar>
              <w:top w:w="15" w:type="dxa"/>
              <w:left w:w="15" w:type="dxa"/>
              <w:right w:w="15" w:type="dxa"/>
            </w:tcMar>
            <w:vAlign w:val="center"/>
          </w:tcPr>
          <w:p>
            <w:pPr>
              <w:adjustRightInd w:val="0"/>
              <w:snapToGrid w:val="0"/>
              <w:jc w:val="center"/>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2023年</w:t>
            </w: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教学点</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八里安山村小</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河边小学</w:t>
            </w:r>
          </w:p>
        </w:tc>
        <w:tc>
          <w:tcPr>
            <w:tcW w:w="1297" w:type="dxa"/>
            <w:vMerge w:val="restart"/>
            <w:tcMar>
              <w:top w:w="15" w:type="dxa"/>
              <w:left w:w="15" w:type="dxa"/>
              <w:right w:w="15" w:type="dxa"/>
            </w:tcMar>
            <w:vAlign w:val="center"/>
          </w:tcPr>
          <w:p>
            <w:pPr>
              <w:adjustRightInd w:val="0"/>
              <w:snapToGrid w:val="0"/>
              <w:jc w:val="left"/>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撤销教学点1个、小学2所，调整九年一贯制学校初中部1所；小计4所。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795" w:type="dxa"/>
            <w:vMerge w:val="continue"/>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小学</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转轮小学（与卓筒井小学合并）</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卓筒井小学</w:t>
            </w:r>
            <w:r>
              <w:rPr>
                <w:rFonts w:hint="default" w:ascii="Times New Roman" w:hAnsi="Times New Roman" w:cs="Times New Roman"/>
                <w:color w:val="000000" w:themeColor="text1"/>
                <w:kern w:val="0"/>
                <w:szCs w:val="21"/>
                <w14:textFill>
                  <w14:solidFill>
                    <w14:schemeClr w14:val="tx1"/>
                  </w14:solidFill>
                </w14:textFill>
              </w:rPr>
              <w:br w:type="textWrapping"/>
            </w:r>
            <w:r>
              <w:rPr>
                <w:rFonts w:hint="default" w:ascii="Times New Roman" w:hAnsi="Times New Roman" w:cs="Times New Roman"/>
                <w:color w:val="000000" w:themeColor="text1"/>
                <w:kern w:val="0"/>
                <w:szCs w:val="21"/>
                <w14:textFill>
                  <w14:solidFill>
                    <w14:schemeClr w14:val="tx1"/>
                  </w14:solidFill>
                </w14:textFill>
              </w:rPr>
              <w:t>吊脚楼村小</w:t>
            </w:r>
          </w:p>
        </w:tc>
        <w:tc>
          <w:tcPr>
            <w:tcW w:w="1297" w:type="dxa"/>
            <w:vMerge w:val="continue"/>
            <w:tcMar>
              <w:top w:w="15" w:type="dxa"/>
              <w:left w:w="15" w:type="dxa"/>
              <w:right w:w="15" w:type="dxa"/>
            </w:tcMar>
            <w:vAlign w:val="center"/>
          </w:tcPr>
          <w:p>
            <w:pPr>
              <w:widowControl/>
              <w:adjustRightInd w:val="0"/>
              <w:snapToGrid w:val="0"/>
              <w:jc w:val="left"/>
              <w:textAlignment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95" w:type="dxa"/>
            <w:vMerge w:val="continue"/>
            <w:tcMar>
              <w:top w:w="15" w:type="dxa"/>
              <w:left w:w="15" w:type="dxa"/>
              <w:right w:w="15" w:type="dxa"/>
            </w:tcMar>
            <w:vAlign w:val="center"/>
          </w:tcPr>
          <w:p>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小学</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金竹小学（与回马小学合并）</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回马小学      民主小学     隆盛小学</w:t>
            </w:r>
          </w:p>
        </w:tc>
        <w:tc>
          <w:tcPr>
            <w:tcW w:w="1297" w:type="dxa"/>
            <w:vMerge w:val="continue"/>
            <w:tcMar>
              <w:top w:w="15" w:type="dxa"/>
              <w:left w:w="15" w:type="dxa"/>
              <w:right w:w="15" w:type="dxa"/>
            </w:tcMar>
            <w:vAlign w:val="center"/>
          </w:tcPr>
          <w:p>
            <w:pPr>
              <w:widowControl/>
              <w:adjustRightInd w:val="0"/>
              <w:snapToGrid w:val="0"/>
              <w:jc w:val="lef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795" w:type="dxa"/>
            <w:vMerge w:val="continue"/>
            <w:tcMar>
              <w:top w:w="15" w:type="dxa"/>
              <w:left w:w="15" w:type="dxa"/>
              <w:right w:w="15" w:type="dxa"/>
            </w:tcMar>
            <w:vAlign w:val="center"/>
          </w:tcPr>
          <w:p>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调整</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九年制</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同心小学初中部</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隆盛初中</w:t>
            </w:r>
          </w:p>
        </w:tc>
        <w:tc>
          <w:tcPr>
            <w:tcW w:w="1297" w:type="dxa"/>
            <w:vMerge w:val="continue"/>
            <w:tcMar>
              <w:top w:w="15" w:type="dxa"/>
              <w:left w:w="15" w:type="dxa"/>
              <w:right w:w="15" w:type="dxa"/>
            </w:tcMar>
            <w:vAlign w:val="center"/>
          </w:tcPr>
          <w:p>
            <w:pPr>
              <w:widowControl/>
              <w:adjustRightInd w:val="0"/>
              <w:snapToGrid w:val="0"/>
              <w:jc w:val="lef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795" w:type="dxa"/>
            <w:vMerge w:val="restart"/>
            <w:tcMar>
              <w:top w:w="15" w:type="dxa"/>
              <w:left w:w="15" w:type="dxa"/>
              <w:right w:w="15" w:type="dxa"/>
            </w:tcMar>
            <w:vAlign w:val="center"/>
          </w:tcPr>
          <w:p>
            <w:pPr>
              <w:adjustRightInd w:val="0"/>
              <w:snapToGrid w:val="0"/>
              <w:jc w:val="center"/>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2024年</w:t>
            </w: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教学点</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五方农田村小</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五方小学</w:t>
            </w:r>
          </w:p>
        </w:tc>
        <w:tc>
          <w:tcPr>
            <w:tcW w:w="1297" w:type="dxa"/>
            <w:vMerge w:val="restart"/>
            <w:tcMar>
              <w:top w:w="15" w:type="dxa"/>
              <w:left w:w="15" w:type="dxa"/>
              <w:right w:w="15" w:type="dxa"/>
            </w:tcMar>
            <w:vAlign w:val="center"/>
          </w:tcPr>
          <w:p>
            <w:pPr>
              <w:adjustRightInd w:val="0"/>
              <w:snapToGrid w:val="0"/>
              <w:jc w:val="left"/>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撤销教学点1个、初中1所、小学2所，调整九年一贯制学校初中部1所；小计5所。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795" w:type="dxa"/>
            <w:vMerge w:val="continue"/>
            <w:tcMar>
              <w:top w:w="15" w:type="dxa"/>
              <w:left w:w="15" w:type="dxa"/>
              <w:right w:w="15" w:type="dxa"/>
            </w:tcMar>
            <w:vAlign w:val="center"/>
          </w:tcPr>
          <w:p>
            <w:pPr>
              <w:adjustRightInd w:val="0"/>
              <w:snapToGrid w:val="0"/>
              <w:jc w:val="center"/>
              <w:textAlignment w:val="center"/>
              <w:rPr>
                <w:rFonts w:hint="default" w:ascii="Times New Roman" w:hAnsi="Times New Roman" w:cs="Times New Roman"/>
                <w:color w:val="000000" w:themeColor="text1"/>
                <w:kern w:val="0"/>
                <w:szCs w:val="21"/>
                <w14:textFill>
                  <w14:solidFill>
                    <w14:schemeClr w14:val="tx1"/>
                  </w14:solidFill>
                </w14:textFill>
              </w:rPr>
            </w:pP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初中</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智水初中</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玉峰初中</w:t>
            </w:r>
          </w:p>
        </w:tc>
        <w:tc>
          <w:tcPr>
            <w:tcW w:w="1297" w:type="dxa"/>
            <w:vMerge w:val="continue"/>
            <w:tcMar>
              <w:top w:w="15" w:type="dxa"/>
              <w:left w:w="15" w:type="dxa"/>
              <w:right w:w="15" w:type="dxa"/>
            </w:tcMar>
            <w:vAlign w:val="center"/>
          </w:tcPr>
          <w:p>
            <w:pPr>
              <w:adjustRightInd w:val="0"/>
              <w:snapToGrid w:val="0"/>
              <w:jc w:val="left"/>
              <w:textAlignment w:val="center"/>
              <w:rPr>
                <w:rFonts w:hint="default" w:ascii="Times New Roman" w:hAnsi="Times New Roman" w:cs="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795" w:type="dxa"/>
            <w:vMerge w:val="continue"/>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小学</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永乐小学（与象山小学合并）</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象山小学</w:t>
            </w:r>
          </w:p>
        </w:tc>
        <w:tc>
          <w:tcPr>
            <w:tcW w:w="1297" w:type="dxa"/>
            <w:vMerge w:val="continue"/>
            <w:tcMar>
              <w:top w:w="15" w:type="dxa"/>
              <w:left w:w="15" w:type="dxa"/>
              <w:right w:w="15" w:type="dxa"/>
            </w:tcMar>
            <w:vAlign w:val="center"/>
          </w:tcPr>
          <w:p>
            <w:pPr>
              <w:widowControl/>
              <w:adjustRightInd w:val="0"/>
              <w:snapToGrid w:val="0"/>
              <w:jc w:val="left"/>
              <w:textAlignment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795" w:type="dxa"/>
            <w:vMerge w:val="continue"/>
            <w:tcMar>
              <w:top w:w="15" w:type="dxa"/>
              <w:left w:w="15" w:type="dxa"/>
              <w:right w:w="15" w:type="dxa"/>
            </w:tcMar>
            <w:vAlign w:val="center"/>
          </w:tcPr>
          <w:p>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小学</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石门小学（与红旗小学合并）</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红旗小学</w:t>
            </w:r>
          </w:p>
        </w:tc>
        <w:tc>
          <w:tcPr>
            <w:tcW w:w="1297" w:type="dxa"/>
            <w:vMerge w:val="continue"/>
            <w:tcMar>
              <w:top w:w="15" w:type="dxa"/>
              <w:left w:w="15" w:type="dxa"/>
              <w:right w:w="15" w:type="dxa"/>
            </w:tcMar>
            <w:vAlign w:val="center"/>
          </w:tcPr>
          <w:p>
            <w:pPr>
              <w:widowControl/>
              <w:adjustRightInd w:val="0"/>
              <w:snapToGrid w:val="0"/>
              <w:jc w:val="lef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795" w:type="dxa"/>
            <w:vMerge w:val="continue"/>
            <w:tcMar>
              <w:top w:w="15" w:type="dxa"/>
              <w:left w:w="15" w:type="dxa"/>
              <w:right w:w="15" w:type="dxa"/>
            </w:tcMar>
            <w:vAlign w:val="center"/>
          </w:tcPr>
          <w:p>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调整</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九年制</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星花小学初中部</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河边中学</w:t>
            </w:r>
          </w:p>
        </w:tc>
        <w:tc>
          <w:tcPr>
            <w:tcW w:w="1297" w:type="dxa"/>
            <w:vMerge w:val="continue"/>
            <w:tcMar>
              <w:top w:w="15" w:type="dxa"/>
              <w:left w:w="15" w:type="dxa"/>
              <w:right w:w="15" w:type="dxa"/>
            </w:tcMar>
            <w:vAlign w:val="center"/>
          </w:tcPr>
          <w:p>
            <w:pPr>
              <w:widowControl/>
              <w:adjustRightInd w:val="0"/>
              <w:snapToGrid w:val="0"/>
              <w:jc w:val="lef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795" w:type="dxa"/>
            <w:vMerge w:val="restart"/>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2025年</w:t>
            </w: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初中</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永前初中</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隆盛初中</w:t>
            </w:r>
            <w:r>
              <w:rPr>
                <w:rFonts w:hint="default" w:ascii="Times New Roman" w:hAnsi="Times New Roman" w:cs="Times New Roman"/>
                <w:color w:val="000000" w:themeColor="text1"/>
                <w:kern w:val="0"/>
                <w:szCs w:val="21"/>
                <w14:textFill>
                  <w14:solidFill>
                    <w14:schemeClr w14:val="tx1"/>
                  </w14:solidFill>
                </w14:textFill>
              </w:rPr>
              <w:br w:type="textWrapping"/>
            </w:r>
            <w:r>
              <w:rPr>
                <w:rFonts w:hint="default" w:ascii="Times New Roman" w:hAnsi="Times New Roman" w:cs="Times New Roman"/>
                <w:color w:val="000000" w:themeColor="text1"/>
                <w:kern w:val="0"/>
                <w:szCs w:val="21"/>
                <w14:textFill>
                  <w14:solidFill>
                    <w14:schemeClr w14:val="tx1"/>
                  </w14:solidFill>
                </w14:textFill>
              </w:rPr>
              <w:t>金元初中</w:t>
            </w:r>
          </w:p>
        </w:tc>
        <w:tc>
          <w:tcPr>
            <w:tcW w:w="1297" w:type="dxa"/>
            <w:vMerge w:val="restart"/>
            <w:tcMar>
              <w:top w:w="15" w:type="dxa"/>
              <w:left w:w="15" w:type="dxa"/>
              <w:right w:w="15" w:type="dxa"/>
            </w:tcMar>
            <w:vAlign w:val="center"/>
          </w:tcPr>
          <w:p>
            <w:pPr>
              <w:widowControl/>
              <w:adjustRightInd w:val="0"/>
              <w:snapToGrid w:val="0"/>
              <w:jc w:val="left"/>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撤销初中1所、小学2所；小计3所。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795" w:type="dxa"/>
            <w:vMerge w:val="continue"/>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kern w:val="0"/>
                <w:szCs w:val="21"/>
                <w14:textFill>
                  <w14:solidFill>
                    <w14:schemeClr w14:val="tx1"/>
                  </w14:solidFill>
                </w14:textFill>
              </w:rPr>
            </w:pP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小学</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黄莲小学（与象山小学合并）</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象山小学</w:t>
            </w:r>
          </w:p>
        </w:tc>
        <w:tc>
          <w:tcPr>
            <w:tcW w:w="1297" w:type="dxa"/>
            <w:vMerge w:val="continue"/>
            <w:tcMar>
              <w:top w:w="15" w:type="dxa"/>
              <w:left w:w="15" w:type="dxa"/>
              <w:right w:w="15" w:type="dxa"/>
            </w:tcMar>
            <w:vAlign w:val="center"/>
          </w:tcPr>
          <w:p>
            <w:pPr>
              <w:widowControl/>
              <w:adjustRightInd w:val="0"/>
              <w:snapToGrid w:val="0"/>
              <w:jc w:val="left"/>
              <w:textAlignment w:val="center"/>
              <w:rPr>
                <w:rFonts w:hint="default" w:ascii="Times New Roman" w:hAnsi="Times New Roman" w:cs="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795" w:type="dxa"/>
            <w:vMerge w:val="continue"/>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kern w:val="0"/>
                <w:szCs w:val="21"/>
                <w14:textFill>
                  <w14:solidFill>
                    <w14:schemeClr w14:val="tx1"/>
                  </w14:solidFill>
                </w14:textFill>
              </w:rPr>
            </w:pPr>
          </w:p>
        </w:tc>
        <w:tc>
          <w:tcPr>
            <w:tcW w:w="70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撤销</w:t>
            </w:r>
          </w:p>
        </w:tc>
        <w:tc>
          <w:tcPr>
            <w:tcW w:w="885"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小学</w:t>
            </w:r>
          </w:p>
        </w:tc>
        <w:tc>
          <w:tcPr>
            <w:tcW w:w="3820" w:type="dxa"/>
            <w:tcMar>
              <w:top w:w="15" w:type="dxa"/>
              <w:left w:w="15" w:type="dxa"/>
              <w:right w:w="15" w:type="dxa"/>
            </w:tcMar>
            <w:vAlign w:val="center"/>
          </w:tcPr>
          <w:p>
            <w:pPr>
              <w:widowControl/>
              <w:adjustRightInd w:val="0"/>
              <w:snapToGrid w:val="0"/>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安乐小学（与卓筒井小学合并）</w:t>
            </w:r>
          </w:p>
        </w:tc>
        <w:tc>
          <w:tcPr>
            <w:tcW w:w="15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卓筒井小学</w:t>
            </w:r>
          </w:p>
        </w:tc>
        <w:tc>
          <w:tcPr>
            <w:tcW w:w="1297" w:type="dxa"/>
            <w:vMerge w:val="continue"/>
            <w:tcMar>
              <w:top w:w="15" w:type="dxa"/>
              <w:left w:w="15" w:type="dxa"/>
              <w:right w:w="15" w:type="dxa"/>
            </w:tcMar>
            <w:vAlign w:val="center"/>
          </w:tcPr>
          <w:p>
            <w:pPr>
              <w:widowControl/>
              <w:adjustRightInd w:val="0"/>
              <w:snapToGrid w:val="0"/>
              <w:jc w:val="left"/>
              <w:textAlignment w:val="center"/>
              <w:rPr>
                <w:rFonts w:hint="default" w:ascii="Times New Roman" w:hAnsi="Times New Roman" w:cs="Times New Roman"/>
                <w:color w:val="000000" w:themeColor="text1"/>
                <w:kern w:val="0"/>
                <w:szCs w:val="21"/>
                <w14:textFill>
                  <w14:solidFill>
                    <w14:schemeClr w14:val="tx1"/>
                  </w14:solidFill>
                </w14:textFill>
              </w:rPr>
            </w:pPr>
          </w:p>
        </w:tc>
      </w:tr>
    </w:tbl>
    <w:p>
      <w:pPr>
        <w:pStyle w:val="21"/>
        <w:keepNext w:val="0"/>
        <w:keepLines w:val="0"/>
        <w:pageBreakBefore w:val="0"/>
        <w:widowControl/>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楷体_GB2312" w:cs="Times New Roman"/>
          <w:b/>
          <w:color w:val="000000" w:themeColor="text1"/>
          <w:kern w:val="2"/>
          <w:sz w:val="32"/>
          <w:szCs w:val="32"/>
          <w14:textFill>
            <w14:solidFill>
              <w14:schemeClr w14:val="tx1"/>
            </w14:solidFill>
          </w14:textFill>
        </w:rPr>
      </w:pPr>
      <w:r>
        <w:rPr>
          <w:rFonts w:hint="default" w:ascii="Times New Roman" w:hAnsi="Times New Roman" w:eastAsia="楷体_GB2312" w:cs="Times New Roman"/>
          <w:b/>
          <w:color w:val="000000" w:themeColor="text1"/>
          <w:kern w:val="2"/>
          <w:sz w:val="32"/>
          <w:szCs w:val="32"/>
          <w14:textFill>
            <w14:solidFill>
              <w14:schemeClr w14:val="tx1"/>
            </w14:solidFill>
          </w14:textFill>
        </w:rPr>
        <w:t>（二）均衡配置教师资源</w:t>
      </w:r>
    </w:p>
    <w:p>
      <w:pPr>
        <w:keepNext w:val="0"/>
        <w:keepLines w:val="0"/>
        <w:pageBreakBefore w:val="0"/>
        <w:kinsoku/>
        <w:wordWrap/>
        <w:overflowPunct/>
        <w:topLinePunct w:val="0"/>
        <w:autoSpaceDE/>
        <w:autoSpaceDN/>
        <w:bidi w:val="0"/>
        <w:snapToGrid w:val="0"/>
        <w:spacing w:line="560" w:lineRule="exact"/>
        <w:ind w:firstLine="642"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全面加强教师队伍建设。</w:t>
      </w:r>
      <w:r>
        <w:rPr>
          <w:rFonts w:hint="default" w:ascii="Times New Roman" w:hAnsi="Times New Roman" w:eastAsia="仿宋_GB2312" w:cs="Times New Roman"/>
          <w:color w:val="000000" w:themeColor="text1"/>
          <w:kern w:val="0"/>
          <w:sz w:val="32"/>
          <w:szCs w:val="32"/>
          <w14:textFill>
            <w14:solidFill>
              <w14:schemeClr w14:val="tx1"/>
            </w14:solidFill>
          </w14:textFill>
        </w:rPr>
        <w:t>强化教师招引，不断充实教师队伍。实施“名师名班主任名校长”培养工程，建成15个县级名师工作室，3个名校长工作室。培育省、市级名师50名，培育省、市级骨干教师80名。教师培养培训体系基本健全，教师队伍规模、结构、素质能力基本满足各级各类教育发展需要。</w:t>
      </w:r>
    </w:p>
    <w:p>
      <w:pPr>
        <w:keepNext w:val="0"/>
        <w:keepLines w:val="0"/>
        <w:pageBreakBefore w:val="0"/>
        <w:kinsoku/>
        <w:wordWrap/>
        <w:overflowPunct/>
        <w:topLinePunct w:val="0"/>
        <w:autoSpaceDE/>
        <w:autoSpaceDN/>
        <w:bidi w:val="0"/>
        <w:snapToGrid w:val="0"/>
        <w:spacing w:line="560" w:lineRule="exact"/>
        <w:ind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创新和规范教师编制管理。</w:t>
      </w:r>
      <w:r>
        <w:rPr>
          <w:rFonts w:hint="default" w:ascii="Times New Roman" w:hAnsi="Times New Roman" w:eastAsia="仿宋_GB2312" w:cs="Times New Roman"/>
          <w:color w:val="000000" w:themeColor="text1"/>
          <w:sz w:val="32"/>
          <w:szCs w:val="32"/>
          <w14:textFill>
            <w14:solidFill>
              <w14:schemeClr w14:val="tx1"/>
            </w14:solidFill>
          </w14:textFill>
        </w:rPr>
        <w:t>落实城乡统一的中小学、幼儿园教职工编制标准，在现有编制总量内，结合事业单位改革，盘活编制存量，优化编制结构，向一线教师队伍倾斜，向寄宿制学校、农村边远地区学校倾斜；村小、教学点等乡村小规模学校按照师生比和班师比相结合的方式核定教职工编制。建立中小学、幼儿园教职工编制动态调整机制，根据教育发展规划、生源和学校布局变化等情况，在县域内对中小学教职工编制进行动态调整、互补余缺。推行“岗编适度分离”机制，切实缓解学校结构性缺编问题，盘活编制资源，充分发挥教职工编制的集约效益。加大政府购买服务力度，推进中小学、幼儿园教辅、安保、后勤保障服务等项目实施，购买服务所需经费纳入县级财政预算。积极探索运用现代信息技术解决教学资源不均衡、优质资源不充足等问题。加强和规范中小学教职工编制管理，严禁以任何理由、任何形式挤占、挪用和截留中小学教职工编制，严禁在有合格教师来源的情况下有编不补、长期使用临聘人员。</w:t>
      </w:r>
    </w:p>
    <w:p>
      <w:pPr>
        <w:keepNext w:val="0"/>
        <w:keepLines w:val="0"/>
        <w:pageBreakBefore w:val="0"/>
        <w:kinsoku/>
        <w:wordWrap/>
        <w:overflowPunct/>
        <w:topLinePunct w:val="0"/>
        <w:autoSpaceDE/>
        <w:autoSpaceDN/>
        <w:bidi w:val="0"/>
        <w:snapToGrid w:val="0"/>
        <w:spacing w:line="560" w:lineRule="exact"/>
        <w:ind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不断优化教师资源配置。</w:t>
      </w:r>
      <w:r>
        <w:rPr>
          <w:rFonts w:hint="default" w:ascii="Times New Roman" w:hAnsi="Times New Roman" w:eastAsia="仿宋_GB2312" w:cs="Times New Roman"/>
          <w:color w:val="000000" w:themeColor="text1"/>
          <w:sz w:val="32"/>
          <w:szCs w:val="32"/>
          <w14:textFill>
            <w14:solidFill>
              <w14:schemeClr w14:val="tx1"/>
            </w14:solidFill>
          </w14:textFill>
        </w:rPr>
        <w:t>深入推进教师“县管校聘”人事制度改革，按照《大英县教师“县管校聘”实施方案》《大英县教师退出教学岗位实施细则》《大英县教职工待岗培训管理办法（试行）》等要求，不断完善教师竞聘上岗制度、派遣制度、召回制度和退出机制，实现教师由“学校人”向“系统人”转变。深入推进县域内义务教育学校教师、校长交流轮岗，实行教师聘期制、校长任期制，严格聘期和任期考核，推动城镇优秀教师、校长向乡村学校、薄弱学校流动。切实加强县域内教师的考核评价、岗位竞聘、交流轮岗等工作，科学调配全县教师资源，激发教师活力。实施好省级公费师范生定向培养计划和“三支一扶”计划，做好符合条件人员公开考核招聘为乡镇教师工作。实施银龄讲学计划，鼓励支持乐于奉献、身体健康的优秀退休教师到乡村和基层学校支教讲学，落实好有关津补贴发放政策。</w:t>
      </w:r>
    </w:p>
    <w:p>
      <w:pPr>
        <w:keepNext w:val="0"/>
        <w:keepLines w:val="0"/>
        <w:pageBreakBefore w:val="0"/>
        <w:kinsoku/>
        <w:wordWrap/>
        <w:overflowPunct/>
        <w:topLinePunct w:val="0"/>
        <w:autoSpaceDE/>
        <w:autoSpaceDN/>
        <w:bidi w:val="0"/>
        <w:snapToGrid w:val="0"/>
        <w:spacing w:line="560" w:lineRule="exact"/>
        <w:ind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严格教师资格和准入制度。</w:t>
      </w:r>
      <w:r>
        <w:rPr>
          <w:rFonts w:hint="default" w:ascii="Times New Roman" w:hAnsi="Times New Roman" w:eastAsia="仿宋_GB2312" w:cs="Times New Roman"/>
          <w:color w:val="000000" w:themeColor="text1"/>
          <w:sz w:val="32"/>
          <w:szCs w:val="32"/>
          <w14:textFill>
            <w14:solidFill>
              <w14:schemeClr w14:val="tx1"/>
            </w14:solidFill>
          </w14:textFill>
        </w:rPr>
        <w:t>全面落实国家中小学、幼儿园教师资格考试、定期注册、持证上岗等制度。严格教师准入，提高入职标准，到2025年，幼儿园教师学历提升至专科及以上比例达99%；小学教师学历提升至专科及以上比例达98%；初中教师学历提升至本科比例达90%；普通高中教师学历提升至研究生比例达到5%。中小学招聘硕士研究生、部属和省属公费师范生，农村及城区学校紧缺急需人才等实行考核招聘。</w:t>
      </w:r>
    </w:p>
    <w:p>
      <w:pPr>
        <w:keepNext w:val="0"/>
        <w:keepLines w:val="0"/>
        <w:pageBreakBefore w:val="0"/>
        <w:kinsoku/>
        <w:wordWrap/>
        <w:overflowPunct/>
        <w:topLinePunct w:val="0"/>
        <w:autoSpaceDE/>
        <w:autoSpaceDN/>
        <w:bidi w:val="0"/>
        <w:snapToGrid w:val="0"/>
        <w:spacing w:line="560" w:lineRule="exact"/>
        <w:ind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推动师德师风建设常态化长效化。</w:t>
      </w:r>
      <w:r>
        <w:rPr>
          <w:rFonts w:hint="default" w:ascii="Times New Roman" w:hAnsi="Times New Roman" w:eastAsia="仿宋_GB2312" w:cs="Times New Roman"/>
          <w:color w:val="000000" w:themeColor="text1"/>
          <w:sz w:val="32"/>
          <w:szCs w:val="32"/>
          <w14:textFill>
            <w14:solidFill>
              <w14:schemeClr w14:val="tx1"/>
            </w14:solidFill>
          </w14:textFill>
        </w:rPr>
        <w:t>把党的政治建设摆在首位，提高教师对党的教育方针执行力和坚守崇高师德定力。创新教师思想政治工作方式方法，把“四有好老师”标准细化落实到师德教育全过程。以“爱党爱国爱教育爱学生”为导向，持续开展模范教师培育、评选、表扬活动。坚持依法执教，加强教师法治教育，规范教师从教行为，健全常态化师德考核制度，推进教职工从业行为“负面清单”管理。强化学校师德建设主体责任，将师德建设作为学校工作考核和办学质量评估的重要指标，纳入学校党组织书记党建述职评议工作内容。加大师德失范行为的查处力度，坚持在评优评先、职称评聘等方面对师德失范者实行“一票否决”。</w:t>
      </w:r>
    </w:p>
    <w:p>
      <w:pPr>
        <w:pStyle w:val="21"/>
        <w:keepNext w:val="0"/>
        <w:keepLines w:val="0"/>
        <w:pageBreakBefore w:val="0"/>
        <w:widowControl/>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楷体_GB2312" w:cs="Times New Roman"/>
          <w:b/>
          <w:color w:val="000000" w:themeColor="text1"/>
          <w:kern w:val="2"/>
          <w:sz w:val="32"/>
          <w:szCs w:val="32"/>
          <w14:textFill>
            <w14:solidFill>
              <w14:schemeClr w14:val="tx1"/>
            </w14:solidFill>
          </w14:textFill>
        </w:rPr>
      </w:pPr>
      <w:r>
        <w:rPr>
          <w:rFonts w:hint="default" w:ascii="Times New Roman" w:hAnsi="Times New Roman" w:eastAsia="楷体_GB2312" w:cs="Times New Roman"/>
          <w:b/>
          <w:color w:val="000000" w:themeColor="text1"/>
          <w:kern w:val="2"/>
          <w:sz w:val="32"/>
          <w:szCs w:val="32"/>
          <w14:textFill>
            <w14:solidFill>
              <w14:schemeClr w14:val="tx1"/>
            </w14:solidFill>
          </w14:textFill>
        </w:rPr>
        <w:t>（三）推进教育信息化建设</w:t>
      </w:r>
    </w:p>
    <w:p>
      <w:pPr>
        <w:keepNext w:val="0"/>
        <w:keepLines w:val="0"/>
        <w:pageBreakBefore w:val="0"/>
        <w:kinsoku/>
        <w:wordWrap/>
        <w:overflowPunct/>
        <w:topLinePunct w:val="0"/>
        <w:autoSpaceDE/>
        <w:autoSpaceDN/>
        <w:bidi w:val="0"/>
        <w:snapToGrid w:val="0"/>
        <w:spacing w:line="560" w:lineRule="exact"/>
        <w:ind w:firstLine="629" w:firstLineChars="196"/>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加强教育信息化基础环境建设。</w:t>
      </w:r>
      <w:r>
        <w:rPr>
          <w:rFonts w:hint="default" w:ascii="Times New Roman" w:hAnsi="Times New Roman" w:eastAsia="仿宋_GB2312" w:cs="Times New Roman"/>
          <w:color w:val="000000" w:themeColor="text1"/>
          <w:sz w:val="32"/>
          <w:szCs w:val="32"/>
          <w14:textFill>
            <w14:solidFill>
              <w14:schemeClr w14:val="tx1"/>
            </w14:solidFill>
          </w14:textFill>
        </w:rPr>
        <w:t>深入贯彻落实《教育信息化2.0行动计划》《中国教育现代化2035》等文件精神，构建“互联网+教育”新模式，加强学校教育信息化应用环境建设。优化“三通两平台”功能，改进提升“宽带网络校校通”，实施“校校通”光网改造工程，实现城乡各级各类学校无线网络全覆盖。按照《四川省中小学数字校园建设规范（试行）》要求，推进“数字校园”建设，探索未来学校新模式，</w:t>
      </w:r>
      <w:r>
        <w:rPr>
          <w:rFonts w:hint="default" w:ascii="Times New Roman" w:hAnsi="Times New Roman" w:eastAsia="仿宋_GB2312" w:cs="Times New Roman"/>
          <w:color w:val="000000" w:themeColor="text1"/>
          <w:kern w:val="0"/>
          <w:sz w:val="32"/>
          <w:szCs w:val="32"/>
          <w14:textFill>
            <w14:solidFill>
              <w14:schemeClr w14:val="tx1"/>
            </w14:solidFill>
          </w14:textFill>
        </w:rPr>
        <w:t>完成3所省级“智慧教育学校”创建目标。</w:t>
      </w:r>
      <w:r>
        <w:rPr>
          <w:rFonts w:hint="default" w:ascii="Times New Roman" w:hAnsi="Times New Roman" w:eastAsia="仿宋_GB2312" w:cs="Times New Roman"/>
          <w:bCs/>
          <w:color w:val="000000" w:themeColor="text1"/>
          <w:sz w:val="32"/>
          <w:szCs w:val="32"/>
          <w:lang w:val="zh-TW"/>
          <w14:textFill>
            <w14:solidFill>
              <w14:schemeClr w14:val="tx1"/>
            </w14:solidFill>
          </w14:textFill>
        </w:rPr>
        <w:t>落实《</w:t>
      </w:r>
      <w:r>
        <w:rPr>
          <w:rFonts w:hint="default" w:ascii="Times New Roman" w:hAnsi="Times New Roman" w:eastAsia="仿宋_GB2312" w:cs="Times New Roman"/>
          <w:bCs/>
          <w:color w:val="000000" w:themeColor="text1"/>
          <w:sz w:val="32"/>
          <w:szCs w:val="32"/>
          <w:lang w:val="zh-TW" w:eastAsia="zh-TW"/>
          <w14:textFill>
            <w14:solidFill>
              <w14:schemeClr w14:val="tx1"/>
            </w14:solidFill>
          </w14:textFill>
        </w:rPr>
        <w:t>遂宁市推进</w:t>
      </w:r>
      <w:r>
        <w:rPr>
          <w:rFonts w:hint="default" w:ascii="Times New Roman" w:hAnsi="Times New Roman" w:eastAsia="仿宋_GB2312" w:cs="Times New Roman"/>
          <w:bCs/>
          <w:color w:val="000000" w:themeColor="text1"/>
          <w:sz w:val="32"/>
          <w:szCs w:val="32"/>
          <w:lang w:val="zh-TW"/>
          <w14:textFill>
            <w14:solidFill>
              <w14:schemeClr w14:val="tx1"/>
            </w14:solidFill>
          </w14:textFill>
        </w:rPr>
        <w:t>“三个课堂”建设与应用实施方案》，推进</w:t>
      </w:r>
      <w:r>
        <w:rPr>
          <w:rFonts w:hint="default" w:ascii="Times New Roman" w:hAnsi="Times New Roman" w:eastAsia="仿宋_GB2312" w:cs="Times New Roman"/>
          <w:bCs/>
          <w:color w:val="000000" w:themeColor="text1"/>
          <w:sz w:val="32"/>
          <w:szCs w:val="32"/>
          <w:lang w:val="zh-TW" w:eastAsia="zh-TW"/>
          <w14:textFill>
            <w14:solidFill>
              <w14:schemeClr w14:val="tx1"/>
            </w14:solidFill>
          </w14:textFill>
        </w:rPr>
        <w:t>“三个课堂”建设，初步构建</w:t>
      </w:r>
      <w:r>
        <w:rPr>
          <w:rFonts w:hint="default" w:ascii="Times New Roman" w:hAnsi="Times New Roman" w:eastAsia="仿宋_GB2312" w:cs="Times New Roman"/>
          <w:bCs/>
          <w:color w:val="000000" w:themeColor="text1"/>
          <w:sz w:val="32"/>
          <w:szCs w:val="32"/>
          <w:lang w:val="zh-TW"/>
          <w14:textFill>
            <w14:solidFill>
              <w14:schemeClr w14:val="tx1"/>
            </w14:solidFill>
          </w14:textFill>
        </w:rPr>
        <w:t>“大英教育云平台”、</w:t>
      </w:r>
      <w:r>
        <w:rPr>
          <w:rFonts w:hint="default" w:ascii="Times New Roman" w:hAnsi="Times New Roman" w:eastAsia="仿宋_GB2312" w:cs="Times New Roman"/>
          <w:bCs/>
          <w:color w:val="000000" w:themeColor="text1"/>
          <w:sz w:val="32"/>
          <w:szCs w:val="32"/>
          <w:lang w:val="zh-TW" w:eastAsia="zh-TW"/>
          <w14:textFill>
            <w14:solidFill>
              <w14:schemeClr w14:val="tx1"/>
            </w14:solidFill>
          </w14:textFill>
        </w:rPr>
        <w:t>电视和网络等多渠道互补</w:t>
      </w:r>
      <w:r>
        <w:rPr>
          <w:rFonts w:hint="default" w:ascii="Times New Roman" w:hAnsi="Times New Roman" w:eastAsia="仿宋_GB2312" w:cs="Times New Roman"/>
          <w:bCs/>
          <w:color w:val="000000" w:themeColor="text1"/>
          <w:sz w:val="32"/>
          <w:szCs w:val="32"/>
          <w:lang w:val="zh-TW"/>
          <w14:textFill>
            <w14:solidFill>
              <w14:schemeClr w14:val="tx1"/>
            </w14:solidFill>
          </w14:textFill>
        </w:rPr>
        <w:t>、</w:t>
      </w:r>
      <w:r>
        <w:rPr>
          <w:rFonts w:hint="default" w:ascii="Times New Roman" w:hAnsi="Times New Roman" w:eastAsia="仿宋_GB2312" w:cs="Times New Roman"/>
          <w:bCs/>
          <w:color w:val="000000" w:themeColor="text1"/>
          <w:sz w:val="32"/>
          <w:szCs w:val="32"/>
          <w:lang w:val="zh-TW" w:eastAsia="zh-TW"/>
          <w14:textFill>
            <w14:solidFill>
              <w14:schemeClr w14:val="tx1"/>
            </w14:solidFill>
          </w14:textFill>
        </w:rPr>
        <w:t>覆盖全体学生</w:t>
      </w:r>
      <w:r>
        <w:rPr>
          <w:rFonts w:hint="default" w:ascii="Times New Roman" w:hAnsi="Times New Roman" w:eastAsia="仿宋_GB2312" w:cs="Times New Roman"/>
          <w:bCs/>
          <w:color w:val="000000" w:themeColor="text1"/>
          <w:sz w:val="32"/>
          <w:szCs w:val="32"/>
          <w:lang w:val="zh-TW"/>
          <w14:textFill>
            <w14:solidFill>
              <w14:schemeClr w14:val="tx1"/>
            </w14:solidFill>
          </w14:textFill>
        </w:rPr>
        <w:t>、</w:t>
      </w:r>
      <w:r>
        <w:rPr>
          <w:rFonts w:hint="default" w:ascii="Times New Roman" w:hAnsi="Times New Roman" w:eastAsia="仿宋_GB2312" w:cs="Times New Roman"/>
          <w:bCs/>
          <w:color w:val="000000" w:themeColor="text1"/>
          <w:sz w:val="32"/>
          <w:szCs w:val="32"/>
          <w:lang w:val="zh-TW" w:eastAsia="zh-TW"/>
          <w14:textFill>
            <w14:solidFill>
              <w14:schemeClr w14:val="tx1"/>
            </w14:solidFill>
          </w14:textFill>
        </w:rPr>
        <w:t>常态化和应急性</w:t>
      </w:r>
      <w:r>
        <w:rPr>
          <w:rFonts w:hint="default" w:ascii="Times New Roman" w:hAnsi="Times New Roman" w:eastAsia="仿宋_GB2312" w:cs="Times New Roman"/>
          <w:bCs/>
          <w:color w:val="000000" w:themeColor="text1"/>
          <w:sz w:val="32"/>
          <w:szCs w:val="32"/>
          <w:lang w:val="zh-TW"/>
          <w14:textFill>
            <w14:solidFill>
              <w14:schemeClr w14:val="tx1"/>
            </w14:solidFill>
          </w14:textFill>
        </w:rPr>
        <w:t>相</w:t>
      </w:r>
      <w:r>
        <w:rPr>
          <w:rFonts w:hint="default" w:ascii="Times New Roman" w:hAnsi="Times New Roman" w:eastAsia="仿宋_GB2312" w:cs="Times New Roman"/>
          <w:bCs/>
          <w:color w:val="000000" w:themeColor="text1"/>
          <w:sz w:val="32"/>
          <w:szCs w:val="32"/>
          <w:lang w:val="zh-TW" w:eastAsia="zh-TW"/>
          <w14:textFill>
            <w14:solidFill>
              <w14:schemeClr w14:val="tx1"/>
            </w14:solidFill>
          </w14:textFill>
        </w:rPr>
        <w:t>结合的公益性在线教育</w:t>
      </w:r>
      <w:r>
        <w:rPr>
          <w:rFonts w:hint="default" w:ascii="Times New Roman" w:hAnsi="Times New Roman" w:eastAsia="仿宋_GB2312" w:cs="Times New Roman"/>
          <w:bCs/>
          <w:color w:val="000000" w:themeColor="text1"/>
          <w:sz w:val="32"/>
          <w:szCs w:val="32"/>
          <w:lang w:val="zh-TW"/>
          <w14:textFill>
            <w14:solidFill>
              <w14:schemeClr w14:val="tx1"/>
            </w14:solidFill>
          </w14:textFill>
        </w:rPr>
        <w:t>体系</w:t>
      </w:r>
      <w:r>
        <w:rPr>
          <w:rFonts w:hint="default" w:ascii="Times New Roman" w:hAnsi="Times New Roman" w:eastAsia="仿宋_GB2312" w:cs="Times New Roman"/>
          <w:bCs/>
          <w:color w:val="000000" w:themeColor="text1"/>
          <w:sz w:val="32"/>
          <w:szCs w:val="32"/>
          <w:lang w:val="zh-TW" w:eastAsia="zh-TW"/>
          <w14:textFill>
            <w14:solidFill>
              <w14:schemeClr w14:val="tx1"/>
            </w14:solidFill>
          </w14:textFill>
        </w:rPr>
        <w:t>。</w:t>
      </w:r>
    </w:p>
    <w:p>
      <w:pPr>
        <w:keepNext w:val="0"/>
        <w:keepLines w:val="0"/>
        <w:pageBreakBefore w:val="0"/>
        <w:kinsoku/>
        <w:wordWrap/>
        <w:overflowPunct/>
        <w:topLinePunct w:val="0"/>
        <w:autoSpaceDE/>
        <w:autoSpaceDN/>
        <w:bidi w:val="0"/>
        <w:snapToGrid w:val="0"/>
        <w:spacing w:line="560" w:lineRule="exact"/>
        <w:ind w:firstLine="629" w:firstLineChars="196"/>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深化信息技术与教育教学融合发展。</w:t>
      </w:r>
      <w:r>
        <w:rPr>
          <w:rFonts w:hint="default" w:ascii="Times New Roman" w:hAnsi="Times New Roman" w:eastAsia="仿宋_GB2312" w:cs="Times New Roman"/>
          <w:color w:val="000000" w:themeColor="text1"/>
          <w:sz w:val="32"/>
          <w:szCs w:val="32"/>
          <w14:textFill>
            <w14:solidFill>
              <w14:schemeClr w14:val="tx1"/>
            </w14:solidFill>
          </w14:textFill>
        </w:rPr>
        <w:t>按照《关于实施全国中小学教师信息技术应用能力提升工程2.0的意见》，开展信息素养全面提升行动，逐步实现信息化教与学应用师生全覆盖。支持学校利用信息技术创新人才培养模式和深化教学方法改革，构建线上线下复合式、课内课外融合融通式学习新样态。开展大数据支撑下的教育治理能力优化行动，加快学生学习成长记录的大数据采集和成果应用，推动信息化手段服务教育教学全过程。实施人工智能助推教师能力建设行动，推进信息化环境下的课堂教学模式变革，逐步构建满足学生个性化、终身化学习需求的新型课程结构和教育教学体系。</w:t>
      </w:r>
    </w:p>
    <w:p>
      <w:pPr>
        <w:keepNext w:val="0"/>
        <w:keepLines w:val="0"/>
        <w:pageBreakBefore w:val="0"/>
        <w:kinsoku/>
        <w:wordWrap/>
        <w:overflowPunct/>
        <w:topLinePunct w:val="0"/>
        <w:autoSpaceDE/>
        <w:autoSpaceDN/>
        <w:bidi w:val="0"/>
        <w:snapToGrid w:val="0"/>
        <w:spacing w:line="560" w:lineRule="exact"/>
        <w:ind w:firstLine="629" w:firstLineChars="196"/>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推进优质教育资源共建共享。</w:t>
      </w:r>
      <w:r>
        <w:rPr>
          <w:rFonts w:hint="default" w:ascii="Times New Roman" w:hAnsi="Times New Roman" w:eastAsia="仿宋_GB2312" w:cs="Times New Roman"/>
          <w:color w:val="000000" w:themeColor="text1"/>
          <w:sz w:val="32"/>
          <w:szCs w:val="32"/>
          <w14:textFill>
            <w14:solidFill>
              <w14:schemeClr w14:val="tx1"/>
            </w14:solidFill>
          </w14:textFill>
        </w:rPr>
        <w:t>完善数字教育资源公共服务体系建设，汇集更多更优数字教育资源，多渠道开发生成本地特色优质教育资源，实现优质教育资源全县共享，常态化应用。推广“一校带多点、一校带多校”的“同步课堂”“名师课堂”“名校课堂”网上教学模式，实现各层次教师、各类别学校互助发展、共生共长。</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三、全面提升教育发展水平</w:t>
      </w:r>
    </w:p>
    <w:p>
      <w:pPr>
        <w:pStyle w:val="21"/>
        <w:keepNext w:val="0"/>
        <w:keepLines w:val="0"/>
        <w:pageBreakBefore w:val="0"/>
        <w:widowControl/>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楷体_GB2312" w:cs="Times New Roman"/>
          <w:b/>
          <w:color w:val="000000" w:themeColor="text1"/>
          <w:kern w:val="2"/>
          <w:sz w:val="32"/>
          <w:szCs w:val="32"/>
          <w14:textFill>
            <w14:solidFill>
              <w14:schemeClr w14:val="tx1"/>
            </w14:solidFill>
          </w14:textFill>
        </w:rPr>
      </w:pPr>
      <w:r>
        <w:rPr>
          <w:rFonts w:hint="default" w:ascii="Times New Roman" w:hAnsi="Times New Roman" w:eastAsia="楷体_GB2312" w:cs="Times New Roman"/>
          <w:b/>
          <w:color w:val="000000" w:themeColor="text1"/>
          <w:kern w:val="2"/>
          <w:sz w:val="32"/>
          <w:szCs w:val="32"/>
          <w14:textFill>
            <w14:solidFill>
              <w14:schemeClr w14:val="tx1"/>
            </w14:solidFill>
          </w14:textFill>
        </w:rPr>
        <w:t>（一）推动学前教育普及普惠发展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贯彻落实教育部《幼儿园保育教育质量评估指南》，不断提升幼儿园保教质量和办园水平。落实学前教育教学研究和业务指导制度，设置学前教育专职教研员和专家顾问团队，开展园本教研和区域教研，开发具有县域特色的幼儿园课程体系。加强省市名园长工作室、名师工作室建设，持续推进集团化（联盟化）保教模式，发挥优质教育资源和优质示范园辐射引领作用。</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科学规划布局，按照“新建公办园、扶持普惠园、规范营利园”思路，多渠道增加普惠性学前教育资源，基本建成“广覆盖、保基本、高质量”的学前教育公共服务体系。优化投入结构，将学前教育投入列入县财政预算，加快落实省定奖补政策，精准落实幼儿资助政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依标配备师资，严格落实公办幼儿园教职工编制标准，合理核定公办幼儿园教职工编制，按规定配备卫生保健人员。继续将公办园临聘教师、保育员的薪资纳入政府购买服务范围。严格执行幼儿园园长、教师专业标准，落实教师持证上岗制度，2025年公办园教师持证率达到100%。完善幼儿园教师职称评聘标准。强化师资队伍建设，加强教师教育培训，不断提高教师科学保教能力。</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强化动态监管，健全幼儿园办园行为评估体系，加大对违法违规办园行为的惩治力度，坚决遏制民办园过度逐利行为，杜绝学前教育“小学化”倾向。开展薄弱幼儿园升级达标行动，确保幼儿园的园舍条件、玩教具和图书配备基本达标。完善办园质量评估标准，健全分级分类评估体系和办园成效定期公布制度。</w:t>
      </w:r>
    </w:p>
    <w:p>
      <w:pPr>
        <w:pStyle w:val="21"/>
        <w:keepNext w:val="0"/>
        <w:keepLines w:val="0"/>
        <w:pageBreakBefore w:val="0"/>
        <w:widowControl/>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楷体_GB2312" w:cs="Times New Roman"/>
          <w:b/>
          <w:color w:val="000000" w:themeColor="text1"/>
          <w:kern w:val="2"/>
          <w:sz w:val="32"/>
          <w:szCs w:val="32"/>
          <w14:textFill>
            <w14:solidFill>
              <w14:schemeClr w14:val="tx1"/>
            </w14:solidFill>
          </w14:textFill>
        </w:rPr>
      </w:pPr>
      <w:r>
        <w:rPr>
          <w:rFonts w:hint="default" w:ascii="Times New Roman" w:hAnsi="Times New Roman" w:eastAsia="楷体_GB2312" w:cs="Times New Roman"/>
          <w:b/>
          <w:color w:val="000000" w:themeColor="text1"/>
          <w:kern w:val="2"/>
          <w:sz w:val="32"/>
          <w:szCs w:val="32"/>
          <w14:textFill>
            <w14:solidFill>
              <w14:schemeClr w14:val="tx1"/>
            </w14:solidFill>
          </w14:textFill>
        </w:rPr>
        <w:t>（二）推动义务教育优质均衡发展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巩固义务教育基本均衡发展成果，推进义务教育优质均衡发展。制定县域义务教育优质均衡发展规划和实施方案，建立健全基本公共教育资源均衡配置机制，提升全县义务教育阶段学校硬件设施、师资配置、教育质量、普及程度、管理水平、内涵特色等方面的发展水平。</w:t>
      </w:r>
    </w:p>
    <w:p>
      <w:pPr>
        <w:keepNext w:val="0"/>
        <w:keepLines w:val="0"/>
        <w:pageBreakBefore w:val="0"/>
        <w:kinsoku/>
        <w:wordWrap/>
        <w:overflowPunct/>
        <w:topLinePunct w:val="0"/>
        <w:autoSpaceDE/>
        <w:autoSpaceDN/>
        <w:bidi w:val="0"/>
        <w:snapToGrid w:val="0"/>
        <w:spacing w:line="560" w:lineRule="exact"/>
        <w:ind w:firstLine="640"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强教师交流和对口帮扶，采取定期交流、学校联盟、对口支援、镇所在地学校教师走教等多种途径和方式，重点引导优秀校长和骨干教师向乡村学校流动。实施城乡学校“手拉手”结对支援计划，组建城乡学校教研共同体，利用城镇学校资源优势，指导乡村学校开展校本教研活动，推广优秀教育教学成果。</w:t>
      </w:r>
    </w:p>
    <w:p>
      <w:pPr>
        <w:keepNext w:val="0"/>
        <w:keepLines w:val="0"/>
        <w:pageBreakBefore w:val="0"/>
        <w:kinsoku/>
        <w:wordWrap/>
        <w:overflowPunct/>
        <w:topLinePunct w:val="0"/>
        <w:autoSpaceDE/>
        <w:autoSpaceDN/>
        <w:bidi w:val="0"/>
        <w:snapToGrid w:val="0"/>
        <w:spacing w:line="560" w:lineRule="exact"/>
        <w:ind w:firstLine="640"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积极传播新理念，应用新技术，深化乡村学校课程改革。实施课堂提质攻坚行动，聚焦国家和省中小学学科课堂教学要求，推广自主、合作、探究的学习方式与启发、讨论、参与的教学方式，引导教师探索基于学科特点的个性化教学，开展研究型、项目化、互动式学习。引导学校精准研判教情、学情，建构体现新课程理念、新课标要求、新教材功能的课堂教学新范式，倡导有条件的学校开设STEMA课程，探索跨学科教学，为学生提供适宜的课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实施国家《义务教育质量评价指南》，完善学生综合素质评价实施办法，突出重点，规范过程，增强可操作性和实践性。从严控制考试次数，考试成绩实行等级评价，严禁公布学生成绩和排名。实行初中学业水平考试和综合素质评价相结合的高中阶段学校招生录取办法，把义务教育课程方案规定的初中阶段所有科目全部纳入初中学业水平考试范围。做好中小学“五项管理”工作和“双减”工作，加强学生作业设计、手机管理，保证学生充足睡眠，科学减轻学生课业负担，保障学生身心健康。</w:t>
      </w:r>
    </w:p>
    <w:p>
      <w:pPr>
        <w:keepNext w:val="0"/>
        <w:keepLines w:val="0"/>
        <w:pageBreakBefore w:val="0"/>
        <w:kinsoku/>
        <w:wordWrap/>
        <w:overflowPunct/>
        <w:topLinePunct w:val="0"/>
        <w:autoSpaceDE/>
        <w:autoSpaceDN/>
        <w:bidi w:val="0"/>
        <w:snapToGrid w:val="0"/>
        <w:spacing w:line="560" w:lineRule="exact"/>
        <w:ind w:firstLine="640"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完善招生方式改革，科学编制招生计划，全面落实公办义务教育学校免试就近入学政策，县域内民办义务教育学校与公办学校同步招生。完善进城务工人员随迁子女、留守儿童、贫困家庭子女入学政策。对残疾儿童通过送教上门、随班就读、特校就读的方式保障其完成义务教育。落实控辍保学县长、局长、镇长、校长、家长“五长”责任制，精准做好控辍保学工作，切实保障适龄儿童少年入学权利。</w:t>
      </w:r>
    </w:p>
    <w:p>
      <w:pPr>
        <w:pStyle w:val="21"/>
        <w:keepNext w:val="0"/>
        <w:keepLines w:val="0"/>
        <w:pageBreakBefore w:val="0"/>
        <w:widowControl/>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楷体_GB2312" w:cs="Times New Roman"/>
          <w:b/>
          <w:color w:val="000000" w:themeColor="text1"/>
          <w:kern w:val="2"/>
          <w:sz w:val="32"/>
          <w:szCs w:val="32"/>
          <w14:textFill>
            <w14:solidFill>
              <w14:schemeClr w14:val="tx1"/>
            </w14:solidFill>
          </w14:textFill>
        </w:rPr>
      </w:pPr>
      <w:r>
        <w:rPr>
          <w:rFonts w:hint="default" w:ascii="Times New Roman" w:hAnsi="Times New Roman" w:eastAsia="楷体_GB2312" w:cs="Times New Roman"/>
          <w:b/>
          <w:color w:val="000000" w:themeColor="text1"/>
          <w:kern w:val="2"/>
          <w:sz w:val="32"/>
          <w:szCs w:val="32"/>
          <w14:textFill>
            <w14:solidFill>
              <w14:schemeClr w14:val="tx1"/>
            </w14:solidFill>
          </w14:textFill>
        </w:rPr>
        <w:t>（三）推动普高教育特色多元发展</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实施高中教育强师计划，建设专家型校长队伍、创新型教科研队伍、专业化教师队伍。以“高品位、高品质”为目标、“专业引领，提升素能”为出发点，建立健全专兼结合的教研队伍，到2025年，配齐高中各学科专兼职教研员。遴选优秀后备人才到成渝优质特色高中跟岗实训，建立“专家引领、任务驱动、项目研究”融通式专业提升培训机制。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健全校本研修机制，筑牢问题即课题意识，采取“专家引领、校际联教”模式，深入开展“小课题”和共同性热点难点问题研究。抓实教学视导，强化“新课标”“新教材”“新课堂”融合研究和“中学生学科核心素养”专题研究。推广教育发达地区课程和课改成果，提升“双一流”重点高校和普通高校入口生源数量和质量，确保高中教育质量处于全市领先水平。</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全面推进新课标、新课程、新课堂一体化校本教研，努力实现课前教师充分准备、学生充分预学，课中教师精准指导、学生精致思考，课后教师精心批辅、学生精细修习的教学新格局。追踪新高考新特点，持续开展“生涯规划”“问题情境教学”等项目研究，为师生顺利适应新高考提供策略支持。借鉴新高考先行地区先进经验，推进“3+1+2”新高考模式内涵研究，科学建设选课走班制度和机制。</w:t>
      </w:r>
    </w:p>
    <w:p>
      <w:pPr>
        <w:pStyle w:val="21"/>
        <w:keepNext w:val="0"/>
        <w:keepLines w:val="0"/>
        <w:pageBreakBefore w:val="0"/>
        <w:widowControl/>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楷体_GB2312" w:cs="Times New Roman"/>
          <w:b/>
          <w:color w:val="000000" w:themeColor="text1"/>
          <w:kern w:val="2"/>
          <w:sz w:val="32"/>
          <w:szCs w:val="32"/>
          <w14:textFill>
            <w14:solidFill>
              <w14:schemeClr w14:val="tx1"/>
            </w14:solidFill>
          </w14:textFill>
        </w:rPr>
      </w:pPr>
      <w:r>
        <w:rPr>
          <w:rFonts w:hint="default" w:ascii="Times New Roman" w:hAnsi="Times New Roman" w:eastAsia="楷体_GB2312" w:cs="Times New Roman"/>
          <w:b/>
          <w:color w:val="000000" w:themeColor="text1"/>
          <w:kern w:val="2"/>
          <w:sz w:val="32"/>
          <w:szCs w:val="32"/>
          <w14:textFill>
            <w14:solidFill>
              <w14:schemeClr w14:val="tx1"/>
            </w14:solidFill>
          </w14:textFill>
        </w:rPr>
        <w:t>（四）推动职业教育产教融合发展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深化职业教育体制机制改革，构建多元办学格局。积极参与遂宁市职业教育改革试验区建设，推进“放管服”改革，由注重“办”职业教育向“管理与服务”过渡，加快推进职能转变。聘请高校、行业、企业专家组建职业教育指导咨询委员会，为职业教育改革发展重大决策提供建议。发挥企业重要办学主体作用，积极引进有条件的企业特别是大型企业举办高质量职业教育。扩大办学自主权，推动职业学校全员岗位聘用制和绩效考核分配制改革，因岗聘人、按岗定薪、依绩取酬。到2025年，职业教育由政府举办为主向政府统筹管理、社会多元办学的格局转变。</w:t>
      </w:r>
    </w:p>
    <w:p>
      <w:pPr>
        <w:keepNext w:val="0"/>
        <w:keepLines w:val="0"/>
        <w:pageBreakBefore w:val="0"/>
        <w:kinsoku/>
        <w:wordWrap/>
        <w:overflowPunct/>
        <w:topLinePunct w:val="0"/>
        <w:autoSpaceDE/>
        <w:autoSpaceDN/>
        <w:bidi w:val="0"/>
        <w:snapToGrid w:val="0"/>
        <w:spacing w:line="560" w:lineRule="exact"/>
        <w:ind w:firstLine="640"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加大财政投入力度，改善职业学校办学条件，扩大职教办学规模，推进职业学校标准化建设，支持县中职校达标工程和“三名”工程建设，统筹推进普通高中教育和中等职业教育协调发展。改扩建职教中心，建成具有地域特色、能为区域经济发展服务的高水平职业教育龙头学校，推进县域职业教育融合发展、协调发展。 </w:t>
      </w:r>
    </w:p>
    <w:p>
      <w:pPr>
        <w:keepNext w:val="0"/>
        <w:keepLines w:val="0"/>
        <w:pageBreakBefore w:val="0"/>
        <w:kinsoku/>
        <w:wordWrap/>
        <w:overflowPunct/>
        <w:topLinePunct w:val="0"/>
        <w:autoSpaceDE/>
        <w:autoSpaceDN/>
        <w:bidi w:val="0"/>
        <w:snapToGrid w:val="0"/>
        <w:spacing w:line="560" w:lineRule="exact"/>
        <w:ind w:firstLine="640"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深化产教融合、校企合作，提升职教服务能力。积极开展职业院校产教融合试点企业、实训基地建设，积极办好“汽车运用与维修”省示范专业。加强对外交流合作，组建“川渝毗邻地区新能源汽车产教联盟”，培养新能源汽车高技术技能人才，服务成渝地区双城经济圈建设。</w:t>
      </w:r>
    </w:p>
    <w:p>
      <w:pPr>
        <w:pStyle w:val="21"/>
        <w:keepNext w:val="0"/>
        <w:keepLines w:val="0"/>
        <w:pageBreakBefore w:val="0"/>
        <w:widowControl/>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楷体_GB2312" w:cs="Times New Roman"/>
          <w:b/>
          <w:color w:val="000000" w:themeColor="text1"/>
          <w:kern w:val="2"/>
          <w:sz w:val="32"/>
          <w:szCs w:val="32"/>
          <w14:textFill>
            <w14:solidFill>
              <w14:schemeClr w14:val="tx1"/>
            </w14:solidFill>
          </w14:textFill>
        </w:rPr>
      </w:pPr>
      <w:r>
        <w:rPr>
          <w:rFonts w:hint="default" w:ascii="Times New Roman" w:hAnsi="Times New Roman" w:eastAsia="楷体_GB2312" w:cs="Times New Roman"/>
          <w:b/>
          <w:color w:val="000000" w:themeColor="text1"/>
          <w:kern w:val="2"/>
          <w:sz w:val="32"/>
          <w:szCs w:val="32"/>
          <w14:textFill>
            <w14:solidFill>
              <w14:schemeClr w14:val="tx1"/>
            </w14:solidFill>
          </w14:textFill>
        </w:rPr>
        <w:t>（五）推动特殊教育标准全纳发展</w:t>
      </w:r>
    </w:p>
    <w:p>
      <w:pPr>
        <w:keepNext w:val="0"/>
        <w:keepLines w:val="0"/>
        <w:pageBreakBefore w:val="0"/>
        <w:kinsoku/>
        <w:wordWrap/>
        <w:overflowPunct/>
        <w:topLinePunct w:val="0"/>
        <w:autoSpaceDE/>
        <w:autoSpaceDN/>
        <w:bidi w:val="0"/>
        <w:snapToGrid w:val="0"/>
        <w:spacing w:line="560" w:lineRule="exact"/>
        <w:ind w:firstLine="800" w:firstLineChars="25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大特殊教育师资培养力度，更新教育观念和教学方式，完善以普通学校随班就读为依托、特殊教育学校为主体、送教上门和远程教育为补充的特殊教育体系。以特殊教育学校为阵地，发展残疾儿童学前教育和义务教育。建好并适时更新残疾学生台账，将适龄残疾儿童纳入学籍管理，加强文化知识、劳动知识、职业技能传授和心理健康教育，提升谋生就业、适应社会能力。统筹发展残疾人高中阶段教育，推进残疾人职业教育，探索全纳教育新机制，让残疾学生从“没学上”到“有学上”，进一步实现从“上好学”到“能谋生”的目标。在2025年前落实教育部等七部委发布的《“十四五”特殊教育发展提升行动计划》，将特殊教育生均公用经费补助标准提高至7000元，同时落实送教上门教师交通费补助政策。</w:t>
      </w:r>
    </w:p>
    <w:p>
      <w:pPr>
        <w:pStyle w:val="21"/>
        <w:keepNext w:val="0"/>
        <w:keepLines w:val="0"/>
        <w:pageBreakBefore w:val="0"/>
        <w:widowControl/>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楷体_GB2312" w:cs="Times New Roman"/>
          <w:b/>
          <w:color w:val="000000" w:themeColor="text1"/>
          <w:kern w:val="2"/>
          <w:sz w:val="32"/>
          <w:szCs w:val="32"/>
          <w14:textFill>
            <w14:solidFill>
              <w14:schemeClr w14:val="tx1"/>
            </w14:solidFill>
          </w14:textFill>
        </w:rPr>
      </w:pPr>
      <w:r>
        <w:rPr>
          <w:rFonts w:hint="default" w:ascii="Times New Roman" w:hAnsi="Times New Roman" w:eastAsia="楷体_GB2312" w:cs="Times New Roman"/>
          <w:b/>
          <w:color w:val="000000" w:themeColor="text1"/>
          <w:kern w:val="2"/>
          <w:sz w:val="32"/>
          <w:szCs w:val="32"/>
          <w14:textFill>
            <w14:solidFill>
              <w14:schemeClr w14:val="tx1"/>
            </w14:solidFill>
          </w14:textFill>
        </w:rPr>
        <w:t>（六）推动民办教育规范健康发展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强党对民办学校的全面领导，强化民办学校党的组织建设和阵地建设，充分发挥民办学校党组织的政治核心和战斗堡垒作用，推动民办学校规范发展。实施民办学校分类管理，完善民办教育扶持政策，健全民办学校监督管理和风险防控机制，规范民办学校办学行为。引导民办学校建立健全教学质量保障体系以及教师从教奖励和待遇保障制度。以提升学校内涵质量为导向，引导民办学校优质发展。严格校外培训机构的审批和年审，加强对校外培训机构的日常监管，持续开展对无证无照校外培训机构打击行动，巩固校外培训机构专项整治成果。</w:t>
      </w:r>
    </w:p>
    <w:p>
      <w:pPr>
        <w:pStyle w:val="21"/>
        <w:keepNext w:val="0"/>
        <w:keepLines w:val="0"/>
        <w:pageBreakBefore w:val="0"/>
        <w:widowControl/>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楷体_GB2312" w:cs="Times New Roman"/>
          <w:b/>
          <w:color w:val="000000" w:themeColor="text1"/>
          <w:kern w:val="2"/>
          <w:sz w:val="32"/>
          <w:szCs w:val="32"/>
          <w14:textFill>
            <w14:solidFill>
              <w14:schemeClr w14:val="tx1"/>
            </w14:solidFill>
          </w14:textFill>
        </w:rPr>
      </w:pPr>
      <w:r>
        <w:rPr>
          <w:rFonts w:hint="default" w:ascii="Times New Roman" w:hAnsi="Times New Roman" w:eastAsia="楷体_GB2312" w:cs="Times New Roman"/>
          <w:b/>
          <w:color w:val="000000" w:themeColor="text1"/>
          <w:kern w:val="2"/>
          <w:sz w:val="32"/>
          <w:szCs w:val="32"/>
          <w14:textFill>
            <w14:solidFill>
              <w14:schemeClr w14:val="tx1"/>
            </w14:solidFill>
          </w14:textFill>
        </w:rPr>
        <w:t>（七）推动终身教育全民开放发展</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立足城乡社区，面向基层，广泛开展社区教育。加强县镇村三级社区教育建设，按照常住人口每年人均不低于2元的标准落实各级财政社区教育预算，用于支持社区教育发展，形成覆盖城乡的社区教育办学网络体系。力争创建国家级、省级社区教育示范区、实验区，积极创建省、市级社区教育示范学院、示范学校。到2025年，创建1所省级示范性社区学院，2—3所省级示范性镇（街道）社区学校。持续推进“全民终身学习活动周”“终身学习品牌项目”“百姓学习之星”等活动，提升终身学习活动品质。 </w:t>
      </w:r>
    </w:p>
    <w:p>
      <w:pPr>
        <w:keepNext w:val="0"/>
        <w:keepLines w:val="0"/>
        <w:pageBreakBefore w:val="0"/>
        <w:kinsoku/>
        <w:wordWrap/>
        <w:overflowPunct/>
        <w:topLinePunct w:val="0"/>
        <w:autoSpaceDE/>
        <w:autoSpaceDN/>
        <w:bidi w:val="0"/>
        <w:snapToGrid w:val="0"/>
        <w:spacing w:line="560" w:lineRule="exact"/>
        <w:ind w:firstLine="640" w:firstLineChars="200"/>
        <w:textAlignment w:val="auto"/>
        <w:outlineLvl w:val="1"/>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四、全面深化教育改革创新</w:t>
      </w:r>
    </w:p>
    <w:p>
      <w:pPr>
        <w:pStyle w:val="21"/>
        <w:keepNext w:val="0"/>
        <w:keepLines w:val="0"/>
        <w:pageBreakBefore w:val="0"/>
        <w:widowControl/>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楷体_GB2312" w:cs="Times New Roman"/>
          <w:b/>
          <w:color w:val="000000" w:themeColor="text1"/>
          <w:kern w:val="2"/>
          <w:sz w:val="32"/>
          <w:szCs w:val="32"/>
          <w14:textFill>
            <w14:solidFill>
              <w14:schemeClr w14:val="tx1"/>
            </w14:solidFill>
          </w14:textFill>
        </w:rPr>
      </w:pPr>
      <w:r>
        <w:rPr>
          <w:rFonts w:hint="default" w:ascii="Times New Roman" w:hAnsi="Times New Roman" w:eastAsia="楷体_GB2312" w:cs="Times New Roman"/>
          <w:b/>
          <w:color w:val="000000" w:themeColor="text1"/>
          <w:kern w:val="2"/>
          <w:sz w:val="32"/>
          <w:szCs w:val="32"/>
          <w14:textFill>
            <w14:solidFill>
              <w14:schemeClr w14:val="tx1"/>
            </w14:solidFill>
          </w14:textFill>
        </w:rPr>
        <w:t>（一）深化人事制度改革</w:t>
      </w:r>
    </w:p>
    <w:p>
      <w:pPr>
        <w:keepNext w:val="0"/>
        <w:keepLines w:val="0"/>
        <w:pageBreakBefore w:val="0"/>
        <w:kinsoku/>
        <w:wordWrap/>
        <w:overflowPunct/>
        <w:topLinePunct w:val="0"/>
        <w:autoSpaceDE/>
        <w:autoSpaceDN/>
        <w:bidi w:val="0"/>
        <w:snapToGrid w:val="0"/>
        <w:spacing w:line="560" w:lineRule="exact"/>
        <w:ind w:firstLine="640"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完善符合中小学特点的岗位管理制度，实行职称评审与聘用相结合。建立岗位动态调整机制，优化中小学中级和高级教师岗位结构比例。将中小学教师在乡村学校、薄弱学校任（支）教1年以上的经历作为申报中、高级教师职称的必要条件。教师职称评聘向农村学校倾斜，贯彻落实好农村从教30年评聘高一级教师职称不受本单位岗位结构比例限制政策，激励广大教师扎根乡村教育。加强教师聘期管理考核工作，打破职称聘任“终身制”，对确不适应教育教学工作需要的教师依规退出教学岗位或依法依规解除聘用合同。针对不同岗位类型和学科领域，实行以政治素养、师德师风、教育教学、科学研究、社会服务为主的教师职称评价标准。重点考察教师教育教学质量，采取教学水平评价、现场说课答辩、教学业绩相结合的综合评价方式，科学考核评价教师。全面清理和规范针对教师的各类检查、考核、评比及各类社会性事务，切实为教师减负。加强全县教师学科统筹，最大限度实现专业教师对口、学科教师配套，促进学科专业、全面发展。</w:t>
      </w:r>
    </w:p>
    <w:p>
      <w:pPr>
        <w:pStyle w:val="21"/>
        <w:keepNext w:val="0"/>
        <w:keepLines w:val="0"/>
        <w:pageBreakBefore w:val="0"/>
        <w:widowControl/>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楷体_GB2312" w:cs="Times New Roman"/>
          <w:b/>
          <w:color w:val="000000" w:themeColor="text1"/>
          <w:kern w:val="2"/>
          <w:sz w:val="32"/>
          <w:szCs w:val="32"/>
          <w14:textFill>
            <w14:solidFill>
              <w14:schemeClr w14:val="tx1"/>
            </w14:solidFill>
          </w14:textFill>
        </w:rPr>
      </w:pPr>
      <w:r>
        <w:rPr>
          <w:rFonts w:hint="default" w:ascii="Times New Roman" w:hAnsi="Times New Roman" w:eastAsia="楷体_GB2312" w:cs="Times New Roman"/>
          <w:b/>
          <w:color w:val="000000" w:themeColor="text1"/>
          <w:kern w:val="2"/>
          <w:sz w:val="32"/>
          <w:szCs w:val="32"/>
          <w14:textFill>
            <w14:solidFill>
              <w14:schemeClr w14:val="tx1"/>
            </w14:solidFill>
          </w14:textFill>
        </w:rPr>
        <w:t>（二）深化教育评价改革</w:t>
      </w:r>
    </w:p>
    <w:p>
      <w:pPr>
        <w:keepNext w:val="0"/>
        <w:keepLines w:val="0"/>
        <w:pageBreakBefore w:val="0"/>
        <w:kinsoku/>
        <w:wordWrap/>
        <w:overflowPunct/>
        <w:topLinePunct w:val="0"/>
        <w:autoSpaceDE/>
        <w:autoSpaceDN/>
        <w:bidi w:val="0"/>
        <w:snapToGrid w:val="0"/>
        <w:spacing w:line="560" w:lineRule="exact"/>
        <w:ind w:firstLine="643"/>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充分发挥教育评价的导向作用，遵循教育规律，确保正确方向，充分利用信息技术，系统推进教育评价改革，提高教育评价的科学性、专业性、客观性。按照国家《义务教育质量评价指南》要求，建立覆盖全学段全学科的质量综合评价体系。坚持把立德树人作为根本标准，扭转应试教育倾向，坚决克服重智育轻德育、重分数轻素质等片面办学行为，建立以学业达标评价为主的教学质量检测评价体系。完善综合素质评价组织管理制度，探索综合素质评价多元化实施路径，培养专业评价队伍，建立教师、家长、社区、同伴和学生自我等多主体共同参与、交互作用评价模式，构建综合素质评价诚信机制与监督机制。</w:t>
      </w:r>
    </w:p>
    <w:p>
      <w:pPr>
        <w:pStyle w:val="21"/>
        <w:keepNext w:val="0"/>
        <w:keepLines w:val="0"/>
        <w:pageBreakBefore w:val="0"/>
        <w:widowControl/>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楷体_GB2312" w:cs="Times New Roman"/>
          <w:b/>
          <w:color w:val="000000" w:themeColor="text1"/>
          <w:kern w:val="2"/>
          <w:sz w:val="32"/>
          <w:szCs w:val="32"/>
          <w14:textFill>
            <w14:solidFill>
              <w14:schemeClr w14:val="tx1"/>
            </w14:solidFill>
          </w14:textFill>
        </w:rPr>
      </w:pPr>
      <w:r>
        <w:rPr>
          <w:rFonts w:hint="default" w:ascii="Times New Roman" w:hAnsi="Times New Roman" w:eastAsia="楷体_GB2312" w:cs="Times New Roman"/>
          <w:b/>
          <w:color w:val="000000" w:themeColor="text1"/>
          <w:kern w:val="2"/>
          <w:sz w:val="32"/>
          <w:szCs w:val="32"/>
          <w14:textFill>
            <w14:solidFill>
              <w14:schemeClr w14:val="tx1"/>
            </w14:solidFill>
          </w14:textFill>
        </w:rPr>
        <w:t>（三）深化高考综合改革</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聚焦新高考背景下的育人方式改革，遵循国家高考综合改革导向，完善学生发展生涯规划机制，建立专兼职结合的指导教师队伍，增强学生报考高校选定专业和未来发展方向的研判选择能力。指导高中学校有序推进选课走班。建设大英县普通高中学生综合素质评价信息管理平台。建立学业水平考试成绩、高考成绩、综合素质评价有机结合的高中学生学业质量标准，引导学生树立正确的理想信念，修炼扎实的科学文化素养，具备适应终身发展和社会发展的必备品格和关键能力。成立大英县教育招生考试中心。强化标准化考点建设、运行和维护工作，根据省市要求做好防作弊屏蔽系统、实验操作标准考场和外语口语标准考场建设，进一步保障高考安全和公平公正。</w:t>
      </w:r>
    </w:p>
    <w:p>
      <w:pPr>
        <w:pStyle w:val="21"/>
        <w:keepNext w:val="0"/>
        <w:keepLines w:val="0"/>
        <w:pageBreakBefore w:val="0"/>
        <w:widowControl/>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楷体_GB2312" w:cs="Times New Roman"/>
          <w:b/>
          <w:color w:val="000000" w:themeColor="text1"/>
          <w:kern w:val="2"/>
          <w:sz w:val="32"/>
          <w:szCs w:val="32"/>
          <w14:textFill>
            <w14:solidFill>
              <w14:schemeClr w14:val="tx1"/>
            </w14:solidFill>
          </w14:textFill>
        </w:rPr>
      </w:pPr>
      <w:r>
        <w:rPr>
          <w:rFonts w:hint="default" w:ascii="Times New Roman" w:hAnsi="Times New Roman" w:eastAsia="楷体_GB2312" w:cs="Times New Roman"/>
          <w:b/>
          <w:color w:val="000000" w:themeColor="text1"/>
          <w:kern w:val="2"/>
          <w:sz w:val="32"/>
          <w:szCs w:val="32"/>
          <w14:textFill>
            <w14:solidFill>
              <w14:schemeClr w14:val="tx1"/>
            </w14:solidFill>
          </w14:textFill>
        </w:rPr>
        <w:t>（四）深化教育督导改革</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贯彻落实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中共中央办公厅、国务院办公厅印发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关于深化新时代教育督导体制机制改革的意见》，强化政府教育督导职能，理顺管理体制，创新工作机制，充实督导力量，确保教育督导机构独立行使职能。完善和强化县教育督导委员会机构设置和人员配置，发挥好督政、督学、评估监测职能，加强过程性督导、常规督导、综合督导和专项督导，确保党和国家的教育方针政策落地生根。完善评估监测指标体系，加强对学校教师队伍建设、办学条件和教育教学质量的评估监测。开展幼儿园办园行为和普及普惠发展、义务教育质量监测和优质均衡发展、“双减”、中小学校园长任期督导以及中等职业学校办学能力等专项督导评估。深化教育督导问责机制改革，建立健全报告、反馈、整改、复查、激励、约谈、通报、问责等八项制度。完善督学责任区制度，推动责任督学聘用和管理改革，配齐配强责任督学队伍，确保全县公民办学校责任督学挂牌督导覆盖率100％。每个学校配置一名视导员，完善学校内部督导机制。加强督学培训，提高督学专业化水平。深化教育督导保障机制改革，落实督导经费，严格执行教育督导法律法规，坚持依法督导。加强教育督导信息化平台建设，努力提高教育督导监督、评估、指导水平，到2022年，基本建立全面覆盖、运转高效、结果权威、问责有力的新时代教育督导体制机制。</w:t>
      </w:r>
    </w:p>
    <w:p>
      <w:pPr>
        <w:pStyle w:val="21"/>
        <w:keepNext w:val="0"/>
        <w:keepLines w:val="0"/>
        <w:pageBreakBefore w:val="0"/>
        <w:widowControl/>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楷体_GB2312" w:cs="Times New Roman"/>
          <w:b/>
          <w:color w:val="000000" w:themeColor="text1"/>
          <w:kern w:val="2"/>
          <w:sz w:val="32"/>
          <w:szCs w:val="32"/>
          <w14:textFill>
            <w14:solidFill>
              <w14:schemeClr w14:val="tx1"/>
            </w14:solidFill>
          </w14:textFill>
        </w:rPr>
      </w:pPr>
      <w:r>
        <w:rPr>
          <w:rFonts w:hint="default" w:ascii="Times New Roman" w:hAnsi="Times New Roman" w:eastAsia="楷体_GB2312" w:cs="Times New Roman"/>
          <w:b/>
          <w:color w:val="000000" w:themeColor="text1"/>
          <w:kern w:val="2"/>
          <w:sz w:val="32"/>
          <w:szCs w:val="32"/>
          <w14:textFill>
            <w14:solidFill>
              <w14:schemeClr w14:val="tx1"/>
            </w14:solidFill>
          </w14:textFill>
        </w:rPr>
        <w:t>（五）深化学区制改革</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按照“城乡统筹、强弱搭配”原则，推动学区制管理改革。因地制宜、城乡结合，以县城实验学校、蓬莱中学、蓬莱小学、大英中学初中部、</w:t>
      </w:r>
      <w:r>
        <w:rPr>
          <w:rFonts w:hint="default" w:ascii="Times New Roman" w:hAnsi="Times New Roman" w:cs="Times New Roman"/>
          <w:color w:val="000000" w:themeColor="text1"/>
          <w:sz w:val="32"/>
          <w:szCs w:val="32"/>
          <w14:textFill>
            <w14:solidFill>
              <w14:schemeClr w14:val="tx1"/>
            </w14:solidFill>
          </w14:textFill>
        </w:rPr>
        <w:t>郪</w:t>
      </w:r>
      <w:r>
        <w:rPr>
          <w:rFonts w:hint="default" w:ascii="Times New Roman" w:hAnsi="Times New Roman" w:eastAsia="仿宋_GB2312" w:cs="Times New Roman"/>
          <w:color w:val="000000" w:themeColor="text1"/>
          <w:sz w:val="32"/>
          <w:szCs w:val="32"/>
          <w14:textFill>
            <w14:solidFill>
              <w14:schemeClr w14:val="tx1"/>
            </w14:solidFill>
          </w14:textFill>
        </w:rPr>
        <w:t>江外国语学校等5所优质学校为学区领衔学校，设立5个学区，将全县义务教育学校根据属性和地理位置分别划入对应学区。学区主任由县教育体育局班子成员担任，学区领衔学校负责学区日常事务管理，促进学区学校在教育理念、校园文化、德育活动、教学管理、发展规划、师资配置等方面协作探索、共建共享、交流合作，不断缩小城乡间、校际间的办学差距，推动全县义务教育优质均衡发展。</w:t>
      </w:r>
    </w:p>
    <w:p>
      <w:pPr>
        <w:pStyle w:val="21"/>
        <w:keepNext w:val="0"/>
        <w:keepLines w:val="0"/>
        <w:pageBreakBefore w:val="0"/>
        <w:widowControl/>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楷体_GB2312" w:cs="Times New Roman"/>
          <w:b/>
          <w:color w:val="000000" w:themeColor="text1"/>
          <w:kern w:val="2"/>
          <w:sz w:val="32"/>
          <w:szCs w:val="32"/>
          <w14:textFill>
            <w14:solidFill>
              <w14:schemeClr w14:val="tx1"/>
            </w14:solidFill>
          </w14:textFill>
        </w:rPr>
      </w:pPr>
      <w:r>
        <w:rPr>
          <w:rFonts w:hint="default" w:ascii="Times New Roman" w:hAnsi="Times New Roman" w:eastAsia="楷体_GB2312" w:cs="Times New Roman"/>
          <w:b/>
          <w:color w:val="000000" w:themeColor="text1"/>
          <w:kern w:val="2"/>
          <w:sz w:val="32"/>
          <w:szCs w:val="32"/>
          <w14:textFill>
            <w14:solidFill>
              <w14:schemeClr w14:val="tx1"/>
            </w14:solidFill>
          </w14:textFill>
        </w:rPr>
        <w:t>（六）深化对外交流合作</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抢抓成渝地区双城经济圈建设机遇，积极建立“大·潼教育”公共服务共建共享机制，构建“成·渝·大教育”协同发展联盟，深度融入遂潼教育发展一体化。建立3—5个“大·潼基础教育”集团和研学实践教育基地，运用遂潼职业教育深度合作和遂潼体育产业培育计划成果，构建与成、渝著名高校、普通高中共育创新拔尖人才的长效机制。积极融入遂成、遂潼、遂绵、遂德等五市特色优质学校创建、名校长名师培育、周末遂宁工作计划、网络优质资源共享等项目，推动大英教育高质量发展。</w:t>
      </w:r>
    </w:p>
    <w:p>
      <w:pPr>
        <w:keepNext w:val="0"/>
        <w:keepLines w:val="0"/>
        <w:pageBreakBefore w:val="0"/>
        <w:kinsoku/>
        <w:wordWrap/>
        <w:overflowPunct/>
        <w:topLinePunct w:val="0"/>
        <w:autoSpaceDE/>
        <w:autoSpaceDN/>
        <w:bidi w:val="0"/>
        <w:snapToGrid w:val="0"/>
        <w:spacing w:line="560" w:lineRule="exact"/>
        <w:jc w:val="center"/>
        <w:textAlignment w:val="auto"/>
        <w:outlineLvl w:val="0"/>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第四章 保障机制</w:t>
      </w:r>
    </w:p>
    <w:p>
      <w:pPr>
        <w:keepNext w:val="0"/>
        <w:keepLines w:val="0"/>
        <w:pageBreakBefore w:val="0"/>
        <w:kinsoku/>
        <w:wordWrap/>
        <w:overflowPunct/>
        <w:topLinePunct w:val="0"/>
        <w:autoSpaceDE/>
        <w:autoSpaceDN/>
        <w:bidi w:val="0"/>
        <w:snapToGrid w:val="0"/>
        <w:spacing w:line="560" w:lineRule="exact"/>
        <w:ind w:firstLine="640" w:firstLineChars="200"/>
        <w:textAlignment w:val="auto"/>
        <w:outlineLvl w:val="2"/>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一、全面加强党对教育工作的领导</w:t>
      </w:r>
    </w:p>
    <w:p>
      <w:pPr>
        <w:keepNext w:val="0"/>
        <w:keepLines w:val="0"/>
        <w:pageBreakBefore w:val="0"/>
        <w:kinsoku/>
        <w:wordWrap/>
        <w:overflowPunct/>
        <w:topLinePunct w:val="0"/>
        <w:autoSpaceDE/>
        <w:autoSpaceDN/>
        <w:bidi w:val="0"/>
        <w:snapToGrid w:val="0"/>
        <w:spacing w:line="560" w:lineRule="exact"/>
        <w:ind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（一）坚持把政治建设摆在首位。</w:t>
      </w:r>
      <w:r>
        <w:rPr>
          <w:rFonts w:hint="default" w:ascii="Times New Roman" w:hAnsi="Times New Roman" w:eastAsia="仿宋_GB2312" w:cs="Times New Roman"/>
          <w:color w:val="000000" w:themeColor="text1"/>
          <w:sz w:val="32"/>
          <w:szCs w:val="32"/>
          <w14:textFill>
            <w14:solidFill>
              <w14:schemeClr w14:val="tx1"/>
            </w14:solidFill>
          </w14:textFill>
        </w:rPr>
        <w:t>认真学习贯彻落实习近平总书记关于教育的重要论述，切实加强党对教育工作的全面领导，充分发挥党总揽全局、协调各方的核心作用。县委、县政府要认真履行教育主体责任，县委教育工作领导小组要加强对教育工作的集中统一领导，健全党委统一领导、党政齐抓共管、部门各负其责的教育领导体制，优先谋划、优先安排、优先支持教育改革发展，确保规划优先、投入优先、资源配置优先，形成齐抓共管协同推进的强大合力。</w:t>
      </w:r>
    </w:p>
    <w:p>
      <w:pPr>
        <w:keepNext w:val="0"/>
        <w:keepLines w:val="0"/>
        <w:pageBreakBefore w:val="0"/>
        <w:kinsoku/>
        <w:wordWrap/>
        <w:overflowPunct/>
        <w:topLinePunct w:val="0"/>
        <w:autoSpaceDE/>
        <w:autoSpaceDN/>
        <w:bidi w:val="0"/>
        <w:snapToGrid w:val="0"/>
        <w:spacing w:line="560" w:lineRule="exact"/>
        <w:ind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（二）着力加强学校党建工作。</w:t>
      </w:r>
      <w:r>
        <w:rPr>
          <w:rFonts w:hint="default" w:ascii="Times New Roman" w:hAnsi="Times New Roman" w:eastAsia="仿宋_GB2312" w:cs="Times New Roman"/>
          <w:color w:val="000000" w:themeColor="text1"/>
          <w:sz w:val="32"/>
          <w:szCs w:val="32"/>
          <w14:textFill>
            <w14:solidFill>
              <w14:schemeClr w14:val="tx1"/>
            </w14:solidFill>
          </w14:textFill>
        </w:rPr>
        <w:t>加强中小学校党的建设，全面贯彻党的教育方针、坚持社会主义办学方向，按照全面从严治党要求推进中小学校党组织和党的工作全覆盖，增强党组织政治功能，充分发挥政治核心作用，牢牢把握社会主义办学方向。稳妥推进中小学校党组织领导的校长负责制，健全体制机制，选优配强党组织书记，推行党组织与行政领导班子成员双向进入、交叉任职，保证党组织履行好把方向、管大局、作决策、抓班子、带队伍、保落实的领导职责。做好党员教育管理和发展党员工作，抓好德育和思想政治工作，全面提升党组织建设水平。创新党组织活动内容方式，不断提升党建工作质量，以教育系统党的建设高质量推动教育高质量发展。加强对中小学校、民办学校党建工作指导，提升学校党建工作规范化、科学化水平。加强系统党风廉政建设，落实“两个责任”，进一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加大</w:t>
      </w:r>
      <w:r>
        <w:rPr>
          <w:rFonts w:hint="default" w:ascii="Times New Roman" w:hAnsi="Times New Roman" w:eastAsia="仿宋_GB2312" w:cs="Times New Roman"/>
          <w:color w:val="000000" w:themeColor="text1"/>
          <w:sz w:val="32"/>
          <w:szCs w:val="32"/>
          <w14:textFill>
            <w14:solidFill>
              <w14:schemeClr w14:val="tx1"/>
            </w14:solidFill>
          </w14:textFill>
        </w:rPr>
        <w:t>监督执纪问责力度，加强惩治和预防腐败体系建设，大力建设清廉学校和清廉机关。落实意识形态责任制，牢牢把握教育领域意识形态工作的领导权、主导权、话语权。</w:t>
      </w:r>
    </w:p>
    <w:p>
      <w:pPr>
        <w:keepNext w:val="0"/>
        <w:keepLines w:val="0"/>
        <w:pageBreakBefore w:val="0"/>
        <w:kinsoku/>
        <w:wordWrap/>
        <w:overflowPunct/>
        <w:topLinePunct w:val="0"/>
        <w:autoSpaceDE/>
        <w:autoSpaceDN/>
        <w:bidi w:val="0"/>
        <w:snapToGrid w:val="0"/>
        <w:spacing w:line="560" w:lineRule="exact"/>
        <w:ind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（三）健全规划落实保障机制。</w:t>
      </w:r>
      <w:r>
        <w:rPr>
          <w:rFonts w:hint="default" w:ascii="Times New Roman" w:hAnsi="Times New Roman" w:eastAsia="仿宋_GB2312" w:cs="Times New Roman"/>
          <w:color w:val="000000" w:themeColor="text1"/>
          <w:sz w:val="32"/>
          <w:szCs w:val="32"/>
          <w14:textFill>
            <w14:solidFill>
              <w14:schemeClr w14:val="tx1"/>
            </w14:solidFill>
          </w14:textFill>
        </w:rPr>
        <w:t>县委教育工作领导小组每年召开专题会议，统筹研究部署规划目标任务分解、过程监管、目标考核工作，协调重大改革、基本建设重点工程的实施等工作。实施规划目标责任制管理，将规划的目标任务分解为各部门、镇（街道）的年度和任期目标任务，纳入年度工作考核指标。加强评估检查，县委在2023年和2025年底，分别组织规划进展情况中期和终期评估，评估结果作为各部门、镇（街道）负责人考核、选拔、任用的重要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outlineLvl w:val="2"/>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二、完善教育投入长效机制</w:t>
      </w:r>
    </w:p>
    <w:p>
      <w:pPr>
        <w:keepNext w:val="0"/>
        <w:keepLines w:val="0"/>
        <w:pageBreakBefore w:val="0"/>
        <w:kinsoku/>
        <w:wordWrap/>
        <w:overflowPunct/>
        <w:topLinePunct w:val="0"/>
        <w:autoSpaceDE/>
        <w:autoSpaceDN/>
        <w:bidi w:val="0"/>
        <w:snapToGrid w:val="0"/>
        <w:spacing w:line="560" w:lineRule="exact"/>
        <w:ind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（一）完善教育投入机制。</w:t>
      </w:r>
      <w:r>
        <w:rPr>
          <w:rFonts w:hint="default" w:ascii="Times New Roman" w:hAnsi="Times New Roman" w:eastAsia="仿宋_GB2312" w:cs="Times New Roman"/>
          <w:color w:val="000000" w:themeColor="text1"/>
          <w:sz w:val="32"/>
          <w:szCs w:val="32"/>
          <w14:textFill>
            <w14:solidFill>
              <w14:schemeClr w14:val="tx1"/>
            </w14:solidFill>
          </w14:textFill>
        </w:rPr>
        <w:t>加大经费投入力度，实现“两个只增不减”目标，即确保一般公共预算教育支出逐年只增不减，确保按在校学生人数平均的一般公共预算教育支出逐年只增不减。努力实现公共财政教育经费占财政总支出的比例不低于省定标准，力争各阶段生均一般公共预算教育事业经费位列全市第一方阵。强化政府部门责任担当，落实教育费附加、地方教育附加和从土地出让收益中按比例计提教育资金等教育投入政策，税务部门足额征收，财政部门及时足额拨付，教育部门足额使用，确保不欠征、不截留、不抵顶正常教育拨款，不超范围安排使用。</w:t>
      </w:r>
    </w:p>
    <w:p>
      <w:pPr>
        <w:keepNext w:val="0"/>
        <w:keepLines w:val="0"/>
        <w:pageBreakBefore w:val="0"/>
        <w:kinsoku/>
        <w:wordWrap/>
        <w:overflowPunct/>
        <w:topLinePunct w:val="0"/>
        <w:autoSpaceDE/>
        <w:autoSpaceDN/>
        <w:bidi w:val="0"/>
        <w:snapToGrid w:val="0"/>
        <w:spacing w:line="560" w:lineRule="exact"/>
        <w:ind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（二）积极扩大社会投入。</w:t>
      </w:r>
      <w:r>
        <w:rPr>
          <w:rFonts w:hint="default" w:ascii="Times New Roman" w:hAnsi="Times New Roman" w:eastAsia="仿宋_GB2312" w:cs="Times New Roman"/>
          <w:color w:val="000000" w:themeColor="text1"/>
          <w:sz w:val="32"/>
          <w:szCs w:val="32"/>
          <w14:textFill>
            <w14:solidFill>
              <w14:schemeClr w14:val="tx1"/>
            </w14:solidFill>
          </w14:textFill>
        </w:rPr>
        <w:t>完善落实奖励扶持政策，加大财政资金引导奖励力度，引导更多的社会资本投入教育领域，逐步提高教育经费总投入中社会投入所占比重。加强教育内部审计，完善审计制度，继续实施好领导干部经济责任审计、预算执行和财务财政收支审计，实施专项资金审计。</w:t>
      </w:r>
    </w:p>
    <w:p>
      <w:pPr>
        <w:keepNext w:val="0"/>
        <w:keepLines w:val="0"/>
        <w:pageBreakBefore w:val="0"/>
        <w:kinsoku/>
        <w:wordWrap/>
        <w:overflowPunct/>
        <w:topLinePunct w:val="0"/>
        <w:autoSpaceDE/>
        <w:autoSpaceDN/>
        <w:bidi w:val="0"/>
        <w:snapToGrid w:val="0"/>
        <w:spacing w:line="560" w:lineRule="exact"/>
        <w:ind w:firstLine="640" w:firstLineChars="200"/>
        <w:textAlignment w:val="auto"/>
        <w:outlineLvl w:val="2"/>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三、加快教育治理体系和治理能力现代化建设</w:t>
      </w:r>
    </w:p>
    <w:p>
      <w:pPr>
        <w:keepNext w:val="0"/>
        <w:keepLines w:val="0"/>
        <w:pageBreakBefore w:val="0"/>
        <w:kinsoku/>
        <w:wordWrap/>
        <w:overflowPunct/>
        <w:topLinePunct w:val="0"/>
        <w:autoSpaceDE/>
        <w:autoSpaceDN/>
        <w:bidi w:val="0"/>
        <w:snapToGrid w:val="0"/>
        <w:spacing w:line="560" w:lineRule="exact"/>
        <w:ind w:firstLine="642"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（一）完善学校依法治理制度与机制。</w:t>
      </w:r>
      <w:r>
        <w:rPr>
          <w:rFonts w:hint="default" w:ascii="Times New Roman" w:hAnsi="Times New Roman" w:eastAsia="仿宋_GB2312" w:cs="Times New Roman"/>
          <w:color w:val="000000" w:themeColor="text1"/>
          <w:sz w:val="32"/>
          <w:szCs w:val="32"/>
          <w14:textFill>
            <w14:solidFill>
              <w14:schemeClr w14:val="tx1"/>
            </w14:solidFill>
          </w14:textFill>
        </w:rPr>
        <w:t>加快现代学校制度建设，完善中小学章程建设指导意见，2022年前所有公办学校完成章程制定，实现一校一章程。促进学校以章程为统领，建立健全教学、教研、学生、人事、资产与财务等方面的管理制度，形成科学规范的制度体系，推进学校治理现代化。</w:t>
      </w:r>
    </w:p>
    <w:p>
      <w:pPr>
        <w:keepNext w:val="0"/>
        <w:keepLines w:val="0"/>
        <w:pageBreakBefore w:val="0"/>
        <w:kinsoku/>
        <w:wordWrap/>
        <w:overflowPunct/>
        <w:topLinePunct w:val="0"/>
        <w:autoSpaceDE/>
        <w:autoSpaceDN/>
        <w:bidi w:val="0"/>
        <w:snapToGrid w:val="0"/>
        <w:spacing w:line="560" w:lineRule="exact"/>
        <w:ind w:firstLine="642"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（二）建立健全教育依法行政机制。</w:t>
      </w:r>
      <w:r>
        <w:rPr>
          <w:rFonts w:hint="default" w:ascii="Times New Roman" w:hAnsi="Times New Roman" w:eastAsia="仿宋_GB2312" w:cs="Times New Roman"/>
          <w:color w:val="000000" w:themeColor="text1"/>
          <w:sz w:val="32"/>
          <w:szCs w:val="32"/>
          <w14:textFill>
            <w14:solidFill>
              <w14:schemeClr w14:val="tx1"/>
            </w14:solidFill>
          </w14:textFill>
        </w:rPr>
        <w:t>深化教育领域“放管服”改革，完善教育执法机制，加强教育执法能力建设，通过“双随机、一公开”和明察暗访等方式，持续加大对教育领域突出问题的查处整治，实现教育治理常态化、制度化、长效化。整合各种社会资源，积极推动青少年法治教育实践基地建设。深化依法治校，加强学校法治文化建设。全面落实法治副校长（法治辅导员）工作制度，切实发挥法治副校长（法治辅导员）在开展学生法治教育、参与学校法治建设等方面作用。积极推进法治教育网络培训，增强法治教育的针对性和实效性，不断提升广大师生法治意识、法治思维和法律素养。完善师生权益保护机制，规范教职工代表大会制度，建立健全学生伤害事故调解制度、矛盾纠纷化解制度，保护师生合法权益。</w:t>
      </w:r>
    </w:p>
    <w:p>
      <w:pPr>
        <w:keepNext w:val="0"/>
        <w:keepLines w:val="0"/>
        <w:pageBreakBefore w:val="0"/>
        <w:kinsoku/>
        <w:wordWrap/>
        <w:overflowPunct/>
        <w:topLinePunct w:val="0"/>
        <w:autoSpaceDE/>
        <w:autoSpaceDN/>
        <w:bidi w:val="0"/>
        <w:snapToGrid w:val="0"/>
        <w:spacing w:line="560" w:lineRule="exact"/>
        <w:ind w:firstLine="642"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（三）提升教育治理现代化水平。</w:t>
      </w:r>
      <w:r>
        <w:rPr>
          <w:rFonts w:hint="default" w:ascii="Times New Roman" w:hAnsi="Times New Roman" w:eastAsia="仿宋_GB2312" w:cs="Times New Roman"/>
          <w:color w:val="000000" w:themeColor="text1"/>
          <w:sz w:val="32"/>
          <w:szCs w:val="32"/>
          <w14:textFill>
            <w14:solidFill>
              <w14:schemeClr w14:val="tx1"/>
            </w14:solidFill>
          </w14:textFill>
        </w:rPr>
        <w:t>加快推进教育信息化建设，夯实教育治理体系和治理能力现代化的技术基础。建立健全运用互联网、大数据、人工智能等技术手段进行教育管理的制度规范，以信息化的力量创新教育治理新模式，逐步缩小区域、城乡数字化差距，大力促进教育公平，全面提升教育信息化支撑教育决策、管理、服务的能力，持续优化教育系统营商环境。</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四、全力保障系统安全稳定</w:t>
      </w:r>
    </w:p>
    <w:p>
      <w:pPr>
        <w:keepNext w:val="0"/>
        <w:keepLines w:val="0"/>
        <w:pageBreakBefore w:val="0"/>
        <w:kinsoku/>
        <w:wordWrap/>
        <w:overflowPunct/>
        <w:topLinePunct w:val="0"/>
        <w:autoSpaceDE/>
        <w:autoSpaceDN/>
        <w:bidi w:val="0"/>
        <w:snapToGrid w:val="0"/>
        <w:spacing w:line="560" w:lineRule="exact"/>
        <w:ind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（一）健全安全工作制度。</w:t>
      </w:r>
      <w:r>
        <w:rPr>
          <w:rFonts w:hint="default" w:ascii="Times New Roman" w:hAnsi="Times New Roman" w:eastAsia="仿宋_GB2312" w:cs="Times New Roman"/>
          <w:color w:val="000000" w:themeColor="text1"/>
          <w:sz w:val="32"/>
          <w:szCs w:val="32"/>
          <w14:textFill>
            <w14:solidFill>
              <w14:schemeClr w14:val="tx1"/>
            </w14:solidFill>
          </w14:textFill>
        </w:rPr>
        <w:t>全县上下牢固树立“稳定压倒一切”“安全警钟长鸣”“全员抓安全稳定”的意识，强化部门协作，形成工作合力，全力保障师生生命安全和身体健康。健全安全工作责任制，建立健全综合治理机制、应急联动处置机制、风险预警机制和舆情研判制度，全面规范和落实安全监管责任清单制。</w:t>
      </w:r>
    </w:p>
    <w:p>
      <w:pPr>
        <w:keepNext w:val="0"/>
        <w:keepLines w:val="0"/>
        <w:pageBreakBefore w:val="0"/>
        <w:kinsoku/>
        <w:wordWrap/>
        <w:overflowPunct/>
        <w:topLinePunct w:val="0"/>
        <w:autoSpaceDE/>
        <w:autoSpaceDN/>
        <w:bidi w:val="0"/>
        <w:snapToGrid w:val="0"/>
        <w:spacing w:line="560" w:lineRule="exact"/>
        <w:ind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（二）完善安全防范体系。</w:t>
      </w:r>
      <w:r>
        <w:rPr>
          <w:rFonts w:hint="default" w:ascii="Times New Roman" w:hAnsi="Times New Roman" w:eastAsia="仿宋_GB2312" w:cs="Times New Roman"/>
          <w:color w:val="000000" w:themeColor="text1"/>
          <w:sz w:val="32"/>
          <w:szCs w:val="32"/>
          <w14:textFill>
            <w14:solidFill>
              <w14:schemeClr w14:val="tx1"/>
            </w14:solidFill>
          </w14:textFill>
        </w:rPr>
        <w:t>进一步加强校园安全基础设施建设，不断完善“三防一体化”安全防护体系。全力推进校园安全治理智能化，推动一键式报警装置全覆盖并接入地方公安系统，逐步建立校园安全网上巡查系统，全面提升应急处置能力，着力构建系统、科学、智慧、高效的校园安全防范和应急处置体系。</w:t>
      </w:r>
    </w:p>
    <w:p>
      <w:pPr>
        <w:keepNext w:val="0"/>
        <w:keepLines w:val="0"/>
        <w:pageBreakBefore w:val="0"/>
        <w:kinsoku/>
        <w:wordWrap/>
        <w:overflowPunct/>
        <w:topLinePunct w:val="0"/>
        <w:autoSpaceDE/>
        <w:autoSpaceDN/>
        <w:bidi w:val="0"/>
        <w:snapToGrid w:val="0"/>
        <w:spacing w:line="560" w:lineRule="exact"/>
        <w:ind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（三）加强安全意识教育。</w:t>
      </w:r>
      <w:r>
        <w:rPr>
          <w:rFonts w:hint="default" w:ascii="Times New Roman" w:hAnsi="Times New Roman" w:eastAsia="仿宋_GB2312" w:cs="Times New Roman"/>
          <w:color w:val="000000" w:themeColor="text1"/>
          <w:sz w:val="32"/>
          <w:szCs w:val="32"/>
          <w14:textFill>
            <w14:solidFill>
              <w14:schemeClr w14:val="tx1"/>
            </w14:solidFill>
          </w14:textFill>
        </w:rPr>
        <w:t>切实落实《生命·生态·安全》课程教育（1—4年级每周3课时、5—8年级每周2课时、9年级两周3课时），加强安全教育、法治教育、卫生防疫及心理健康教育。加强安全监测，丰富教育载体，创新管理形式，抓实应急演练，着力提高学生安全防范意识，增强学生自我防护能力。牢固树立和全面践行总体国家安全观，系统推进国家安全教育进课程、进教材、进校园，全面增强广大师生的国家安全意识。</w:t>
      </w:r>
    </w:p>
    <w:p>
      <w:pPr>
        <w:snapToGrid w:val="0"/>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7" w:h="16840"/>
          <w:pgMar w:top="1757" w:right="1474" w:bottom="1474" w:left="1587" w:header="851" w:footer="1134" w:gutter="0"/>
          <w:cols w:space="720" w:num="1"/>
          <w:titlePg/>
          <w:docGrid w:type="lines" w:linePitch="312" w:charSpace="0"/>
        </w:sectPr>
      </w:pPr>
    </w:p>
    <w:p>
      <w:pPr>
        <w:snapToGrid w:val="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p>
    <w:p>
      <w:pPr>
        <w:snapToGrid w:val="0"/>
        <w:rPr>
          <w:rFonts w:hint="default" w:ascii="Times New Roman" w:hAnsi="Times New Roman" w:eastAsia="黑体" w:cs="Times New Roman"/>
          <w:color w:val="000000" w:themeColor="text1"/>
          <w:sz w:val="32"/>
          <w:szCs w:val="32"/>
          <w14:textFill>
            <w14:solidFill>
              <w14:schemeClr w14:val="tx1"/>
            </w14:solidFill>
          </w14:textFill>
        </w:rPr>
      </w:pPr>
    </w:p>
    <w:p>
      <w:pPr>
        <w:snapToGrid w:val="0"/>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大英县“十四五”期间（2021</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w:t>
      </w:r>
      <w:r>
        <w:rPr>
          <w:rFonts w:hint="default" w:ascii="Times New Roman" w:hAnsi="Times New Roman" w:eastAsia="方正小标宋简体" w:cs="Times New Roman"/>
          <w:color w:val="000000" w:themeColor="text1"/>
          <w:sz w:val="44"/>
          <w:szCs w:val="44"/>
          <w14:textFill>
            <w14:solidFill>
              <w14:schemeClr w14:val="tx1"/>
            </w14:solidFill>
          </w14:textFill>
        </w:rPr>
        <w:t>2025年）教育基础建设重点项目一览表</w:t>
      </w:r>
    </w:p>
    <w:p>
      <w:pPr>
        <w:snapToGrid w:val="0"/>
        <w:jc w:val="center"/>
        <w:rPr>
          <w:rFonts w:hint="default" w:ascii="Times New Roman" w:hAnsi="Times New Roman" w:eastAsia="方正小标宋简体" w:cs="Times New Roman"/>
          <w:color w:val="000000" w:themeColor="text1"/>
          <w:sz w:val="32"/>
          <w:szCs w:val="32"/>
          <w14:textFill>
            <w14:solidFill>
              <w14:schemeClr w14:val="tx1"/>
            </w14:solidFill>
          </w14:textFill>
        </w:rPr>
      </w:pPr>
    </w:p>
    <w:tbl>
      <w:tblPr>
        <w:tblStyle w:val="13"/>
        <w:tblW w:w="13765" w:type="dxa"/>
        <w:tblInd w:w="-176" w:type="dxa"/>
        <w:tblLayout w:type="autofit"/>
        <w:tblCellMar>
          <w:top w:w="0" w:type="dxa"/>
          <w:left w:w="108" w:type="dxa"/>
          <w:bottom w:w="0" w:type="dxa"/>
          <w:right w:w="108" w:type="dxa"/>
        </w:tblCellMar>
      </w:tblPr>
      <w:tblGrid>
        <w:gridCol w:w="1080"/>
        <w:gridCol w:w="3012"/>
        <w:gridCol w:w="1545"/>
        <w:gridCol w:w="4607"/>
        <w:gridCol w:w="776"/>
        <w:gridCol w:w="1525"/>
        <w:gridCol w:w="1220"/>
      </w:tblGrid>
      <w:tr>
        <w:tblPrEx>
          <w:tblCellMar>
            <w:top w:w="0" w:type="dxa"/>
            <w:left w:w="108" w:type="dxa"/>
            <w:bottom w:w="0" w:type="dxa"/>
            <w:right w:w="108" w:type="dxa"/>
          </w:tblCellMar>
        </w:tblPrEx>
        <w:trPr>
          <w:cantSplit/>
          <w:trHeight w:val="656" w:hRule="atLeast"/>
          <w:tblHeader/>
        </w:trPr>
        <w:tc>
          <w:tcPr>
            <w:tcW w:w="10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序号</w:t>
            </w:r>
          </w:p>
        </w:tc>
        <w:tc>
          <w:tcPr>
            <w:tcW w:w="3046"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eastAsia="黑体"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项目名称</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建设地点</w:t>
            </w:r>
          </w:p>
        </w:tc>
        <w:tc>
          <w:tcPr>
            <w:tcW w:w="465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建设内容</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建设性质</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建设年限</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eastAsia="黑体"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总投资（万元）</w:t>
            </w:r>
          </w:p>
        </w:tc>
      </w:tr>
      <w:tr>
        <w:tblPrEx>
          <w:tblCellMar>
            <w:top w:w="0" w:type="dxa"/>
            <w:left w:w="108" w:type="dxa"/>
            <w:bottom w:w="0" w:type="dxa"/>
            <w:right w:w="108" w:type="dxa"/>
          </w:tblCellMar>
        </w:tblPrEx>
        <w:trPr>
          <w:cantSplit/>
          <w:trHeight w:val="1320"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学前</w:t>
            </w:r>
          </w:p>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教育</w:t>
            </w: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大英县新苗幼儿园建设项目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盐井街道</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项目占地8000平方米，新建园舍面积6000平方米、户外活动场地3000平方米，建设智慧校园、健康教室及附属设施。</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2025-2026</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3000</w:t>
            </w:r>
          </w:p>
        </w:tc>
      </w:tr>
      <w:tr>
        <w:tblPrEx>
          <w:tblCellMar>
            <w:top w:w="0" w:type="dxa"/>
            <w:left w:w="108" w:type="dxa"/>
            <w:bottom w:w="0" w:type="dxa"/>
            <w:right w:w="108" w:type="dxa"/>
          </w:tblCellMar>
        </w:tblPrEx>
        <w:trPr>
          <w:cantSplit/>
          <w:trHeight w:val="1048"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大英县白鹤幼儿园建设项目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盐井街道</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项目占地8000平方米，新建园舍面积6000平方米、户外活动场地3000平方米，建设智慧校园、健康教室及附属设施。</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2024-2025</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3000</w:t>
            </w:r>
          </w:p>
        </w:tc>
      </w:tr>
      <w:tr>
        <w:tblPrEx>
          <w:tblCellMar>
            <w:top w:w="0" w:type="dxa"/>
            <w:left w:w="108" w:type="dxa"/>
            <w:bottom w:w="0" w:type="dxa"/>
            <w:right w:w="108" w:type="dxa"/>
          </w:tblCellMar>
        </w:tblPrEx>
        <w:trPr>
          <w:cantSplit/>
          <w:trHeight w:val="116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大英县双池幼儿园建设项目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盐井街道</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 xml:space="preserve">项目占地8000平方米，新建园舍面积6000平方米、户外活动场地3000平方米，建设智慧校园、健康教室及附属设施。  </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2023-2024</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3500</w:t>
            </w:r>
          </w:p>
        </w:tc>
      </w:tr>
      <w:tr>
        <w:tblPrEx>
          <w:tblCellMar>
            <w:top w:w="0" w:type="dxa"/>
            <w:left w:w="108" w:type="dxa"/>
            <w:bottom w:w="0" w:type="dxa"/>
            <w:right w:w="108" w:type="dxa"/>
          </w:tblCellMar>
        </w:tblPrEx>
        <w:trPr>
          <w:cantSplit/>
          <w:trHeight w:val="91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大英县青狮路幼儿园扩建项目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蓬莱镇</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新建教学楼600平方米，新建户外活动场地及其附属设施。</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扩建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2023-2023</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550</w:t>
            </w:r>
          </w:p>
        </w:tc>
      </w:tr>
      <w:tr>
        <w:tblPrEx>
          <w:tblCellMar>
            <w:top w:w="0" w:type="dxa"/>
            <w:left w:w="108" w:type="dxa"/>
            <w:bottom w:w="0" w:type="dxa"/>
            <w:right w:w="108" w:type="dxa"/>
          </w:tblCellMar>
        </w:tblPrEx>
        <w:trPr>
          <w:cantSplit/>
          <w:trHeight w:val="87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大英县天保镇幼儿园建设项目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天保镇</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新建园舍4500平方米及相关配套设施。</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迁建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2022-2024</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2000</w:t>
            </w:r>
          </w:p>
        </w:tc>
      </w:tr>
      <w:tr>
        <w:tblPrEx>
          <w:tblCellMar>
            <w:top w:w="0" w:type="dxa"/>
            <w:left w:w="108" w:type="dxa"/>
            <w:bottom w:w="0" w:type="dxa"/>
            <w:right w:w="108" w:type="dxa"/>
          </w:tblCellMar>
        </w:tblPrEx>
        <w:trPr>
          <w:cantSplit/>
          <w:trHeight w:val="600"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义务</w:t>
            </w:r>
          </w:p>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教育</w:t>
            </w: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大英县隆盛小学综合楼及运动场建设项目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隆盛镇</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新建校舍2500平方米，运动场7000平方米及相关附属配套设施。</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2023-2024</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1100</w:t>
            </w:r>
          </w:p>
        </w:tc>
      </w:tr>
      <w:tr>
        <w:tblPrEx>
          <w:tblCellMar>
            <w:top w:w="0" w:type="dxa"/>
            <w:left w:w="108" w:type="dxa"/>
            <w:bottom w:w="0" w:type="dxa"/>
            <w:right w:w="108" w:type="dxa"/>
          </w:tblCellMar>
        </w:tblPrEx>
        <w:trPr>
          <w:cantSplit/>
          <w:trHeight w:val="60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大英县隆盛初级中学校建设项目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隆盛镇</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新建校舍3000平方米，运动场7000平方米及相关配套设施。</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2023-2024</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1400</w:t>
            </w:r>
          </w:p>
        </w:tc>
      </w:tr>
      <w:tr>
        <w:tblPrEx>
          <w:tblCellMar>
            <w:top w:w="0" w:type="dxa"/>
            <w:left w:w="108" w:type="dxa"/>
            <w:bottom w:w="0" w:type="dxa"/>
            <w:right w:w="108" w:type="dxa"/>
          </w:tblCellMar>
        </w:tblPrEx>
        <w:trPr>
          <w:cantSplit/>
          <w:trHeight w:val="60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大英县象山小学校教师周转房及运动场建设项目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象山镇</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新建教师周转房800平方米、运动场6000平方米及配套附属设施。</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2022-2023</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570</w:t>
            </w:r>
          </w:p>
        </w:tc>
      </w:tr>
      <w:tr>
        <w:tblPrEx>
          <w:tblCellMar>
            <w:top w:w="0" w:type="dxa"/>
            <w:left w:w="108" w:type="dxa"/>
            <w:bottom w:w="0" w:type="dxa"/>
            <w:right w:w="108" w:type="dxa"/>
          </w:tblCellMar>
        </w:tblPrEx>
        <w:trPr>
          <w:cantSplit/>
          <w:trHeight w:val="60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kern w:val="0"/>
                <w:sz w:val="24"/>
              </w:rPr>
            </w:pPr>
            <w:r>
              <w:rPr>
                <w:rFonts w:hint="default" w:ascii="Times New Roman" w:hAnsi="Times New Roman" w:cs="Times New Roman"/>
                <w:kern w:val="0"/>
                <w:sz w:val="24"/>
              </w:rPr>
              <w:t>大英县象山中学运动场建设项目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象山镇</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改扩建运动场6000平方米及其他相关配套设施。</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改扩建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2023-2023</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400</w:t>
            </w:r>
          </w:p>
        </w:tc>
      </w:tr>
      <w:tr>
        <w:tblPrEx>
          <w:tblCellMar>
            <w:top w:w="0" w:type="dxa"/>
            <w:left w:w="108" w:type="dxa"/>
            <w:bottom w:w="0" w:type="dxa"/>
            <w:right w:w="108" w:type="dxa"/>
          </w:tblCellMar>
        </w:tblPrEx>
        <w:trPr>
          <w:cantSplit/>
          <w:trHeight w:val="85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kern w:val="0"/>
                <w:sz w:val="24"/>
              </w:rPr>
            </w:pPr>
            <w:r>
              <w:rPr>
                <w:rFonts w:hint="default" w:ascii="Times New Roman" w:hAnsi="Times New Roman" w:cs="Times New Roman"/>
                <w:kern w:val="0"/>
                <w:sz w:val="24"/>
              </w:rPr>
              <w:t>大英县河边镇小学校教学用房及食堂建设项目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河边镇</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新建教学用房3000平方米，食堂1600平方米。</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2023-2024</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1420</w:t>
            </w:r>
          </w:p>
        </w:tc>
      </w:tr>
      <w:tr>
        <w:tblPrEx>
          <w:tblCellMar>
            <w:top w:w="0" w:type="dxa"/>
            <w:left w:w="108" w:type="dxa"/>
            <w:bottom w:w="0" w:type="dxa"/>
            <w:right w:w="108" w:type="dxa"/>
          </w:tblCellMar>
        </w:tblPrEx>
        <w:trPr>
          <w:cantSplit/>
          <w:trHeight w:val="63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大英县河边中学学生宿舍改扩建项目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河边镇</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改扩建学生宿舍1350平方米，维修改造教学用房3000平方米。</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改扩建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2023-2023</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250</w:t>
            </w:r>
          </w:p>
        </w:tc>
      </w:tr>
      <w:tr>
        <w:tblPrEx>
          <w:tblCellMar>
            <w:top w:w="0" w:type="dxa"/>
            <w:left w:w="108" w:type="dxa"/>
            <w:bottom w:w="0" w:type="dxa"/>
            <w:right w:w="108" w:type="dxa"/>
          </w:tblCellMar>
        </w:tblPrEx>
        <w:trPr>
          <w:cantSplit/>
          <w:trHeight w:val="57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大英县郪江外国语学校建设项目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盐井街道</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改扩建运动场12000平方米，新建教辅用房2300平方米。</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改扩建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2024-2025</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1200</w:t>
            </w:r>
          </w:p>
        </w:tc>
      </w:tr>
      <w:tr>
        <w:tblPrEx>
          <w:tblCellMar>
            <w:top w:w="0" w:type="dxa"/>
            <w:left w:w="108" w:type="dxa"/>
            <w:bottom w:w="0" w:type="dxa"/>
            <w:right w:w="108" w:type="dxa"/>
          </w:tblCellMar>
        </w:tblPrEx>
        <w:trPr>
          <w:cantSplit/>
          <w:trHeight w:val="91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大英县卓筒井镇小学校建设项目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卓筒井镇</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新建教学用房4000平方米，食堂1500平方米，学生宿舍2000平方米，运动场7000平方米及其他相关配套设施。</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迁建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2024-2025</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4000</w:t>
            </w:r>
          </w:p>
        </w:tc>
      </w:tr>
      <w:tr>
        <w:tblPrEx>
          <w:tblCellMar>
            <w:top w:w="0" w:type="dxa"/>
            <w:left w:w="108" w:type="dxa"/>
            <w:bottom w:w="0" w:type="dxa"/>
            <w:right w:w="108" w:type="dxa"/>
          </w:tblCellMar>
        </w:tblPrEx>
        <w:trPr>
          <w:cantSplit/>
          <w:trHeight w:val="60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大英县金元镇小学校运动场建设项目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金元镇</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改造运动场7000平方米。</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改建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2023-2023</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200</w:t>
            </w:r>
          </w:p>
        </w:tc>
      </w:tr>
      <w:tr>
        <w:tblPrEx>
          <w:tblCellMar>
            <w:top w:w="0" w:type="dxa"/>
            <w:left w:w="108" w:type="dxa"/>
            <w:bottom w:w="0" w:type="dxa"/>
            <w:right w:w="108" w:type="dxa"/>
          </w:tblCellMar>
        </w:tblPrEx>
        <w:trPr>
          <w:cantSplit/>
          <w:trHeight w:val="75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大英县回马镇小学校建设项目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回马镇</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新建厕所120平方米，改建校舍1000平方米，改建运动场2000平方米。</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改扩建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2022-2023</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120</w:t>
            </w:r>
          </w:p>
        </w:tc>
      </w:tr>
      <w:tr>
        <w:tblPrEx>
          <w:tblCellMar>
            <w:top w:w="0" w:type="dxa"/>
            <w:left w:w="108" w:type="dxa"/>
            <w:bottom w:w="0" w:type="dxa"/>
            <w:right w:w="108" w:type="dxa"/>
          </w:tblCellMar>
        </w:tblPrEx>
        <w:trPr>
          <w:cantSplit/>
          <w:trHeight w:val="57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大英县回马中学新建教师周转房及校舍维修改造项目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回马镇</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新建教师周转房1000平方米，维修改造校舍3000平方米。</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2023-2024</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350</w:t>
            </w:r>
          </w:p>
        </w:tc>
      </w:tr>
      <w:tr>
        <w:tblPrEx>
          <w:tblCellMar>
            <w:top w:w="0" w:type="dxa"/>
            <w:left w:w="108" w:type="dxa"/>
            <w:bottom w:w="0" w:type="dxa"/>
            <w:right w:w="108" w:type="dxa"/>
          </w:tblCellMar>
        </w:tblPrEx>
        <w:trPr>
          <w:cantSplit/>
          <w:trHeight w:val="75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大英县天保镇小学校运动场改造项目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天保镇</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改建运动场5000平方米。</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改建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2024-2024</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200</w:t>
            </w:r>
          </w:p>
        </w:tc>
      </w:tr>
      <w:tr>
        <w:tblPrEx>
          <w:tblCellMar>
            <w:top w:w="0" w:type="dxa"/>
            <w:left w:w="108" w:type="dxa"/>
            <w:bottom w:w="0" w:type="dxa"/>
            <w:right w:w="108" w:type="dxa"/>
          </w:tblCellMar>
        </w:tblPrEx>
        <w:trPr>
          <w:cantSplit/>
          <w:trHeight w:val="75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大英县玉峰镇初级中学校教师周转房及运动场建项目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玉峰镇</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新建教师周转房700平方米，改造运动场5000平方米。</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2022-2024</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500</w:t>
            </w:r>
          </w:p>
        </w:tc>
      </w:tr>
      <w:tr>
        <w:tblPrEx>
          <w:tblCellMar>
            <w:top w:w="0" w:type="dxa"/>
            <w:left w:w="108" w:type="dxa"/>
            <w:bottom w:w="0" w:type="dxa"/>
            <w:right w:w="108" w:type="dxa"/>
          </w:tblCellMar>
        </w:tblPrEx>
        <w:trPr>
          <w:cantSplit/>
          <w:trHeight w:val="114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大英县双池小学建设项目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盐井街道</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新建寄宿制小学一所，占地4万平方米，新建校舍1.5万平方米、运动场1.2万平方米，建设智慧校园、健康教室及附属设施。</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2024-2025</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7000</w:t>
            </w:r>
          </w:p>
        </w:tc>
      </w:tr>
      <w:tr>
        <w:tblPrEx>
          <w:tblCellMar>
            <w:top w:w="0" w:type="dxa"/>
            <w:left w:w="108" w:type="dxa"/>
            <w:bottom w:w="0" w:type="dxa"/>
            <w:right w:w="108" w:type="dxa"/>
          </w:tblCellMar>
        </w:tblPrEx>
        <w:trPr>
          <w:cantSplit/>
          <w:trHeight w:val="114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大英县新苗小学建设项目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盐井街道</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新建寄宿制小学一所，占地4万平方米，新建校舍1.5万平方米、运动场1.2万平方米，建设智慧校园、健康教室及附属设施。</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2025-2026</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7000</w:t>
            </w:r>
          </w:p>
        </w:tc>
      </w:tr>
      <w:tr>
        <w:tblPrEx>
          <w:tblCellMar>
            <w:top w:w="0" w:type="dxa"/>
            <w:left w:w="108" w:type="dxa"/>
            <w:bottom w:w="0" w:type="dxa"/>
            <w:right w:w="108" w:type="dxa"/>
          </w:tblCellMar>
        </w:tblPrEx>
        <w:trPr>
          <w:cantSplit/>
          <w:trHeight w:val="120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大英县太吉小学校建设项目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盐井街道</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建设教学及辅助用房2.3万平方米（含教学楼、食堂、宿舍、办公用房等）、运动场1.87万平方米，建设智慧校园、健康教室及相关附属配套设施。</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迁建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2021-2022</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9700</w:t>
            </w:r>
          </w:p>
        </w:tc>
      </w:tr>
      <w:tr>
        <w:tblPrEx>
          <w:tblCellMar>
            <w:top w:w="0" w:type="dxa"/>
            <w:left w:w="108" w:type="dxa"/>
            <w:bottom w:w="0" w:type="dxa"/>
            <w:right w:w="108" w:type="dxa"/>
          </w:tblCellMar>
        </w:tblPrEx>
        <w:trPr>
          <w:cantSplit/>
          <w:trHeight w:val="91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大英县盐华小学建设项目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盐井街道</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新建教学楼、综合办公用房、食堂等1.24万平方米、运动场1.29万平方米及附属设施。</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2021-2022</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5500</w:t>
            </w:r>
          </w:p>
        </w:tc>
      </w:tr>
      <w:tr>
        <w:tblPrEx>
          <w:tblCellMar>
            <w:top w:w="0" w:type="dxa"/>
            <w:left w:w="108" w:type="dxa"/>
            <w:bottom w:w="0" w:type="dxa"/>
            <w:right w:w="108" w:type="dxa"/>
          </w:tblCellMar>
        </w:tblPrEx>
        <w:trPr>
          <w:cantSplit/>
          <w:trHeight w:val="57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大英县红旗小学二期建设项目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盐井街道</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新建教学综合楼6000平方米、道路、护坡绿化等基础设施。</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2024-2025</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3000</w:t>
            </w:r>
          </w:p>
        </w:tc>
      </w:tr>
      <w:tr>
        <w:tblPrEx>
          <w:tblCellMar>
            <w:top w:w="0" w:type="dxa"/>
            <w:left w:w="108" w:type="dxa"/>
            <w:bottom w:w="0" w:type="dxa"/>
            <w:right w:w="108" w:type="dxa"/>
          </w:tblCellMar>
        </w:tblPrEx>
        <w:trPr>
          <w:cantSplit/>
          <w:trHeight w:val="57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大英县红旗小学学生宿舍建设项目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盐井街道</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新建学生宿舍2100平方米及附属设施。</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2022-2023</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650</w:t>
            </w:r>
          </w:p>
        </w:tc>
      </w:tr>
      <w:tr>
        <w:tblPrEx>
          <w:tblCellMar>
            <w:top w:w="0" w:type="dxa"/>
            <w:left w:w="108" w:type="dxa"/>
            <w:bottom w:w="0" w:type="dxa"/>
            <w:right w:w="108" w:type="dxa"/>
          </w:tblCellMar>
        </w:tblPrEx>
        <w:trPr>
          <w:cantSplit/>
          <w:trHeight w:val="60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大英县蓬莱中学教学综合楼及附属工程建设项目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盐井街道</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新建校舍9000平方米及附属设施。</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2024-2024</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3500</w:t>
            </w:r>
          </w:p>
        </w:tc>
      </w:tr>
      <w:tr>
        <w:tblPrEx>
          <w:tblCellMar>
            <w:top w:w="0" w:type="dxa"/>
            <w:left w:w="108" w:type="dxa"/>
            <w:bottom w:w="0" w:type="dxa"/>
            <w:right w:w="108" w:type="dxa"/>
          </w:tblCellMar>
        </w:tblPrEx>
        <w:trPr>
          <w:cantSplit/>
          <w:trHeight w:val="60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大英县农村义务教育学校周转房建设项目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大英县部分乡镇</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新建教师周转房150套，并购买配套设施、设备。</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2022-2025</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1500</w:t>
            </w:r>
          </w:p>
        </w:tc>
      </w:tr>
      <w:tr>
        <w:tblPrEx>
          <w:tblCellMar>
            <w:top w:w="0" w:type="dxa"/>
            <w:left w:w="108" w:type="dxa"/>
            <w:bottom w:w="0" w:type="dxa"/>
            <w:right w:w="108" w:type="dxa"/>
          </w:tblCellMar>
        </w:tblPrEx>
        <w:trPr>
          <w:cantSplit/>
          <w:trHeight w:val="1170" w:hRule="atLeast"/>
        </w:trPr>
        <w:tc>
          <w:tcPr>
            <w:tcW w:w="10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特殊</w:t>
            </w:r>
          </w:p>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教育</w:t>
            </w: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大英县特殊教育提升计划建设项目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蓬莱镇</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新建大英县特殊教育资源中心一个，新建特殊教育学校附设学前部和附设高中部各一个，新建及改造校舍800平方米，购置设备一批。</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2021-2023</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400</w:t>
            </w:r>
          </w:p>
        </w:tc>
      </w:tr>
      <w:tr>
        <w:tblPrEx>
          <w:tblCellMar>
            <w:top w:w="0" w:type="dxa"/>
            <w:left w:w="108" w:type="dxa"/>
            <w:bottom w:w="0" w:type="dxa"/>
            <w:right w:w="108" w:type="dxa"/>
          </w:tblCellMar>
        </w:tblPrEx>
        <w:trPr>
          <w:cantSplit/>
          <w:trHeight w:val="888" w:hRule="atLeast"/>
        </w:trPr>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高中</w:t>
            </w:r>
          </w:p>
          <w:p>
            <w:pPr>
              <w:widowControl/>
              <w:snapToGrid w:val="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教育</w:t>
            </w: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大英中学运动场建设项目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盐井街道</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改扩建运动场1.3万平方米等附属设施。</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改扩建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2021-2022</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800</w:t>
            </w:r>
          </w:p>
        </w:tc>
      </w:tr>
      <w:tr>
        <w:tblPrEx>
          <w:tblCellMar>
            <w:top w:w="0" w:type="dxa"/>
            <w:left w:w="108" w:type="dxa"/>
            <w:bottom w:w="0" w:type="dxa"/>
            <w:right w:w="108" w:type="dxa"/>
          </w:tblCellMar>
        </w:tblPrEx>
        <w:trPr>
          <w:cantSplit/>
          <w:trHeight w:val="60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14:textFill>
                  <w14:solidFill>
                    <w14:schemeClr w14:val="tx1"/>
                  </w14:solidFill>
                </w14:textFill>
              </w:rPr>
            </w:pPr>
          </w:p>
        </w:tc>
        <w:tc>
          <w:tcPr>
            <w:tcW w:w="3046"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大英中学教学综合楼建设项目</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盐井街道</w:t>
            </w:r>
          </w:p>
        </w:tc>
        <w:tc>
          <w:tcPr>
            <w:tcW w:w="4655" w:type="dxa"/>
            <w:tcBorders>
              <w:top w:val="single" w:color="auto" w:sz="4" w:space="0"/>
              <w:left w:val="nil"/>
              <w:bottom w:val="single" w:color="auto" w:sz="4" w:space="0"/>
              <w:right w:val="single" w:color="auto" w:sz="4" w:space="0"/>
            </w:tcBorders>
            <w:vAlign w:val="center"/>
          </w:tcPr>
          <w:p>
            <w:pPr>
              <w:widowControl/>
              <w:snapToGrid w:val="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新建教学楼及辅助用房15000平方米及附属设施。</w:t>
            </w:r>
          </w:p>
        </w:tc>
        <w:tc>
          <w:tcPr>
            <w:tcW w:w="78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新建</w:t>
            </w:r>
          </w:p>
        </w:tc>
        <w:tc>
          <w:tcPr>
            <w:tcW w:w="1420"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2024-2025</w:t>
            </w:r>
          </w:p>
        </w:tc>
        <w:tc>
          <w:tcPr>
            <w:tcW w:w="1225" w:type="dxa"/>
            <w:tcBorders>
              <w:top w:val="single" w:color="auto" w:sz="4" w:space="0"/>
              <w:left w:val="nil"/>
              <w:bottom w:val="single" w:color="auto" w:sz="4" w:space="0"/>
              <w:right w:val="single" w:color="auto" w:sz="4" w:space="0"/>
            </w:tcBorders>
            <w:vAlign w:val="center"/>
          </w:tcPr>
          <w:p>
            <w:pPr>
              <w:widowControl/>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6000</w:t>
            </w:r>
          </w:p>
        </w:tc>
      </w:tr>
    </w:tbl>
    <w:p>
      <w:pPr>
        <w:spacing w:line="560" w:lineRule="exact"/>
        <w:rPr>
          <w:rFonts w:hint="default" w:ascii="Times New Roman" w:hAnsi="Times New Roman" w:eastAsia="仿宋_GB2312" w:cs="Times New Roman"/>
          <w:color w:val="000000" w:themeColor="text1"/>
          <w:sz w:val="28"/>
          <w:szCs w:val="28"/>
          <w14:textFill>
            <w14:solidFill>
              <w14:schemeClr w14:val="tx1"/>
            </w14:solidFill>
          </w14:textFill>
        </w:rPr>
        <w:sectPr>
          <w:headerReference r:id="rId8" w:type="default"/>
          <w:footerReference r:id="rId10" w:type="default"/>
          <w:headerReference r:id="rId9" w:type="even"/>
          <w:footerReference r:id="rId11" w:type="even"/>
          <w:pgSz w:w="16838" w:h="11906" w:orient="landscape"/>
          <w:pgMar w:top="1474" w:right="1701" w:bottom="1588" w:left="1701" w:header="851" w:footer="1701" w:gutter="0"/>
          <w:cols w:space="0" w:num="1"/>
          <w:docGrid w:type="lines" w:linePitch="319" w:charSpace="0"/>
        </w:sect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16"/>
        <w:ind w:left="0" w:leftChars="0" w:firstLine="0" w:firstLineChars="0"/>
        <w:rPr>
          <w:rFonts w:hint="default" w:ascii="Times New Roman" w:hAnsi="Times New Roman" w:eastAsia="仿宋_GB2312" w:cs="Times New Roman"/>
          <w:sz w:val="32"/>
          <w:szCs w:val="32"/>
        </w:rPr>
      </w:pPr>
    </w:p>
    <w:p>
      <w:pPr>
        <w:pStyle w:val="16"/>
        <w:ind w:left="0" w:leftChars="0" w:firstLine="0" w:firstLineChars="0"/>
        <w:rPr>
          <w:rFonts w:hint="default" w:ascii="Times New Roman" w:hAnsi="Times New Roman" w:eastAsia="黑体" w:cs="Times New Roman"/>
          <w:sz w:val="32"/>
          <w:szCs w:val="32"/>
          <w:lang w:val="en-US" w:eastAsia="zh-CN"/>
        </w:rPr>
      </w:pPr>
    </w:p>
    <w:p>
      <w:pPr>
        <w:pStyle w:val="16"/>
        <w:ind w:left="0" w:leftChars="0" w:firstLine="0" w:firstLineChars="0"/>
        <w:rPr>
          <w:rFonts w:hint="default" w:ascii="Times New Roman" w:hAnsi="Times New Roman" w:eastAsia="黑体" w:cs="Times New Roman"/>
          <w:sz w:val="32"/>
          <w:szCs w:val="32"/>
          <w:lang w:val="en-US" w:eastAsia="zh-CN"/>
        </w:rPr>
      </w:pPr>
    </w:p>
    <w:p>
      <w:pPr>
        <w:pStyle w:val="16"/>
        <w:ind w:left="0" w:leftChars="0" w:firstLine="0" w:firstLineChars="0"/>
        <w:rPr>
          <w:rFonts w:hint="default" w:ascii="Times New Roman" w:hAnsi="Times New Roman" w:eastAsia="黑体" w:cs="Times New Roman"/>
          <w:sz w:val="32"/>
          <w:szCs w:val="32"/>
          <w:lang w:val="en-US" w:eastAsia="zh-CN"/>
        </w:rPr>
      </w:pPr>
    </w:p>
    <w:p>
      <w:pPr>
        <w:pStyle w:val="16"/>
        <w:ind w:left="0" w:leftChars="0" w:firstLine="0" w:firstLineChars="0"/>
        <w:rPr>
          <w:rFonts w:hint="default" w:ascii="Times New Roman" w:hAnsi="Times New Roman" w:eastAsia="黑体" w:cs="Times New Roman"/>
          <w:sz w:val="32"/>
          <w:szCs w:val="32"/>
          <w:lang w:val="en-US" w:eastAsia="zh-CN"/>
        </w:rPr>
      </w:pPr>
    </w:p>
    <w:p>
      <w:pPr>
        <w:pStyle w:val="16"/>
        <w:ind w:left="0" w:leftChars="0" w:firstLine="0" w:firstLineChars="0"/>
        <w:rPr>
          <w:rFonts w:hint="default" w:ascii="Times New Roman" w:hAnsi="Times New Roman" w:eastAsia="黑体" w:cs="Times New Roman"/>
          <w:sz w:val="32"/>
          <w:szCs w:val="32"/>
          <w:lang w:val="en-US" w:eastAsia="zh-CN"/>
        </w:rPr>
      </w:pPr>
    </w:p>
    <w:p>
      <w:pPr>
        <w:pStyle w:val="16"/>
        <w:ind w:left="0" w:leftChars="0" w:firstLine="0" w:firstLineChars="0"/>
        <w:rPr>
          <w:rFonts w:hint="default" w:ascii="Times New Roman" w:hAnsi="Times New Roman" w:eastAsia="黑体" w:cs="Times New Roman"/>
          <w:sz w:val="32"/>
          <w:szCs w:val="32"/>
          <w:lang w:val="en-US" w:eastAsia="zh-CN"/>
        </w:rPr>
      </w:pPr>
    </w:p>
    <w:p>
      <w:pPr>
        <w:pStyle w:val="16"/>
        <w:ind w:left="0" w:leftChars="0" w:firstLine="0" w:firstLineChars="0"/>
        <w:rPr>
          <w:rFonts w:hint="default" w:ascii="Times New Roman" w:hAnsi="Times New Roman" w:eastAsia="黑体" w:cs="Times New Roman"/>
          <w:sz w:val="32"/>
          <w:szCs w:val="32"/>
          <w:lang w:val="en-US" w:eastAsia="zh-CN"/>
        </w:rPr>
      </w:pPr>
    </w:p>
    <w:p>
      <w:pPr>
        <w:pStyle w:val="16"/>
        <w:ind w:left="0" w:leftChars="0" w:firstLine="0" w:firstLineChars="0"/>
        <w:rPr>
          <w:rFonts w:hint="default" w:ascii="Times New Roman" w:hAnsi="Times New Roman" w:eastAsia="黑体" w:cs="Times New Roman"/>
          <w:sz w:val="32"/>
          <w:szCs w:val="32"/>
          <w:lang w:val="en-US" w:eastAsia="zh-CN"/>
        </w:rPr>
      </w:pPr>
    </w:p>
    <w:p>
      <w:pPr>
        <w:pStyle w:val="16"/>
        <w:ind w:left="0" w:leftChars="0" w:firstLine="0" w:firstLineChars="0"/>
        <w:rPr>
          <w:rFonts w:hint="default" w:ascii="Times New Roman" w:hAnsi="Times New Roman" w:eastAsia="黑体" w:cs="Times New Roman"/>
          <w:sz w:val="32"/>
          <w:szCs w:val="32"/>
          <w:lang w:val="en-US" w:eastAsia="zh-CN"/>
        </w:rPr>
      </w:pPr>
    </w:p>
    <w:p>
      <w:pPr>
        <w:pStyle w:val="16"/>
        <w:ind w:left="0" w:leftChars="0" w:firstLine="0" w:firstLineChars="0"/>
        <w:rPr>
          <w:rFonts w:hint="default" w:ascii="Times New Roman" w:hAnsi="Times New Roman" w:eastAsia="黑体" w:cs="Times New Roman"/>
          <w:sz w:val="32"/>
          <w:szCs w:val="32"/>
          <w:lang w:val="en-US" w:eastAsia="zh-CN"/>
        </w:rPr>
      </w:pPr>
    </w:p>
    <w:p>
      <w:pPr>
        <w:pStyle w:val="16"/>
        <w:ind w:left="0" w:leftChars="0" w:firstLine="0" w:firstLineChars="0"/>
        <w:rPr>
          <w:rFonts w:hint="default" w:ascii="Times New Roman" w:hAnsi="Times New Roman" w:eastAsia="黑体" w:cs="Times New Roman"/>
          <w:sz w:val="32"/>
          <w:szCs w:val="32"/>
          <w:lang w:val="en-US" w:eastAsia="zh-CN"/>
        </w:rPr>
      </w:pPr>
    </w:p>
    <w:p>
      <w:pPr>
        <w:pStyle w:val="16"/>
        <w:ind w:left="0" w:leftChars="0" w:firstLine="0" w:firstLineChars="0"/>
        <w:rPr>
          <w:rFonts w:hint="default" w:ascii="Times New Roman" w:hAnsi="Times New Roman" w:cs="Times New Roman"/>
        </w:rPr>
      </w:pPr>
      <w:r>
        <w:rPr>
          <w:rFonts w:hint="default" w:ascii="Times New Roman" w:hAnsi="Times New Roman" w:eastAsia="黑体" w:cs="Times New Roman"/>
          <w:sz w:val="32"/>
          <w:szCs w:val="32"/>
          <w:lang w:val="en-US" w:eastAsia="zh-CN"/>
        </w:rPr>
        <w:t>信息公开选项：主动公开</w:t>
      </w:r>
    </w:p>
    <w:sectPr>
      <w:pgSz w:w="11906" w:h="16838"/>
      <w:pgMar w:top="1701" w:right="1588" w:bottom="1701" w:left="1474" w:header="851" w:footer="1701"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920" w:firstLine="360"/>
      <w:jc w:val="right"/>
      <w:rPr>
        <w:rFonts w:ascii="宋体" w:hAnsi="宋体"/>
        <w:sz w:val="28"/>
        <w:szCs w:val="28"/>
      </w:rPr>
    </w:pPr>
    <w:r>
      <w:rPr>
        <w:rStyle w:val="15"/>
        <w:rFonts w:hint="eastAsia" w:ascii="宋体" w:hAnsi="宋体"/>
        <w:sz w:val="28"/>
        <w:szCs w:val="28"/>
      </w:rPr>
      <w:t xml:space="preserve">— </w:t>
    </w:r>
    <w:r>
      <w:rPr>
        <w:rStyle w:val="15"/>
        <w:rFonts w:ascii="宋体" w:hAnsi="宋体"/>
        <w:sz w:val="28"/>
        <w:szCs w:val="28"/>
      </w:rPr>
      <w:fldChar w:fldCharType="begin"/>
    </w:r>
    <w:r>
      <w:rPr>
        <w:rStyle w:val="15"/>
        <w:rFonts w:ascii="宋体" w:hAnsi="宋体"/>
        <w:sz w:val="28"/>
        <w:szCs w:val="28"/>
      </w:rPr>
      <w:instrText xml:space="preserve"> PAGE </w:instrText>
    </w:r>
    <w:r>
      <w:rPr>
        <w:rStyle w:val="15"/>
        <w:rFonts w:ascii="宋体" w:hAnsi="宋体"/>
        <w:sz w:val="28"/>
        <w:szCs w:val="28"/>
      </w:rPr>
      <w:fldChar w:fldCharType="separate"/>
    </w:r>
    <w:r>
      <w:rPr>
        <w:rStyle w:val="15"/>
        <w:rFonts w:ascii="宋体" w:hAnsi="宋体"/>
        <w:sz w:val="28"/>
        <w:szCs w:val="28"/>
      </w:rPr>
      <w:t>42</w:t>
    </w:r>
    <w:r>
      <w:rPr>
        <w:rStyle w:val="15"/>
        <w:rFonts w:ascii="宋体" w:hAnsi="宋体"/>
        <w:sz w:val="28"/>
        <w:szCs w:val="28"/>
      </w:rPr>
      <w:fldChar w:fldCharType="end"/>
    </w:r>
    <w:r>
      <w:rPr>
        <w:rStyle w:val="15"/>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920" w:firstLine="360"/>
    </w:pPr>
    <w:r>
      <w:rPr>
        <w:rStyle w:val="15"/>
        <w:rFonts w:hint="eastAsia" w:ascii="宋体" w:hAnsi="宋体"/>
        <w:sz w:val="28"/>
        <w:szCs w:val="28"/>
      </w:rPr>
      <w:t xml:space="preserve">— </w:t>
    </w:r>
    <w:r>
      <w:rPr>
        <w:rStyle w:val="15"/>
        <w:rFonts w:ascii="宋体" w:hAnsi="宋体"/>
        <w:sz w:val="28"/>
        <w:szCs w:val="28"/>
      </w:rPr>
      <w:fldChar w:fldCharType="begin"/>
    </w:r>
    <w:r>
      <w:rPr>
        <w:rStyle w:val="15"/>
        <w:rFonts w:ascii="宋体" w:hAnsi="宋体"/>
        <w:sz w:val="28"/>
        <w:szCs w:val="28"/>
      </w:rPr>
      <w:instrText xml:space="preserve"> PAGE </w:instrText>
    </w:r>
    <w:r>
      <w:rPr>
        <w:rStyle w:val="15"/>
        <w:rFonts w:ascii="宋体" w:hAnsi="宋体"/>
        <w:sz w:val="28"/>
        <w:szCs w:val="28"/>
      </w:rPr>
      <w:fldChar w:fldCharType="separate"/>
    </w:r>
    <w:r>
      <w:rPr>
        <w:rStyle w:val="15"/>
        <w:rFonts w:ascii="宋体" w:hAnsi="宋体"/>
        <w:sz w:val="28"/>
        <w:szCs w:val="28"/>
      </w:rPr>
      <w:t>42</w:t>
    </w:r>
    <w:r>
      <w:rPr>
        <w:rStyle w:val="15"/>
        <w:rFonts w:ascii="宋体" w:hAnsi="宋体"/>
        <w:sz w:val="28"/>
        <w:szCs w:val="28"/>
      </w:rPr>
      <w:fldChar w:fldCharType="end"/>
    </w:r>
    <w:r>
      <w:rPr>
        <w:rStyle w:val="15"/>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right"/>
      <w:rPr>
        <w:rFonts w:ascii="宋体" w:hAnsi="宋体"/>
        <w:sz w:val="28"/>
        <w:szCs w:val="28"/>
      </w:rPr>
    </w:pPr>
    <w:r>
      <w:rPr>
        <w:rStyle w:val="15"/>
        <w:rFonts w:hint="eastAsia"/>
      </w:rPr>
      <w:t xml:space="preserve">                                                                           </w:t>
    </w:r>
    <w:r>
      <w:rPr>
        <w:rStyle w:val="15"/>
        <w:rFonts w:hint="eastAsia" w:ascii="宋体" w:hAnsi="宋体"/>
        <w:sz w:val="28"/>
        <w:szCs w:val="28"/>
      </w:rPr>
      <w:t xml:space="preserve">— </w:t>
    </w:r>
    <w:r>
      <w:rPr>
        <w:rStyle w:val="15"/>
        <w:rFonts w:ascii="宋体" w:hAnsi="宋体"/>
        <w:sz w:val="28"/>
        <w:szCs w:val="28"/>
      </w:rPr>
      <w:fldChar w:fldCharType="begin"/>
    </w:r>
    <w:r>
      <w:rPr>
        <w:rStyle w:val="15"/>
        <w:rFonts w:ascii="宋体" w:hAnsi="宋体"/>
        <w:sz w:val="28"/>
        <w:szCs w:val="28"/>
      </w:rPr>
      <w:instrText xml:space="preserve"> PAGE </w:instrText>
    </w:r>
    <w:r>
      <w:rPr>
        <w:rStyle w:val="15"/>
        <w:rFonts w:ascii="宋体" w:hAnsi="宋体"/>
        <w:sz w:val="28"/>
        <w:szCs w:val="28"/>
      </w:rPr>
      <w:fldChar w:fldCharType="separate"/>
    </w:r>
    <w:r>
      <w:rPr>
        <w:rStyle w:val="15"/>
        <w:rFonts w:ascii="宋体" w:hAnsi="宋体"/>
        <w:sz w:val="28"/>
        <w:szCs w:val="28"/>
      </w:rPr>
      <w:t>45</w:t>
    </w:r>
    <w:r>
      <w:rPr>
        <w:rStyle w:val="15"/>
        <w:rFonts w:ascii="宋体" w:hAnsi="宋体"/>
        <w:sz w:val="28"/>
        <w:szCs w:val="28"/>
      </w:rPr>
      <w:fldChar w:fldCharType="end"/>
    </w:r>
    <w:r>
      <w:rPr>
        <w:rStyle w:val="15"/>
        <w:rFonts w:hint="eastAsia"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920" w:firstLine="360"/>
    </w:pPr>
    <w:r>
      <w:rPr>
        <w:rStyle w:val="15"/>
        <w:rFonts w:hint="eastAsia" w:ascii="宋体" w:hAnsi="宋体"/>
        <w:sz w:val="28"/>
        <w:szCs w:val="28"/>
      </w:rPr>
      <w:t xml:space="preserve">— </w:t>
    </w:r>
    <w:r>
      <w:rPr>
        <w:rStyle w:val="15"/>
        <w:rFonts w:ascii="宋体" w:hAnsi="宋体"/>
        <w:sz w:val="28"/>
        <w:szCs w:val="28"/>
      </w:rPr>
      <w:fldChar w:fldCharType="begin"/>
    </w:r>
    <w:r>
      <w:rPr>
        <w:rStyle w:val="15"/>
        <w:rFonts w:ascii="宋体" w:hAnsi="宋体"/>
        <w:sz w:val="28"/>
        <w:szCs w:val="28"/>
      </w:rPr>
      <w:instrText xml:space="preserve"> PAGE </w:instrText>
    </w:r>
    <w:r>
      <w:rPr>
        <w:rStyle w:val="15"/>
        <w:rFonts w:ascii="宋体" w:hAnsi="宋体"/>
        <w:sz w:val="28"/>
        <w:szCs w:val="28"/>
      </w:rPr>
      <w:fldChar w:fldCharType="separate"/>
    </w:r>
    <w:r>
      <w:rPr>
        <w:rStyle w:val="15"/>
        <w:rFonts w:ascii="宋体" w:hAnsi="宋体"/>
        <w:sz w:val="28"/>
        <w:szCs w:val="28"/>
      </w:rPr>
      <w:t>46</w:t>
    </w:r>
    <w:r>
      <w:rPr>
        <w:rStyle w:val="15"/>
        <w:rFonts w:ascii="宋体" w:hAnsi="宋体"/>
        <w:sz w:val="28"/>
        <w:szCs w:val="28"/>
      </w:rPr>
      <w:fldChar w:fldCharType="end"/>
    </w:r>
    <w:r>
      <w:rPr>
        <w:rStyle w:val="15"/>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evenAndOddHeaders w:val="true"/>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NzA3NTM0MjkzZTA5ODg0NDhjY2ZkYTkxNTUxYjIifQ=="/>
  </w:docVars>
  <w:rsids>
    <w:rsidRoot w:val="007A5FAC"/>
    <w:rsid w:val="00091C08"/>
    <w:rsid w:val="000A2C93"/>
    <w:rsid w:val="000A5477"/>
    <w:rsid w:val="000D5D06"/>
    <w:rsid w:val="00170D2E"/>
    <w:rsid w:val="00172D2D"/>
    <w:rsid w:val="001F5C8D"/>
    <w:rsid w:val="002001B4"/>
    <w:rsid w:val="00225C8D"/>
    <w:rsid w:val="0022752B"/>
    <w:rsid w:val="002464EE"/>
    <w:rsid w:val="0026329B"/>
    <w:rsid w:val="00277A6B"/>
    <w:rsid w:val="002852B6"/>
    <w:rsid w:val="002940DE"/>
    <w:rsid w:val="00314D1C"/>
    <w:rsid w:val="003C62D2"/>
    <w:rsid w:val="00416B1F"/>
    <w:rsid w:val="0045565F"/>
    <w:rsid w:val="004A7852"/>
    <w:rsid w:val="004B51CF"/>
    <w:rsid w:val="0056435E"/>
    <w:rsid w:val="00601B25"/>
    <w:rsid w:val="0064452C"/>
    <w:rsid w:val="00650E94"/>
    <w:rsid w:val="00710216"/>
    <w:rsid w:val="00787837"/>
    <w:rsid w:val="007A5FAC"/>
    <w:rsid w:val="007A7D2C"/>
    <w:rsid w:val="007B5574"/>
    <w:rsid w:val="00807663"/>
    <w:rsid w:val="00833F88"/>
    <w:rsid w:val="00847906"/>
    <w:rsid w:val="00854341"/>
    <w:rsid w:val="008673AA"/>
    <w:rsid w:val="00873EB6"/>
    <w:rsid w:val="00882BD2"/>
    <w:rsid w:val="00887DDE"/>
    <w:rsid w:val="008E1EBE"/>
    <w:rsid w:val="008E280E"/>
    <w:rsid w:val="009169FA"/>
    <w:rsid w:val="00953206"/>
    <w:rsid w:val="009851C5"/>
    <w:rsid w:val="00A30D2A"/>
    <w:rsid w:val="00A86337"/>
    <w:rsid w:val="00AA7952"/>
    <w:rsid w:val="00AC5C4D"/>
    <w:rsid w:val="00AF20D4"/>
    <w:rsid w:val="00B115EE"/>
    <w:rsid w:val="00B73809"/>
    <w:rsid w:val="00B779A1"/>
    <w:rsid w:val="00BA26A9"/>
    <w:rsid w:val="00BF6A20"/>
    <w:rsid w:val="00C369E1"/>
    <w:rsid w:val="00D76275"/>
    <w:rsid w:val="00D86B47"/>
    <w:rsid w:val="00E242B1"/>
    <w:rsid w:val="00EA2A40"/>
    <w:rsid w:val="00EC6DB6"/>
    <w:rsid w:val="00F643B4"/>
    <w:rsid w:val="062C51A3"/>
    <w:rsid w:val="08924720"/>
    <w:rsid w:val="18CF0BAC"/>
    <w:rsid w:val="19EF52AF"/>
    <w:rsid w:val="212550E6"/>
    <w:rsid w:val="23D23563"/>
    <w:rsid w:val="24226536"/>
    <w:rsid w:val="272A4E71"/>
    <w:rsid w:val="282E1957"/>
    <w:rsid w:val="32745B07"/>
    <w:rsid w:val="336E1262"/>
    <w:rsid w:val="3598053E"/>
    <w:rsid w:val="3D587B07"/>
    <w:rsid w:val="44166055"/>
    <w:rsid w:val="4E151645"/>
    <w:rsid w:val="4FF318A4"/>
    <w:rsid w:val="55B41A83"/>
    <w:rsid w:val="5BA1276A"/>
    <w:rsid w:val="5C4A2A99"/>
    <w:rsid w:val="622F7A13"/>
    <w:rsid w:val="625C5825"/>
    <w:rsid w:val="64D50F11"/>
    <w:rsid w:val="699C3645"/>
    <w:rsid w:val="6B3727A3"/>
    <w:rsid w:val="74A63459"/>
    <w:rsid w:val="7E5F5E41"/>
    <w:rsid w:val="7EAA3560"/>
    <w:rsid w:val="A3DE07E9"/>
    <w:rsid w:val="BFF95C08"/>
    <w:rsid w:val="EFF7994F"/>
    <w:rsid w:val="FFADCB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left="420" w:leftChars="200" w:firstLine="420" w:firstLineChars="200"/>
    </w:pPr>
    <w:rPr>
      <w:rFonts w:ascii="Times New Roman" w:hAnsi="Times New Roman" w:eastAsia="宋体" w:cs="Times New Roman"/>
    </w:rPr>
  </w:style>
  <w:style w:type="paragraph" w:customStyle="1" w:styleId="3">
    <w:name w:val="Body Text Indent1"/>
    <w:basedOn w:val="1"/>
    <w:qFormat/>
    <w:uiPriority w:val="0"/>
    <w:pPr>
      <w:ind w:left="420" w:leftChars="200"/>
    </w:pPr>
  </w:style>
  <w:style w:type="paragraph" w:styleId="4">
    <w:name w:val="Body Text"/>
    <w:basedOn w:val="1"/>
    <w:qFormat/>
    <w:uiPriority w:val="0"/>
    <w:pPr>
      <w:spacing w:after="120" w:line="360" w:lineRule="auto"/>
      <w:ind w:firstLine="200" w:firstLineChars="200"/>
      <w:jc w:val="left"/>
    </w:pPr>
    <w:rPr>
      <w:rFonts w:ascii="Times New Roman" w:hAnsi="Times New Roman"/>
      <w:sz w:val="24"/>
      <w:szCs w:val="24"/>
    </w:rPr>
  </w:style>
  <w:style w:type="paragraph" w:styleId="5">
    <w:name w:val="Body Text Indent"/>
    <w:basedOn w:val="1"/>
    <w:next w:val="6"/>
    <w:qFormat/>
    <w:uiPriority w:val="0"/>
    <w:pPr>
      <w:tabs>
        <w:tab w:val="left" w:pos="2250"/>
      </w:tabs>
      <w:spacing w:before="100" w:beforeAutospacing="1" w:line="180" w:lineRule="exact"/>
      <w:ind w:firstLine="629"/>
    </w:pPr>
    <w:rPr>
      <w:b/>
      <w:color w:val="FF0000"/>
      <w:sz w:val="32"/>
    </w:rPr>
  </w:style>
  <w:style w:type="paragraph" w:styleId="6">
    <w:name w:val="Body Text First Indent 2"/>
    <w:basedOn w:val="5"/>
    <w:next w:val="1"/>
    <w:qFormat/>
    <w:uiPriority w:val="0"/>
    <w:pPr>
      <w:spacing w:after="120"/>
      <w:ind w:left="420" w:leftChars="200" w:firstLine="420" w:firstLineChars="200"/>
    </w:pPr>
    <w:rPr>
      <w:rFonts w:ascii="Times New Roman" w:hAnsi="Times New Roman"/>
      <w:b w:val="0"/>
      <w:color w:val="auto"/>
      <w:sz w:val="21"/>
    </w:rPr>
  </w:style>
  <w:style w:type="paragraph" w:styleId="7">
    <w:name w:val="Balloon Text"/>
    <w:basedOn w:val="1"/>
    <w:link w:val="22"/>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unhideWhenUsed/>
    <w:qFormat/>
    <w:uiPriority w:val="0"/>
    <w:pPr>
      <w:snapToGrid w:val="0"/>
    </w:pPr>
    <w:rPr>
      <w:sz w:val="18"/>
    </w:rPr>
  </w:style>
  <w:style w:type="paragraph" w:styleId="11">
    <w:name w:val="toc 2"/>
    <w:basedOn w:val="1"/>
    <w:next w:val="1"/>
    <w:qFormat/>
    <w:uiPriority w:val="0"/>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character" w:styleId="15">
    <w:name w:val="page number"/>
    <w:qFormat/>
    <w:uiPriority w:val="0"/>
  </w:style>
  <w:style w:type="paragraph" w:customStyle="1" w:styleId="16">
    <w:name w:val="常用样式（方正仿宋简）"/>
    <w:basedOn w:val="17"/>
    <w:next w:val="1"/>
    <w:qFormat/>
    <w:uiPriority w:val="0"/>
    <w:pPr>
      <w:spacing w:line="560" w:lineRule="exact"/>
      <w:ind w:firstLine="640" w:firstLineChars="200"/>
    </w:pPr>
    <w:rPr>
      <w:rFonts w:eastAsia="方正仿宋简体"/>
      <w:szCs w:val="32"/>
    </w:rPr>
  </w:style>
  <w:style w:type="paragraph" w:customStyle="1" w:styleId="17">
    <w:name w:val="正文1"/>
    <w:next w:val="18"/>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8">
    <w:name w:val="正文文本1"/>
    <w:basedOn w:val="17"/>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19">
    <w:name w:val="正文2"/>
    <w:basedOn w:val="1"/>
    <w:next w:val="1"/>
    <w:qFormat/>
    <w:uiPriority w:val="0"/>
    <w:rPr>
      <w:rFonts w:ascii="仿宋_GB2312" w:eastAsia="仿宋_GB2312"/>
      <w:sz w:val="32"/>
      <w:szCs w:val="20"/>
    </w:rPr>
  </w:style>
  <w:style w:type="paragraph" w:customStyle="1" w:styleId="20">
    <w:name w:val="列出段落1"/>
    <w:basedOn w:val="1"/>
    <w:qFormat/>
    <w:uiPriority w:val="0"/>
    <w:pPr>
      <w:ind w:firstLine="420" w:firstLineChars="200"/>
    </w:pPr>
  </w:style>
  <w:style w:type="paragraph" w:customStyle="1" w:styleId="21">
    <w:name w:val="普通(网站)1"/>
    <w:basedOn w:val="1"/>
    <w:qFormat/>
    <w:uiPriority w:val="0"/>
    <w:pPr>
      <w:jc w:val="left"/>
    </w:pPr>
    <w:rPr>
      <w:kern w:val="0"/>
      <w:sz w:val="24"/>
    </w:rPr>
  </w:style>
  <w:style w:type="character" w:customStyle="1" w:styleId="22">
    <w:name w:val="批注框文本 Char"/>
    <w:basedOn w:val="14"/>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3638</Words>
  <Characters>20740</Characters>
  <Lines>172</Lines>
  <Paragraphs>48</Paragraphs>
  <TotalTime>2</TotalTime>
  <ScaleCrop>false</ScaleCrop>
  <LinksUpToDate>false</LinksUpToDate>
  <CharactersWithSpaces>24330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2023-10-25T07:54:00Z</dcterms:created>
  <dc:creator>Administrator</dc:creator>
  <cp:lastModifiedBy>user</cp:lastModifiedBy>
  <cp:lastPrinted>2023-11-14T09:49:00Z</cp:lastPrinted>
  <dcterms:modified xsi:type="dcterms:W3CDTF">2023-11-22T09:30:42Z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B154F9C38E1C4BCBA24A3A1CF0EEC9B6_12</vt:lpwstr>
  </property>
</Properties>
</file>