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127</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576" w:lineRule="exact"/>
        <w:ind w:left="0" w:leftChars="0"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576"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pPr>
        <w:wordWrap w:val="0"/>
        <w:overflowPunct w:val="0"/>
        <w:adjustRightInd w:val="0"/>
        <w:snapToGrid w:val="0"/>
        <w:spacing w:line="600" w:lineRule="exact"/>
        <w:jc w:val="center"/>
        <w:rPr>
          <w:rFonts w:eastAsia="方正小标宋简体"/>
          <w:kern w:val="0"/>
          <w:sz w:val="44"/>
          <w:szCs w:val="44"/>
        </w:rPr>
      </w:pPr>
      <w:r>
        <w:rPr>
          <w:rFonts w:ascii="Times New Roman" w:hAnsi="Times New Roman" w:eastAsia="方正小标宋简体" w:cs="Times New Roman"/>
          <w:kern w:val="0"/>
          <w:sz w:val="44"/>
          <w:szCs w:val="44"/>
        </w:rPr>
        <w:t>关于</w:t>
      </w:r>
      <w:r>
        <w:rPr>
          <w:rFonts w:hint="eastAsia" w:ascii="Times New Roman" w:hAnsi="Times New Roman" w:eastAsia="方正小标宋简体" w:cs="Times New Roman"/>
          <w:kern w:val="0"/>
          <w:sz w:val="44"/>
          <w:szCs w:val="44"/>
        </w:rPr>
        <w:t>大英县川祥金属制品加工</w:t>
      </w:r>
      <w:r>
        <w:rPr>
          <w:rFonts w:ascii="Times New Roman" w:hAnsi="Times New Roman" w:eastAsia="方正小标宋简体" w:cs="Times New Roman"/>
          <w:kern w:val="0"/>
          <w:sz w:val="44"/>
          <w:szCs w:val="44"/>
        </w:rPr>
        <w:t>项目</w:t>
      </w:r>
      <w:r>
        <w:rPr>
          <w:rFonts w:eastAsia="方正小标宋简体"/>
          <w:kern w:val="0"/>
          <w:sz w:val="44"/>
          <w:szCs w:val="44"/>
        </w:rPr>
        <w:t>环境影响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eastAsia="方正小标宋简体"/>
          <w:kern w:val="0"/>
          <w:sz w:val="44"/>
          <w:szCs w:val="44"/>
        </w:rPr>
        <w:t>报告表的批复</w:t>
      </w:r>
    </w:p>
    <w:p>
      <w:pPr>
        <w:pStyle w:val="9"/>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rPr>
      </w:pPr>
    </w:p>
    <w:p>
      <w:pPr>
        <w:keepNext w:val="0"/>
        <w:keepLines w:val="0"/>
        <w:pageBreakBefore w:val="0"/>
        <w:kinsoku/>
        <w:wordWrap w:val="0"/>
        <w:overflowPunct w:val="0"/>
        <w:topLinePunct/>
        <w:autoSpaceDE/>
        <w:autoSpaceDN/>
        <w:bidi w:val="0"/>
        <w:snapToGrid w:val="0"/>
        <w:spacing w:line="576" w:lineRule="exact"/>
        <w:textAlignment w:val="auto"/>
        <w:rPr>
          <w:rFonts w:eastAsia="仿宋_GB2312"/>
          <w:sz w:val="32"/>
          <w:szCs w:val="32"/>
        </w:rPr>
      </w:pPr>
      <w:r>
        <w:rPr>
          <w:rFonts w:eastAsia="仿宋_GB2312"/>
          <w:sz w:val="32"/>
          <w:szCs w:val="32"/>
        </w:rPr>
        <w:t>大英</w:t>
      </w:r>
      <w:r>
        <w:rPr>
          <w:rFonts w:hint="eastAsia" w:eastAsia="仿宋_GB2312"/>
          <w:sz w:val="32"/>
          <w:szCs w:val="32"/>
        </w:rPr>
        <w:t>川祥金属制品有限责任公司</w:t>
      </w:r>
      <w:r>
        <w:rPr>
          <w:rFonts w:eastAsia="仿宋_GB2312"/>
          <w:sz w:val="32"/>
          <w:szCs w:val="32"/>
        </w:rPr>
        <w:t>：</w:t>
      </w:r>
    </w:p>
    <w:p>
      <w:pPr>
        <w:keepNext w:val="0"/>
        <w:keepLines w:val="0"/>
        <w:pageBreakBefore w:val="0"/>
        <w:widowControl/>
        <w:kinsoku/>
        <w:autoSpaceDE/>
        <w:autoSpaceDN/>
        <w:bidi w:val="0"/>
        <w:spacing w:line="576" w:lineRule="exact"/>
        <w:ind w:firstLine="640" w:firstLineChars="200"/>
        <w:jc w:val="left"/>
        <w:textAlignment w:val="auto"/>
        <w:rPr>
          <w:rFonts w:eastAsia="仿宋_GB2312"/>
          <w:sz w:val="32"/>
          <w:szCs w:val="32"/>
        </w:rPr>
      </w:pPr>
      <w:r>
        <w:rPr>
          <w:rFonts w:ascii="Times New Roman" w:hAnsi="Times New Roman" w:eastAsia="仿宋_GB2312" w:cs="Times New Roman"/>
          <w:sz w:val="32"/>
          <w:szCs w:val="32"/>
        </w:rPr>
        <w:t>你公司报送的《</w:t>
      </w:r>
      <w:r>
        <w:rPr>
          <w:rFonts w:hint="eastAsia" w:ascii="Times New Roman" w:hAnsi="Times New Roman" w:eastAsia="仿宋_GB2312" w:cs="Times New Roman"/>
          <w:sz w:val="32"/>
          <w:szCs w:val="32"/>
        </w:rPr>
        <w:t>大英县川祥金属制品加工</w:t>
      </w:r>
      <w:r>
        <w:rPr>
          <w:rFonts w:ascii="Times New Roman" w:hAnsi="Times New Roman" w:eastAsia="仿宋_GB2312" w:cs="Times New Roman"/>
          <w:sz w:val="32"/>
          <w:szCs w:val="32"/>
        </w:rPr>
        <w:t>项目</w:t>
      </w:r>
      <w:r>
        <w:rPr>
          <w:rFonts w:eastAsia="仿宋_GB2312"/>
          <w:sz w:val="32"/>
          <w:szCs w:val="32"/>
        </w:rPr>
        <w:t>环境影响报告表》（以下简称《报告表》）收悉。经研究，批复如下：</w:t>
      </w:r>
    </w:p>
    <w:p>
      <w:pPr>
        <w:keepNext w:val="0"/>
        <w:keepLines w:val="0"/>
        <w:pageBreakBefore w:val="0"/>
        <w:kinsoku/>
        <w:autoSpaceDE/>
        <w:autoSpaceDN/>
        <w:bidi w:val="0"/>
        <w:adjustRightInd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一、项目概况及总体意见</w:t>
      </w:r>
    </w:p>
    <w:p>
      <w:pPr>
        <w:keepNext w:val="0"/>
        <w:keepLines w:val="0"/>
        <w:pageBreakBefore w:val="0"/>
        <w:kinsoku/>
        <w:autoSpaceDE/>
        <w:autoSpaceDN/>
        <w:bidi w:val="0"/>
        <w:adjustRightInd w:val="0"/>
        <w:spacing w:line="576"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该项目位于大英县蓬莱镇滨江北路东段，新建金属制品生产线1条，建成后形成新能源电池机壳5万套/年、光伏支架3万套/年、金属构件热处理（接收客户委托）100吨/年的生产能力。</w:t>
      </w:r>
      <w:r>
        <w:rPr>
          <w:rFonts w:ascii="Times New Roman" w:hAnsi="Times New Roman" w:eastAsia="仿宋_GB2312" w:cs="Times New Roman"/>
          <w:sz w:val="32"/>
          <w:szCs w:val="32"/>
        </w:rPr>
        <w:t>项目总投资</w:t>
      </w:r>
      <w:r>
        <w:rPr>
          <w:rFonts w:hint="eastAsia" w:ascii="Times New Roman" w:hAnsi="Times New Roman" w:eastAsia="仿宋_GB2312" w:cs="Times New Roman"/>
          <w:sz w:val="32"/>
          <w:szCs w:val="32"/>
        </w:rPr>
        <w:t>300</w:t>
      </w:r>
      <w:r>
        <w:rPr>
          <w:rFonts w:ascii="Times New Roman" w:hAnsi="Times New Roman" w:eastAsia="仿宋_GB2312" w:cs="Times New Roman"/>
          <w:sz w:val="32"/>
          <w:szCs w:val="32"/>
        </w:rPr>
        <w:t>万元，其中环保投资</w:t>
      </w:r>
      <w:r>
        <w:rPr>
          <w:rFonts w:hint="eastAsia" w:ascii="Times New Roman" w:hAnsi="Times New Roman" w:eastAsia="仿宋_GB2312" w:cs="Times New Roman"/>
          <w:sz w:val="32"/>
          <w:szCs w:val="32"/>
        </w:rPr>
        <w:t>9.2</w:t>
      </w:r>
      <w:r>
        <w:rPr>
          <w:rFonts w:ascii="Times New Roman" w:hAnsi="Times New Roman" w:eastAsia="仿宋_GB2312" w:cs="Times New Roman"/>
          <w:sz w:val="32"/>
          <w:szCs w:val="32"/>
        </w:rPr>
        <w:t>万元。</w:t>
      </w:r>
    </w:p>
    <w:p>
      <w:pPr>
        <w:keepNext w:val="0"/>
        <w:keepLines w:val="0"/>
        <w:pageBreakBefore w:val="0"/>
        <w:kinsoku/>
        <w:autoSpaceDE/>
        <w:autoSpaceDN/>
        <w:bidi w:val="0"/>
        <w:adjustRightInd w:val="0"/>
        <w:spacing w:line="576" w:lineRule="exact"/>
        <w:ind w:firstLine="640" w:firstLineChars="200"/>
        <w:textAlignment w:val="auto"/>
        <w:rPr>
          <w:rFonts w:ascii="Times New Roman" w:hAnsi="Times New Roman" w:eastAsia="仿宋_GB2312" w:cs="Times New Roman"/>
          <w:sz w:val="32"/>
          <w:szCs w:val="32"/>
        </w:rPr>
        <w:sectPr>
          <w:footerReference r:id="rId3" w:type="default"/>
          <w:pgSz w:w="11906" w:h="16838"/>
          <w:pgMar w:top="2098" w:right="1474" w:bottom="1417"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ascii="Times New Roman" w:hAnsi="Times New Roman" w:eastAsia="仿宋_GB2312" w:cs="Times New Roman"/>
          <w:kern w:val="0"/>
          <w:sz w:val="32"/>
          <w:szCs w:val="32"/>
        </w:rPr>
        <w:t>项目经大英县</w:t>
      </w:r>
      <w:r>
        <w:rPr>
          <w:rFonts w:hint="eastAsia" w:ascii="Times New Roman" w:hAnsi="Times New Roman" w:eastAsia="仿宋_GB2312" w:cs="Times New Roman"/>
          <w:kern w:val="0"/>
          <w:sz w:val="32"/>
          <w:szCs w:val="32"/>
        </w:rPr>
        <w:t>发展和改革局登记</w:t>
      </w:r>
      <w:r>
        <w:rPr>
          <w:rFonts w:ascii="Times New Roman" w:hAnsi="Times New Roman" w:eastAsia="仿宋_GB2312" w:cs="Times New Roman"/>
          <w:kern w:val="0"/>
          <w:sz w:val="32"/>
          <w:szCs w:val="32"/>
        </w:rPr>
        <w:t>备案（川投资备【2310-510923-04-01-754723】FGQB-0137号</w:t>
      </w:r>
      <w:r>
        <w:rPr>
          <w:rFonts w:ascii="Times New Roman" w:hAnsi="Times New Roman" w:eastAsia="仿宋_GB2312" w:cs="Times New Roman"/>
          <w:sz w:val="32"/>
          <w:szCs w:val="32"/>
        </w:rPr>
        <w:t>），属于</w:t>
      </w:r>
      <w:r>
        <w:rPr>
          <w:rFonts w:hint="eastAsia" w:ascii="Times New Roman" w:hAnsi="Times New Roman" w:eastAsia="仿宋_GB2312" w:cs="Times New Roman"/>
          <w:sz w:val="32"/>
          <w:szCs w:val="32"/>
        </w:rPr>
        <w:t>未列入</w:t>
      </w:r>
      <w:r>
        <w:rPr>
          <w:rFonts w:ascii="Times New Roman" w:hAnsi="Times New Roman" w:eastAsia="仿宋_GB2312" w:cs="Times New Roman"/>
          <w:sz w:val="32"/>
          <w:szCs w:val="32"/>
        </w:rPr>
        <w:t>《产业结构调整指导目录》（2019年本）</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允许</w:t>
      </w:r>
      <w:r>
        <w:rPr>
          <w:rFonts w:ascii="Times New Roman" w:hAnsi="Times New Roman" w:eastAsia="仿宋_GB2312" w:cs="Times New Roman"/>
          <w:sz w:val="32"/>
          <w:szCs w:val="32"/>
        </w:rPr>
        <w:t>类项目。</w:t>
      </w:r>
      <w:r>
        <w:rPr>
          <w:rFonts w:hint="eastAsia" w:ascii="Times New Roman" w:hAnsi="Times New Roman" w:eastAsia="仿宋_GB2312" w:cs="Times New Roman"/>
          <w:sz w:val="32"/>
          <w:szCs w:val="32"/>
        </w:rPr>
        <w:t>项目租用大英县蓬莱镇滨江北路东段大英西南模具有限公司2 幢厂房，不新增建设用地。</w:t>
      </w:r>
      <w:r>
        <w:rPr>
          <w:rFonts w:ascii="Times New Roman" w:hAnsi="Times New Roman" w:eastAsia="仿宋_GB2312" w:cs="Times New Roman"/>
          <w:sz w:val="32"/>
          <w:szCs w:val="32"/>
        </w:rPr>
        <w:t>项目建设选址的四川大英经济开发区，已开展规划环评并取得审查意见（川环建函〔2019〕48号）。《报告</w:t>
      </w:r>
    </w:p>
    <w:p>
      <w:pPr>
        <w:keepNext w:val="0"/>
        <w:keepLines w:val="0"/>
        <w:pageBreakBefore w:val="0"/>
        <w:kinsoku/>
        <w:autoSpaceDE/>
        <w:autoSpaceDN/>
        <w:bidi w:val="0"/>
        <w:adjustRightInd w:val="0"/>
        <w:spacing w:line="576"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表》认为该项目建设符合国家产业政策，选址符合相关规划和规划环评相关要求。</w:t>
      </w:r>
    </w:p>
    <w:p>
      <w:pPr>
        <w:keepNext w:val="0"/>
        <w:keepLines w:val="0"/>
        <w:pageBreakBefore w:val="0"/>
        <w:kinsoku/>
        <w:autoSpaceDE/>
        <w:autoSpaceDN/>
        <w:bidi w:val="0"/>
        <w:adjustRightIn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在严格落实《报告表》提出的环保对策及措施，严格执行环</w:t>
      </w:r>
      <w:r>
        <w:rPr>
          <w:rFonts w:hint="eastAsia" w:ascii="仿宋_GB2312" w:hAnsi="仿宋_GB2312" w:eastAsia="仿宋_GB2312" w:cs="仿宋_GB2312"/>
          <w:kern w:val="0"/>
          <w:sz w:val="32"/>
          <w:szCs w:val="32"/>
        </w:rPr>
        <w:t>境保护“三同时”制度，确保污染物达标排放，认真落实环境风险</w:t>
      </w:r>
      <w:r>
        <w:rPr>
          <w:rFonts w:hint="eastAsia" w:ascii="仿宋_GB2312" w:hAnsi="仿宋_GB2312" w:eastAsia="仿宋_GB2312" w:cs="仿宋_GB2312"/>
          <w:sz w:val="32"/>
          <w:szCs w:val="32"/>
        </w:rPr>
        <w:t>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pPr>
        <w:keepNext w:val="0"/>
        <w:keepLines w:val="0"/>
        <w:pageBreakBefore w:val="0"/>
        <w:kinsoku/>
        <w:wordWrap w:val="0"/>
        <w:overflowPunct w:val="0"/>
        <w:autoSpaceDE/>
        <w:autoSpaceDN/>
        <w:bidi w:val="0"/>
        <w:snapToGrid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二、项目建设及营运期应重点做好以下工作</w:t>
      </w:r>
    </w:p>
    <w:p>
      <w:pPr>
        <w:keepNext w:val="0"/>
        <w:keepLines w:val="0"/>
        <w:pageBreakBefore w:val="0"/>
        <w:kinsoku/>
        <w:autoSpaceDE/>
        <w:autoSpaceDN/>
        <w:bidi w:val="0"/>
        <w:spacing w:line="576"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（一）落实污染防治和环境风险防范措施。</w:t>
      </w:r>
      <w:r>
        <w:rPr>
          <w:rFonts w:hint="eastAsia" w:ascii="仿宋_GB2312" w:hAnsi="仿宋_GB2312" w:eastAsia="仿宋_GB2312" w:cs="仿宋_GB2312"/>
          <w:bCs/>
          <w:sz w:val="32"/>
          <w:szCs w:val="32"/>
        </w:rPr>
        <w:t>项目租用已建成的闲置厂房进行适应性改造和设备安装，不进行土石方工程。项目建设严格落实施工期环境保护措施，</w:t>
      </w:r>
      <w:r>
        <w:rPr>
          <w:rFonts w:hint="eastAsia" w:ascii="仿宋_GB2312" w:hAnsi="仿宋_GB2312" w:eastAsia="仿宋_GB2312" w:cs="仿宋_GB2312"/>
          <w:color w:val="000000"/>
          <w:kern w:val="18"/>
          <w:sz w:val="32"/>
          <w:szCs w:val="32"/>
        </w:rPr>
        <w:t>减轻项目施工对周边环境的影响。加强运营期环保设施的日常管理和维护，确保环保设施正常运行及各类污染物稳定达标排放。制定并不断完善突发环境事件应急预案，规范内部管理，严格操作规范，定期开展自行监测，防止污染事故的发生。</w:t>
      </w:r>
    </w:p>
    <w:p>
      <w:pPr>
        <w:pStyle w:val="11"/>
        <w:keepNext w:val="0"/>
        <w:keepLines w:val="0"/>
        <w:pageBreakBefore w:val="0"/>
        <w:kinsoku/>
        <w:autoSpaceDE/>
        <w:autoSpaceDN/>
        <w:bidi w:val="0"/>
        <w:spacing w:line="576"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（二）落实废水污染治理措施。</w:t>
      </w:r>
      <w:r>
        <w:rPr>
          <w:rFonts w:ascii="仿宋_GB2312" w:hAnsi="仿宋_GB2312" w:eastAsia="仿宋_GB2312" w:cs="仿宋_GB2312"/>
          <w:color w:val="000000"/>
          <w:kern w:val="18"/>
          <w:sz w:val="32"/>
          <w:szCs w:val="32"/>
        </w:rPr>
        <w:t>脱脂剂、发黑剂循环使用不外排；</w:t>
      </w:r>
      <w:r>
        <w:rPr>
          <w:rFonts w:hint="eastAsia" w:ascii="仿宋_GB2312" w:hAnsi="仿宋_GB2312" w:eastAsia="仿宋_GB2312" w:cs="仿宋_GB2312"/>
          <w:color w:val="000000"/>
          <w:kern w:val="18"/>
          <w:sz w:val="32"/>
          <w:szCs w:val="32"/>
        </w:rPr>
        <w:t>切削液、</w:t>
      </w:r>
      <w:r>
        <w:rPr>
          <w:rFonts w:ascii="仿宋_GB2312" w:hAnsi="仿宋_GB2312" w:eastAsia="仿宋_GB2312" w:cs="仿宋_GB2312"/>
          <w:color w:val="000000"/>
          <w:kern w:val="18"/>
          <w:sz w:val="32"/>
          <w:szCs w:val="32"/>
        </w:rPr>
        <w:t>清洗水循环使用不外排</w:t>
      </w:r>
      <w:r>
        <w:rPr>
          <w:rFonts w:hint="eastAsia" w:ascii="仿宋_GB2312" w:hAnsi="仿宋_GB2312" w:eastAsia="仿宋_GB2312" w:cs="仿宋_GB2312"/>
          <w:color w:val="000000"/>
          <w:kern w:val="18"/>
          <w:sz w:val="32"/>
          <w:szCs w:val="32"/>
        </w:rPr>
        <w:t>，无法继续循环使用时，进行更换，按照危险废物管理和处置</w:t>
      </w:r>
      <w:r>
        <w:rPr>
          <w:rFonts w:ascii="仿宋_GB2312" w:hAnsi="仿宋_GB2312" w:eastAsia="仿宋_GB2312" w:cs="仿宋_GB2312"/>
          <w:color w:val="000000"/>
          <w:kern w:val="18"/>
          <w:sz w:val="32"/>
          <w:szCs w:val="32"/>
        </w:rPr>
        <w:t>；生活废水经</w:t>
      </w:r>
      <w:r>
        <w:rPr>
          <w:rFonts w:hint="eastAsia" w:ascii="仿宋_GB2312" w:hAnsi="仿宋_GB2312" w:eastAsia="仿宋_GB2312" w:cs="仿宋_GB2312"/>
          <w:color w:val="000000"/>
          <w:kern w:val="18"/>
          <w:sz w:val="32"/>
          <w:szCs w:val="32"/>
        </w:rPr>
        <w:t>厂区</w:t>
      </w:r>
      <w:r>
        <w:rPr>
          <w:rFonts w:ascii="仿宋_GB2312" w:hAnsi="仿宋_GB2312" w:eastAsia="仿宋_GB2312" w:cs="仿宋_GB2312"/>
          <w:color w:val="000000"/>
          <w:kern w:val="18"/>
          <w:sz w:val="32"/>
          <w:szCs w:val="32"/>
        </w:rPr>
        <w:t>预处理池预处理后，通过市政污水管网排入大英县工业污水处理厂处理。</w:t>
      </w:r>
    </w:p>
    <w:p>
      <w:pPr>
        <w:pStyle w:val="6"/>
        <w:keepNext w:val="0"/>
        <w:keepLines w:val="0"/>
        <w:pageBreakBefore w:val="0"/>
        <w:kinsoku/>
        <w:autoSpaceDE/>
        <w:autoSpaceDN/>
        <w:bidi w:val="0"/>
        <w:spacing w:before="0" w:line="576" w:lineRule="exact"/>
        <w:ind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（三）落实废气污染治理措施。</w:t>
      </w:r>
      <w:r>
        <w:rPr>
          <w:rFonts w:ascii="仿宋_GB2312" w:hAnsi="仿宋_GB2312" w:eastAsia="仿宋_GB2312" w:cs="仿宋_GB2312"/>
          <w:color w:val="000000"/>
          <w:kern w:val="18"/>
          <w:sz w:val="32"/>
          <w:szCs w:val="32"/>
        </w:rPr>
        <w:t>焊接烟尘经移动式焊烟净化器净化后进行排放。</w:t>
      </w:r>
      <w:r>
        <w:rPr>
          <w:rFonts w:hint="eastAsia" w:ascii="仿宋_GB2312" w:hAnsi="仿宋_GB2312" w:eastAsia="仿宋_GB2312" w:cs="仿宋_GB2312"/>
          <w:color w:val="000000"/>
          <w:kern w:val="18"/>
          <w:sz w:val="32"/>
          <w:szCs w:val="32"/>
        </w:rPr>
        <w:t>强化废气无组织排放管控措施，减少废气无组织排放。</w:t>
      </w:r>
    </w:p>
    <w:p>
      <w:pPr>
        <w:pStyle w:val="10"/>
        <w:keepNext w:val="0"/>
        <w:keepLines w:val="0"/>
        <w:pageBreakBefore w:val="0"/>
        <w:kinsoku/>
        <w:autoSpaceDE/>
        <w:autoSpaceDN/>
        <w:bidi w:val="0"/>
        <w:spacing w:line="576" w:lineRule="exact"/>
        <w:ind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）落实固体废物处置措施。</w:t>
      </w:r>
      <w:r>
        <w:rPr>
          <w:rFonts w:ascii="Times New Roman" w:hAnsi="Times New Roman" w:eastAsia="仿宋_GB2312" w:cs="Times New Roman"/>
          <w:sz w:val="32"/>
          <w:szCs w:val="32"/>
        </w:rPr>
        <w:t>废边角料、焊烟净化器收集粉尘、水冷却淬火池沉渣、残次品、废包装材料分类收集暂存一般固废暂存区，定期外售综合利用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废切削液、</w:t>
      </w:r>
      <w:r>
        <w:rPr>
          <w:rFonts w:hint="eastAsia" w:ascii="Times New Roman" w:hAnsi="Times New Roman" w:eastAsia="仿宋_GB2312" w:cs="Times New Roman"/>
          <w:sz w:val="32"/>
          <w:szCs w:val="32"/>
        </w:rPr>
        <w:t>清洗废液、</w:t>
      </w:r>
      <w:r>
        <w:rPr>
          <w:rFonts w:ascii="Times New Roman" w:hAnsi="Times New Roman" w:eastAsia="仿宋_GB2312" w:cs="Times New Roman"/>
          <w:sz w:val="32"/>
          <w:szCs w:val="32"/>
        </w:rPr>
        <w:t>油冷却淬火池沉渣、废机油、废润滑油、废包装桶、废含油抹布</w:t>
      </w:r>
      <w:r>
        <w:rPr>
          <w:rFonts w:hint="eastAsia" w:ascii="Times New Roman" w:hAnsi="Times New Roman" w:eastAsia="仿宋_GB2312" w:cs="Times New Roman"/>
          <w:sz w:val="32"/>
          <w:szCs w:val="32"/>
        </w:rPr>
        <w:t>及劳保用品等属于危险废物，</w:t>
      </w:r>
      <w:r>
        <w:rPr>
          <w:rFonts w:ascii="Times New Roman" w:hAnsi="Times New Roman" w:eastAsia="仿宋_GB2312" w:cs="Times New Roman"/>
          <w:sz w:val="32"/>
          <w:szCs w:val="32"/>
        </w:rPr>
        <w:t>分类收集后在危险废物暂存间暂存，定期交由有资质单位处置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生活垃圾委托市政环卫部门处置。</w:t>
      </w:r>
    </w:p>
    <w:p>
      <w:pPr>
        <w:pStyle w:val="10"/>
        <w:keepNext w:val="0"/>
        <w:keepLines w:val="0"/>
        <w:pageBreakBefore w:val="0"/>
        <w:kinsoku/>
        <w:autoSpaceDE/>
        <w:autoSpaceDN/>
        <w:bidi w:val="0"/>
        <w:spacing w:line="576" w:lineRule="exact"/>
        <w:ind w:firstLine="640" w:firstLineChars="200"/>
        <w:textAlignment w:val="auto"/>
        <w:rPr>
          <w:rFonts w:ascii="Times New Roman" w:hAnsi="Times New Roman" w:eastAsia="楷体" w:cs="Times New Roman"/>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）落实噪声污染防治措施。</w:t>
      </w:r>
      <w:r>
        <w:rPr>
          <w:rFonts w:hint="eastAsia" w:ascii="Times New Roman" w:hAnsi="Times New Roman" w:eastAsia="仿宋_GB2312" w:cs="Times New Roman"/>
          <w:sz w:val="32"/>
          <w:szCs w:val="32"/>
        </w:rPr>
        <w:t>选用低噪声设备，</w:t>
      </w:r>
      <w:r>
        <w:rPr>
          <w:rFonts w:ascii="Times New Roman" w:hAnsi="Times New Roman" w:eastAsia="仿宋_GB2312" w:cs="Times New Roman"/>
          <w:sz w:val="32"/>
          <w:szCs w:val="32"/>
        </w:rPr>
        <w:t>合理布局，采取</w:t>
      </w:r>
      <w:r>
        <w:rPr>
          <w:rFonts w:hint="eastAsia" w:ascii="Times New Roman" w:hAnsi="Times New Roman" w:eastAsia="仿宋_GB2312" w:cs="Times New Roman"/>
          <w:sz w:val="32"/>
          <w:szCs w:val="32"/>
        </w:rPr>
        <w:t>基础</w:t>
      </w:r>
      <w:r>
        <w:rPr>
          <w:rFonts w:ascii="Times New Roman" w:hAnsi="Times New Roman" w:eastAsia="仿宋_GB2312" w:cs="Times New Roman"/>
          <w:sz w:val="32"/>
          <w:szCs w:val="32"/>
        </w:rPr>
        <w:t>减振、建筑隔声</w:t>
      </w:r>
      <w:r>
        <w:rPr>
          <w:rFonts w:hint="eastAsia" w:ascii="Times New Roman" w:hAnsi="Times New Roman" w:eastAsia="仿宋_GB2312" w:cs="Times New Roman"/>
          <w:sz w:val="32"/>
          <w:szCs w:val="32"/>
        </w:rPr>
        <w:t>、定期维护</w:t>
      </w:r>
      <w:r>
        <w:rPr>
          <w:rFonts w:ascii="Times New Roman" w:hAnsi="Times New Roman" w:eastAsia="仿宋_GB2312" w:cs="Times New Roman"/>
          <w:sz w:val="32"/>
          <w:szCs w:val="32"/>
        </w:rPr>
        <w:t>等措施，确保满足《工业企业厂界环境噪声排放标准》（GB12348-2008）中的3类声环境功能区排放限值的要求。</w:t>
      </w:r>
    </w:p>
    <w:p>
      <w:pPr>
        <w:pStyle w:val="10"/>
        <w:keepNext w:val="0"/>
        <w:keepLines w:val="0"/>
        <w:pageBreakBefore w:val="0"/>
        <w:kinsoku/>
        <w:autoSpaceDE/>
        <w:autoSpaceDN/>
        <w:bidi w:val="0"/>
        <w:spacing w:line="576"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六</w:t>
      </w:r>
      <w:bookmarkStart w:id="0" w:name="_GoBack"/>
      <w:bookmarkEnd w:id="0"/>
      <w:r>
        <w:rPr>
          <w:rFonts w:hint="eastAsia" w:ascii="楷体_GB2312" w:hAnsi="楷体_GB2312" w:eastAsia="楷体_GB2312" w:cs="楷体_GB2312"/>
          <w:sz w:val="32"/>
          <w:szCs w:val="32"/>
        </w:rPr>
        <w:t>）落实地下水、土壤污染防治措施。</w:t>
      </w:r>
      <w:r>
        <w:rPr>
          <w:rFonts w:ascii="Times New Roman" w:hAnsi="Times New Roman" w:eastAsia="仿宋_GB2312" w:cs="Times New Roman"/>
          <w:sz w:val="32"/>
          <w:szCs w:val="32"/>
        </w:rPr>
        <w:t>严格按照《报告表》要求，采取</w:t>
      </w:r>
      <w:r>
        <w:rPr>
          <w:rFonts w:ascii="仿宋_GB2312" w:hAnsi="仿宋_GB2312" w:eastAsia="仿宋_GB2312" w:cs="仿宋_GB2312"/>
          <w:sz w:val="32"/>
          <w:szCs w:val="32"/>
        </w:rPr>
        <w:t>分区防渗措施，</w:t>
      </w:r>
      <w:r>
        <w:rPr>
          <w:rFonts w:hint="eastAsia" w:ascii="仿宋_GB2312" w:hAnsi="仿宋_GB2312" w:eastAsia="仿宋_GB2312" w:cs="仿宋_GB2312"/>
          <w:color w:val="000000"/>
          <w:kern w:val="18"/>
          <w:sz w:val="32"/>
          <w:szCs w:val="32"/>
        </w:rPr>
        <w:t>对危废暂存间、热处理间、发黑车间、化学试剂库房进行重点防渗，一般固废暂存区进行一般防渗，机加工生产车间及办公生活区等进行简单防渗，防止土壤和地下水环境污染。</w:t>
      </w:r>
    </w:p>
    <w:p>
      <w:pPr>
        <w:pStyle w:val="10"/>
        <w:keepNext w:val="0"/>
        <w:keepLines w:val="0"/>
        <w:pageBreakBefore w:val="0"/>
        <w:kinsoku/>
        <w:autoSpaceDE/>
        <w:autoSpaceDN/>
        <w:bidi w:val="0"/>
        <w:spacing w:line="576" w:lineRule="exact"/>
        <w:ind w:firstLine="640" w:firstLineChars="200"/>
        <w:textAlignment w:val="auto"/>
        <w:rPr>
          <w:rFonts w:ascii="黑体" w:hAnsi="黑体" w:eastAsia="黑体" w:cs="黑体"/>
          <w:bCs/>
          <w:sz w:val="32"/>
          <w:szCs w:val="32"/>
        </w:rPr>
      </w:pPr>
      <w:r>
        <w:rPr>
          <w:rFonts w:hint="eastAsia" w:ascii="黑体" w:hAnsi="黑体" w:eastAsia="黑体" w:cs="黑体"/>
          <w:sz w:val="32"/>
          <w:szCs w:val="32"/>
        </w:rPr>
        <w:t>三、污染物排放总量</w:t>
      </w:r>
    </w:p>
    <w:p>
      <w:pPr>
        <w:keepNext w:val="0"/>
        <w:keepLines w:val="0"/>
        <w:pageBreakBefore w:val="0"/>
        <w:kinsoku/>
        <w:autoSpaceDE/>
        <w:autoSpaceDN/>
        <w:bidi w:val="0"/>
        <w:spacing w:line="576"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根据《报告表》预测，项目建成后</w:t>
      </w:r>
      <w:r>
        <w:rPr>
          <w:rFonts w:ascii="Times New Roman" w:hAnsi="Times New Roman" w:eastAsia="仿宋_GB2312" w:cs="Times New Roman"/>
          <w:sz w:val="32"/>
          <w:szCs w:val="32"/>
        </w:rPr>
        <w:t>主要水污染物排放总量为：</w:t>
      </w:r>
      <w:r>
        <w:rPr>
          <w:rFonts w:ascii="Times New Roman" w:hAnsi="Times New Roman" w:eastAsia="仿宋_GB2312" w:cs="Times New Roman"/>
          <w:bCs/>
          <w:sz w:val="32"/>
          <w:szCs w:val="32"/>
        </w:rPr>
        <w:t>CODcr</w:t>
      </w:r>
      <w:r>
        <w:rPr>
          <w:rFonts w:hint="eastAsia" w:ascii="Times New Roman" w:hAnsi="Times New Roman" w:eastAsia="仿宋_GB2312" w:cs="Times New Roman"/>
          <w:bCs/>
          <w:sz w:val="32"/>
          <w:szCs w:val="32"/>
        </w:rPr>
        <w:t>0.05</w:t>
      </w:r>
      <w:r>
        <w:rPr>
          <w:rFonts w:ascii="Times New Roman" w:hAnsi="Times New Roman" w:eastAsia="仿宋_GB2312" w:cs="Times New Roman"/>
          <w:bCs/>
          <w:sz w:val="32"/>
          <w:szCs w:val="32"/>
        </w:rPr>
        <w:t>t/a、氨氮</w:t>
      </w:r>
      <w:r>
        <w:rPr>
          <w:rFonts w:ascii="Times New Roman" w:hAnsi="Times New Roman" w:eastAsia="仿宋_GB2312" w:cs="Times New Roman"/>
          <w:sz w:val="32"/>
          <w:szCs w:val="32"/>
        </w:rPr>
        <w:t>0.00</w:t>
      </w:r>
      <w:r>
        <w:rPr>
          <w:rFonts w:hint="eastAsia" w:ascii="Times New Roman" w:hAnsi="Times New Roman" w:eastAsia="仿宋_GB2312" w:cs="Times New Roman"/>
          <w:sz w:val="32"/>
          <w:szCs w:val="32"/>
        </w:rPr>
        <w:t>03</w:t>
      </w:r>
      <w:r>
        <w:rPr>
          <w:rFonts w:ascii="Times New Roman" w:hAnsi="Times New Roman" w:eastAsia="仿宋_GB2312" w:cs="Times New Roman"/>
          <w:sz w:val="32"/>
          <w:szCs w:val="32"/>
        </w:rPr>
        <w:t>t/a</w:t>
      </w:r>
      <w:r>
        <w:rPr>
          <w:rFonts w:hint="eastAsia" w:ascii="仿宋_GB2312" w:hAnsi="仿宋_GB2312" w:eastAsia="仿宋_GB2312" w:cs="仿宋_GB2312"/>
          <w:sz w:val="32"/>
          <w:szCs w:val="32"/>
        </w:rPr>
        <w:t>（经工业污水处理厂处理达标后的排放量）。</w:t>
      </w:r>
    </w:p>
    <w:p>
      <w:pPr>
        <w:keepNext w:val="0"/>
        <w:keepLines w:val="0"/>
        <w:pageBreakBefore w:val="0"/>
        <w:kinsoku/>
        <w:overflowPunct/>
        <w:autoSpaceDE/>
        <w:autoSpaceDN/>
        <w:bidi w:val="0"/>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color w:val="000000"/>
          <w:kern w:val="18"/>
          <w:sz w:val="32"/>
          <w:szCs w:val="32"/>
        </w:rPr>
        <w:t>四、排污许可和环保</w:t>
      </w:r>
      <w:r>
        <w:rPr>
          <w:rFonts w:hint="eastAsia" w:ascii="黑体" w:hAnsi="黑体" w:eastAsia="黑体" w:cs="黑体"/>
          <w:sz w:val="32"/>
          <w:szCs w:val="32"/>
        </w:rPr>
        <w:t>验收</w:t>
      </w:r>
    </w:p>
    <w:p>
      <w:pPr>
        <w:keepNext w:val="0"/>
        <w:keepLines w:val="0"/>
        <w:pageBreakBefore w:val="0"/>
        <w:kinsoku/>
        <w:overflowPunct w:val="0"/>
        <w:autoSpaceDE/>
        <w:autoSpaceDN/>
        <w:bidi w:val="0"/>
        <w:snapToGrid w:val="0"/>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建设必须严格执行配套建设的环境保护设施与主体工程同时设计、同时施工、同时投产使用的环境保护“三同时”制度。在发生实际排污行为前，按照国家排污许可有关管理规定要求，依法申领排污许可证或者填报排污登记表。建设项目竣工后，应当按照规定的程序和标准，组织对配套建设的环境保护设施及对策措施进行验收，并依法向社会公开。</w:t>
      </w:r>
    </w:p>
    <w:p>
      <w:pPr>
        <w:keepNext w:val="0"/>
        <w:keepLines w:val="0"/>
        <w:pageBreakBefore w:val="0"/>
        <w:kinsoku/>
        <w:overflowPunct w:val="0"/>
        <w:autoSpaceDE/>
        <w:autoSpaceDN/>
        <w:bidi w:val="0"/>
        <w:snapToGrid w:val="0"/>
        <w:spacing w:line="576" w:lineRule="exact"/>
        <w:ind w:firstLine="640" w:firstLineChars="200"/>
        <w:textAlignment w:val="auto"/>
        <w:rPr>
          <w:rFonts w:ascii="黑体" w:hAnsi="黑体" w:eastAsia="黑体" w:cs="黑体"/>
          <w:color w:val="000000"/>
          <w:kern w:val="18"/>
          <w:sz w:val="32"/>
          <w:szCs w:val="32"/>
        </w:rPr>
      </w:pPr>
      <w:r>
        <w:rPr>
          <w:rFonts w:hint="eastAsia" w:ascii="黑体" w:hAnsi="黑体" w:eastAsia="黑体" w:cs="黑体"/>
          <w:color w:val="000000"/>
          <w:kern w:val="18"/>
          <w:sz w:val="32"/>
          <w:szCs w:val="32"/>
        </w:rPr>
        <w:t>五、其他要求</w:t>
      </w:r>
    </w:p>
    <w:p>
      <w:pPr>
        <w:keepNext w:val="0"/>
        <w:keepLines w:val="0"/>
        <w:pageBreakBefore w:val="0"/>
        <w:kinsoku/>
        <w:overflowPunct w:val="0"/>
        <w:autoSpaceDE/>
        <w:autoSpaceDN/>
        <w:bidi w:val="0"/>
        <w:snapToGrid w:val="0"/>
        <w:spacing w:line="576" w:lineRule="exact"/>
        <w:ind w:firstLine="640" w:firstLineChars="200"/>
        <w:textAlignment w:val="auto"/>
        <w:rPr>
          <w:rFonts w:ascii="仿宋_GB2312" w:hAnsi="仿宋_GB2312" w:eastAsia="仿宋_GB2312" w:cs="仿宋_GB2312"/>
          <w:color w:val="auto"/>
          <w:kern w:val="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color w:val="000000"/>
          <w:kern w:val="18"/>
          <w:sz w:val="32"/>
          <w:szCs w:val="32"/>
        </w:rPr>
        <w:t>一</w:t>
      </w:r>
      <w:r>
        <w:rPr>
          <w:rFonts w:hint="eastAsia" w:ascii="楷体_GB2312" w:hAnsi="楷体_GB2312" w:eastAsia="楷体_GB2312" w:cs="楷体_GB2312"/>
          <w:sz w:val="32"/>
          <w:szCs w:val="32"/>
        </w:rPr>
        <w:t>）</w:t>
      </w:r>
      <w:r>
        <w:rPr>
          <w:rFonts w:hint="eastAsia" w:ascii="仿宋_GB2312" w:hAnsi="仿宋_GB2312" w:eastAsia="仿宋_GB2312" w:cs="仿宋_GB2312"/>
          <w:color w:val="auto"/>
          <w:kern w:val="2"/>
          <w:sz w:val="32"/>
          <w:szCs w:val="32"/>
        </w:rPr>
        <w:t>项目开工建设前，应依法完备其他行政许可手续。</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default" w:ascii="Times New Roman" w:hAnsi="Times New Roman" w:eastAsia="仿宋_GB2312" w:cs="Times New Roman"/>
          <w:spacing w:val="0"/>
          <w:sz w:val="32"/>
          <w:szCs w:val="32"/>
          <w:lang w:eastAsia="zh-CN"/>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项目环境影响评价文件经批准后，如项目的性质、规模、地点、工艺或者防治污染、防止生态破坏的措施发生重大变动，你公司应当重新报批环境影响评价文件，否则不得实施建设。自环</w:t>
      </w:r>
      <w:r>
        <w:rPr>
          <w:rFonts w:ascii="Times New Roman" w:hAnsi="Times New Roman" w:eastAsia="仿宋_GB2312" w:cs="Times New Roman"/>
          <w:sz w:val="32"/>
          <w:szCs w:val="32"/>
        </w:rPr>
        <w:t>境影响评价文件批准之日起，如工程超过5年未开工建设，环境</w:t>
      </w:r>
      <w:r>
        <w:rPr>
          <w:rFonts w:hint="eastAsia" w:ascii="仿宋_GB2312" w:hAnsi="仿宋_GB2312" w:eastAsia="仿宋_GB2312" w:cs="仿宋_GB2312"/>
          <w:sz w:val="32"/>
          <w:szCs w:val="32"/>
        </w:rPr>
        <w:t>影响评价文件应当报我局重新审核。</w:t>
      </w:r>
    </w:p>
    <w:p>
      <w:pPr>
        <w:pStyle w:val="2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p>
    <w:p>
      <w:pPr>
        <w:pStyle w:val="13"/>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4654" w:firstLineChars="1419"/>
        <w:jc w:val="both"/>
        <w:textAlignment w:val="auto"/>
        <w:rPr>
          <w:rFonts w:hint="default" w:ascii="Times New Roman" w:hAnsi="Times New Roman" w:eastAsia="仿宋_GB2312" w:cs="Times New Roman"/>
          <w:color w:val="auto"/>
          <w:spacing w:val="4"/>
          <w:kern w:val="2"/>
          <w:sz w:val="32"/>
          <w:szCs w:val="32"/>
          <w:lang w:val="en-US" w:eastAsia="zh-CN" w:bidi="ar-SA"/>
        </w:rPr>
      </w:pPr>
      <w:r>
        <w:rPr>
          <w:rFonts w:hint="default" w:ascii="Times New Roman" w:hAnsi="Times New Roman" w:eastAsia="仿宋_GB2312" w:cs="Times New Roman"/>
          <w:color w:val="auto"/>
          <w:spacing w:val="4"/>
          <w:kern w:val="2"/>
          <w:sz w:val="32"/>
          <w:szCs w:val="32"/>
          <w:lang w:val="en-US" w:eastAsia="zh-CN" w:bidi="ar-SA"/>
        </w:rPr>
        <w:t>遂宁市大英生态环境局</w:t>
      </w:r>
    </w:p>
    <w:p>
      <w:pPr>
        <w:keepNext w:val="0"/>
        <w:keepLines w:val="0"/>
        <w:pageBreakBefore w:val="0"/>
        <w:widowControl w:val="0"/>
        <w:kinsoku/>
        <w:wordWrap w:val="0"/>
        <w:overflowPunct/>
        <w:topLinePunct w:val="0"/>
        <w:autoSpaceDE/>
        <w:autoSpaceDN/>
        <w:bidi w:val="0"/>
        <w:adjustRightInd/>
        <w:snapToGrid/>
        <w:spacing w:line="500" w:lineRule="exact"/>
        <w:ind w:left="0" w:leftChars="0"/>
        <w:jc w:val="right"/>
        <w:textAlignment w:val="auto"/>
        <w:rPr>
          <w:rFonts w:hint="default"/>
          <w:lang w:val="en-US" w:eastAsia="zh-CN"/>
        </w:rPr>
      </w:pPr>
      <w:r>
        <w:rPr>
          <w:rFonts w:hint="default" w:ascii="Times New Roman" w:hAnsi="Times New Roman" w:eastAsia="仿宋_GB2312" w:cs="Times New Roman"/>
          <w:kern w:val="2"/>
          <w:sz w:val="32"/>
          <w:szCs w:val="32"/>
          <w:lang w:val="en-US" w:eastAsia="zh-CN" w:bidi="ar-SA"/>
        </w:rPr>
        <w:t>2023年</w:t>
      </w:r>
      <w:r>
        <w:rPr>
          <w:rFonts w:hint="eastAsia" w:ascii="Times New Roman" w:hAnsi="Times New Roman" w:eastAsia="仿宋_GB2312" w:cs="Times New Roman"/>
          <w:kern w:val="2"/>
          <w:sz w:val="32"/>
          <w:szCs w:val="32"/>
          <w:lang w:val="en-US" w:eastAsia="zh-CN" w:bidi="ar-SA"/>
        </w:rPr>
        <w:t>12</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13</w:t>
      </w:r>
      <w:r>
        <w:rPr>
          <w:rFonts w:hint="default" w:ascii="Times New Roman" w:hAnsi="Times New Roman" w:eastAsia="仿宋_GB2312" w:cs="Times New Roman"/>
          <w:kern w:val="2"/>
          <w:sz w:val="32"/>
          <w:szCs w:val="32"/>
          <w:lang w:val="en-US" w:eastAsia="zh-CN" w:bidi="ar-SA"/>
        </w:rPr>
        <w:t>日</w:t>
      </w:r>
      <w:r>
        <w:rPr>
          <w:rFonts w:hint="eastAsia" w:ascii="Times New Roman" w:hAnsi="Times New Roman" w:eastAsia="仿宋_GB2312" w:cs="Times New Roman"/>
          <w:kern w:val="2"/>
          <w:sz w:val="32"/>
          <w:szCs w:val="32"/>
          <w:lang w:val="en-US" w:eastAsia="zh-CN" w:bidi="ar-SA"/>
        </w:rPr>
        <w:t xml:space="preserve">        </w:t>
      </w:r>
    </w:p>
    <w:sectPr>
      <w:footerReference r:id="rId4" w:type="default"/>
      <w:pgSz w:w="11906" w:h="16838"/>
      <w:pgMar w:top="2098" w:right="1474" w:bottom="1417"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-124460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keepNext w:val="0"/>
                            <w:keepLines w:val="0"/>
                            <w:pageBreakBefore w:val="0"/>
                            <w:widowControl w:val="0"/>
                            <w:kinsoku/>
                            <w:wordWrap/>
                            <w:overflowPunct/>
                            <w:topLinePunct w:val="0"/>
                            <w:bidi w:val="0"/>
                            <w:adjustRightInd/>
                            <w:snapToGrid w:val="0"/>
                            <w:spacing w:line="60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8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xeVw11gAAAAgBAAAPAAAAAAAAAAEAIAAA&#10;ADgAAABkcnMvZG93bnJldi54bWxQSwECFAAUAAAACACHTuJAa4X5+zECAABhBAAADgAAAAAAAAAB&#10;ACAAAAA7AQAAZHJzL2Uyb0RvYy54bWxQSwUGAAAAAAYABgBZAQAA3gUAAAAA&#10;">
              <v:fill on="f" focussize="0,0"/>
              <v:stroke on="f" weight="0.5pt"/>
              <v:imagedata o:title=""/>
              <o:lock v:ext="edit" aspectratio="f"/>
              <v:textbox inset="0mm,0mm,0mm,0mm" style="mso-fit-shape-to-text:t;">
                <w:txbxContent>
                  <w:p>
                    <w:pPr>
                      <w:pStyle w:val="13"/>
                      <w:keepNext w:val="0"/>
                      <w:keepLines w:val="0"/>
                      <w:pageBreakBefore w:val="0"/>
                      <w:widowControl w:val="0"/>
                      <w:kinsoku/>
                      <w:wordWrap/>
                      <w:overflowPunct/>
                      <w:topLinePunct w:val="0"/>
                      <w:bidi w:val="0"/>
                      <w:adjustRightInd/>
                      <w:snapToGrid w:val="0"/>
                      <w:spacing w:line="60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0200875"/>
    <w:rsid w:val="00951FEE"/>
    <w:rsid w:val="009F3AFC"/>
    <w:rsid w:val="011F28D3"/>
    <w:rsid w:val="01844E19"/>
    <w:rsid w:val="01DD1972"/>
    <w:rsid w:val="01FD40F1"/>
    <w:rsid w:val="02B22144"/>
    <w:rsid w:val="030014CC"/>
    <w:rsid w:val="041E0EAD"/>
    <w:rsid w:val="07445783"/>
    <w:rsid w:val="08076BAC"/>
    <w:rsid w:val="08157D0A"/>
    <w:rsid w:val="082B7D91"/>
    <w:rsid w:val="088675ED"/>
    <w:rsid w:val="089E130F"/>
    <w:rsid w:val="08A70EB9"/>
    <w:rsid w:val="092A1E12"/>
    <w:rsid w:val="094E2162"/>
    <w:rsid w:val="098F0FA5"/>
    <w:rsid w:val="0AE4604C"/>
    <w:rsid w:val="0B327E48"/>
    <w:rsid w:val="0C4C2651"/>
    <w:rsid w:val="0F410220"/>
    <w:rsid w:val="0F5D7B56"/>
    <w:rsid w:val="0FB35FED"/>
    <w:rsid w:val="10632F32"/>
    <w:rsid w:val="108B04C2"/>
    <w:rsid w:val="11553800"/>
    <w:rsid w:val="12011292"/>
    <w:rsid w:val="129F4917"/>
    <w:rsid w:val="13A050E7"/>
    <w:rsid w:val="14741B39"/>
    <w:rsid w:val="14AA3E63"/>
    <w:rsid w:val="15AB60E4"/>
    <w:rsid w:val="15C947BC"/>
    <w:rsid w:val="16243B6E"/>
    <w:rsid w:val="1735378C"/>
    <w:rsid w:val="17586B74"/>
    <w:rsid w:val="1ACF0994"/>
    <w:rsid w:val="1ADB2985"/>
    <w:rsid w:val="1B326960"/>
    <w:rsid w:val="1BCC1635"/>
    <w:rsid w:val="1D04432C"/>
    <w:rsid w:val="1D1F6E89"/>
    <w:rsid w:val="1DC1221D"/>
    <w:rsid w:val="1DEC2C84"/>
    <w:rsid w:val="1E17071F"/>
    <w:rsid w:val="1E29348B"/>
    <w:rsid w:val="1E6609BF"/>
    <w:rsid w:val="1EAC44A7"/>
    <w:rsid w:val="1F8E271B"/>
    <w:rsid w:val="1FC85967"/>
    <w:rsid w:val="203D2D14"/>
    <w:rsid w:val="204F3B10"/>
    <w:rsid w:val="20E64474"/>
    <w:rsid w:val="21413F14"/>
    <w:rsid w:val="21464F13"/>
    <w:rsid w:val="224F429B"/>
    <w:rsid w:val="23631F61"/>
    <w:rsid w:val="23E07BD5"/>
    <w:rsid w:val="251C281B"/>
    <w:rsid w:val="26672398"/>
    <w:rsid w:val="273A436A"/>
    <w:rsid w:val="27E16961"/>
    <w:rsid w:val="290D5E5A"/>
    <w:rsid w:val="29E46919"/>
    <w:rsid w:val="2A1F2C38"/>
    <w:rsid w:val="2A2D6A04"/>
    <w:rsid w:val="2A784B2D"/>
    <w:rsid w:val="2A785045"/>
    <w:rsid w:val="2AAB5339"/>
    <w:rsid w:val="2AC24BA7"/>
    <w:rsid w:val="2B9E2295"/>
    <w:rsid w:val="2CFA5D9C"/>
    <w:rsid w:val="2DC309C3"/>
    <w:rsid w:val="2EFC29C4"/>
    <w:rsid w:val="2F1C72B3"/>
    <w:rsid w:val="310F7B8F"/>
    <w:rsid w:val="31442D31"/>
    <w:rsid w:val="31774C75"/>
    <w:rsid w:val="31F50C2D"/>
    <w:rsid w:val="31FD6612"/>
    <w:rsid w:val="32C1089D"/>
    <w:rsid w:val="34047828"/>
    <w:rsid w:val="344E1C6F"/>
    <w:rsid w:val="34996C6F"/>
    <w:rsid w:val="34A22009"/>
    <w:rsid w:val="354A265C"/>
    <w:rsid w:val="363D60B8"/>
    <w:rsid w:val="37225683"/>
    <w:rsid w:val="372748CB"/>
    <w:rsid w:val="376A1E4F"/>
    <w:rsid w:val="38A178B5"/>
    <w:rsid w:val="38C236CA"/>
    <w:rsid w:val="39116741"/>
    <w:rsid w:val="3965276B"/>
    <w:rsid w:val="3A2A31CC"/>
    <w:rsid w:val="3B313DE1"/>
    <w:rsid w:val="3BD232AA"/>
    <w:rsid w:val="3C1E30AA"/>
    <w:rsid w:val="3C7D32C2"/>
    <w:rsid w:val="3C8A5E5F"/>
    <w:rsid w:val="3E406C06"/>
    <w:rsid w:val="3F47626F"/>
    <w:rsid w:val="40B97948"/>
    <w:rsid w:val="40BF5A1E"/>
    <w:rsid w:val="415844BA"/>
    <w:rsid w:val="41EC74B9"/>
    <w:rsid w:val="42A751E8"/>
    <w:rsid w:val="433E49AD"/>
    <w:rsid w:val="43600B14"/>
    <w:rsid w:val="44000AFA"/>
    <w:rsid w:val="44242A3A"/>
    <w:rsid w:val="46564467"/>
    <w:rsid w:val="47173438"/>
    <w:rsid w:val="486C0E54"/>
    <w:rsid w:val="491F4DFE"/>
    <w:rsid w:val="4944487A"/>
    <w:rsid w:val="4BA71E75"/>
    <w:rsid w:val="4C6267F5"/>
    <w:rsid w:val="4DA81B78"/>
    <w:rsid w:val="4DC16BB8"/>
    <w:rsid w:val="4E4D24B7"/>
    <w:rsid w:val="504C6A58"/>
    <w:rsid w:val="509E5922"/>
    <w:rsid w:val="50A22112"/>
    <w:rsid w:val="50D50B0D"/>
    <w:rsid w:val="518979CC"/>
    <w:rsid w:val="52614E59"/>
    <w:rsid w:val="52A56FED"/>
    <w:rsid w:val="54454557"/>
    <w:rsid w:val="54C73958"/>
    <w:rsid w:val="558A2919"/>
    <w:rsid w:val="55D1023B"/>
    <w:rsid w:val="55E55DA1"/>
    <w:rsid w:val="566A0472"/>
    <w:rsid w:val="56B365F2"/>
    <w:rsid w:val="571C1C97"/>
    <w:rsid w:val="577473DD"/>
    <w:rsid w:val="57EE76DD"/>
    <w:rsid w:val="585711D8"/>
    <w:rsid w:val="58AD279A"/>
    <w:rsid w:val="58C4394C"/>
    <w:rsid w:val="58D418CA"/>
    <w:rsid w:val="59030A18"/>
    <w:rsid w:val="59205D38"/>
    <w:rsid w:val="59C94FB5"/>
    <w:rsid w:val="5A9803FD"/>
    <w:rsid w:val="5C46174B"/>
    <w:rsid w:val="5C781657"/>
    <w:rsid w:val="5CBA1D36"/>
    <w:rsid w:val="5D307EFB"/>
    <w:rsid w:val="5D942597"/>
    <w:rsid w:val="5DCB6DD4"/>
    <w:rsid w:val="5DDD5997"/>
    <w:rsid w:val="5EC51967"/>
    <w:rsid w:val="5EFB1046"/>
    <w:rsid w:val="5F13397F"/>
    <w:rsid w:val="5F304531"/>
    <w:rsid w:val="5F7F5B76"/>
    <w:rsid w:val="5F9E07E1"/>
    <w:rsid w:val="60217911"/>
    <w:rsid w:val="604B33BD"/>
    <w:rsid w:val="60570CFE"/>
    <w:rsid w:val="60B414A2"/>
    <w:rsid w:val="60E60A94"/>
    <w:rsid w:val="61CD7A93"/>
    <w:rsid w:val="61CF012A"/>
    <w:rsid w:val="62BB2173"/>
    <w:rsid w:val="6307250B"/>
    <w:rsid w:val="63133F4E"/>
    <w:rsid w:val="64EF4296"/>
    <w:rsid w:val="670815C7"/>
    <w:rsid w:val="681D537C"/>
    <w:rsid w:val="69966FC3"/>
    <w:rsid w:val="69BE7A7D"/>
    <w:rsid w:val="69CD2D06"/>
    <w:rsid w:val="6A2932E0"/>
    <w:rsid w:val="6A832EF5"/>
    <w:rsid w:val="6AAA7F05"/>
    <w:rsid w:val="6AAE27AE"/>
    <w:rsid w:val="6C846928"/>
    <w:rsid w:val="6D3C5791"/>
    <w:rsid w:val="6DD3694A"/>
    <w:rsid w:val="6E02688E"/>
    <w:rsid w:val="6E550418"/>
    <w:rsid w:val="6E560B0F"/>
    <w:rsid w:val="6EF74724"/>
    <w:rsid w:val="6EFF47BA"/>
    <w:rsid w:val="6F394D3C"/>
    <w:rsid w:val="6F6E3FD1"/>
    <w:rsid w:val="6F705600"/>
    <w:rsid w:val="6FF46C64"/>
    <w:rsid w:val="708C17E3"/>
    <w:rsid w:val="70D24CB2"/>
    <w:rsid w:val="724B2FD5"/>
    <w:rsid w:val="727C1767"/>
    <w:rsid w:val="72B86D8A"/>
    <w:rsid w:val="72C65FB9"/>
    <w:rsid w:val="746F0F41"/>
    <w:rsid w:val="75091655"/>
    <w:rsid w:val="751C3136"/>
    <w:rsid w:val="76150602"/>
    <w:rsid w:val="76FC7D28"/>
    <w:rsid w:val="77992DA9"/>
    <w:rsid w:val="78E7601E"/>
    <w:rsid w:val="78F06C72"/>
    <w:rsid w:val="79C96773"/>
    <w:rsid w:val="7A195E96"/>
    <w:rsid w:val="7B191EC6"/>
    <w:rsid w:val="7C663B77"/>
    <w:rsid w:val="7C7535FD"/>
    <w:rsid w:val="7D1512CD"/>
    <w:rsid w:val="7E17693C"/>
    <w:rsid w:val="7EBC6E92"/>
    <w:rsid w:val="DF7F3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semiHidden/>
    <w:unhideWhenUsed/>
    <w:qFormat/>
    <w:uiPriority w:val="0"/>
    <w:pPr>
      <w:keepNext/>
      <w:keepLines/>
      <w:spacing w:line="560" w:lineRule="exact"/>
      <w:outlineLvl w:val="2"/>
    </w:pPr>
    <w:rPr>
      <w:rFonts w:eastAsia="楷体"/>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34"/>
    <w:pPr>
      <w:ind w:firstLine="420" w:firstLineChars="200"/>
    </w:pPr>
  </w:style>
  <w:style w:type="paragraph" w:styleId="5">
    <w:name w:val="List Number"/>
    <w:basedOn w:val="1"/>
    <w:qFormat/>
    <w:uiPriority w:val="0"/>
    <w:pPr>
      <w:numPr>
        <w:ilvl w:val="0"/>
        <w:numId w:val="1"/>
      </w:numPr>
    </w:pPr>
  </w:style>
  <w:style w:type="paragraph" w:styleId="6">
    <w:name w:val="toa heading"/>
    <w:basedOn w:val="1"/>
    <w:next w:val="1"/>
    <w:qFormat/>
    <w:uiPriority w:val="0"/>
    <w:pPr>
      <w:spacing w:before="120"/>
    </w:pPr>
    <w:rPr>
      <w:rFonts w:ascii="Arial" w:hAnsi="Arial" w:cs="Arial"/>
    </w:rPr>
  </w:style>
  <w:style w:type="paragraph" w:styleId="7">
    <w:name w:val="Body Text"/>
    <w:basedOn w:val="1"/>
    <w:qFormat/>
    <w:uiPriority w:val="0"/>
    <w:pPr>
      <w:ind w:left="120"/>
    </w:pPr>
    <w:rPr>
      <w:rFonts w:ascii="宋体" w:hAnsi="宋体"/>
      <w:sz w:val="32"/>
      <w:szCs w:val="32"/>
    </w:r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eastAsia="宋体" w:cs="Times New Roman"/>
    </w:rPr>
  </w:style>
  <w:style w:type="paragraph" w:styleId="10">
    <w:name w:val="Body Text Indent 2"/>
    <w:basedOn w:val="1"/>
    <w:next w:val="11"/>
    <w:qFormat/>
    <w:uiPriority w:val="0"/>
    <w:pPr>
      <w:adjustRightInd w:val="0"/>
      <w:snapToGrid w:val="0"/>
      <w:spacing w:line="440" w:lineRule="atLeast"/>
      <w:ind w:firstLine="573"/>
    </w:pPr>
    <w:rPr>
      <w:rFonts w:ascii="宋体"/>
    </w:rPr>
  </w:style>
  <w:style w:type="paragraph" w:customStyle="1" w:styleId="11">
    <w:name w:val="简单回函地址"/>
    <w:basedOn w:val="1"/>
    <w:next w:val="12"/>
    <w:qFormat/>
    <w:uiPriority w:val="0"/>
    <w:rPr>
      <w:szCs w:val="20"/>
    </w:rPr>
  </w:style>
  <w:style w:type="paragraph" w:customStyle="1" w:styleId="12">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6"/>
    <w:basedOn w:val="1"/>
    <w:next w:val="1"/>
    <w:qFormat/>
    <w:uiPriority w:val="0"/>
    <w:pPr>
      <w:ind w:left="2100"/>
    </w:pPr>
    <w:rPr>
      <w:rFonts w:ascii="楷体_GB2312" w:hAnsi="Calibri" w:eastAsia="楷体_GB2312"/>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常用样式（方正仿宋简）"/>
    <w:basedOn w:val="22"/>
    <w:next w:val="1"/>
    <w:qFormat/>
    <w:uiPriority w:val="0"/>
    <w:pPr>
      <w:spacing w:line="560" w:lineRule="exact"/>
      <w:ind w:firstLine="640" w:firstLineChars="200"/>
    </w:pPr>
    <w:rPr>
      <w:rFonts w:ascii="Times New Roman" w:hAnsi="Times New Roman" w:eastAsia="方正仿宋简体"/>
      <w:sz w:val="32"/>
    </w:rPr>
  </w:style>
  <w:style w:type="paragraph" w:customStyle="1" w:styleId="22">
    <w:name w:val="正文1"/>
    <w:next w:val="2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正文文本1"/>
    <w:basedOn w:val="22"/>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6">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27">
    <w:name w:val="font21"/>
    <w:basedOn w:val="20"/>
    <w:qFormat/>
    <w:uiPriority w:val="0"/>
    <w:rPr>
      <w:rFonts w:hint="eastAsia" w:ascii="宋体" w:hAnsi="宋体" w:eastAsia="宋体" w:cs="宋体"/>
      <w:color w:val="000000"/>
      <w:sz w:val="20"/>
      <w:szCs w:val="20"/>
      <w:u w:val="none"/>
    </w:rPr>
  </w:style>
  <w:style w:type="paragraph" w:customStyle="1" w:styleId="28">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29">
    <w:name w:val="font71"/>
    <w:basedOn w:val="20"/>
    <w:qFormat/>
    <w:uiPriority w:val="0"/>
    <w:rPr>
      <w:rFonts w:hint="eastAsia" w:ascii="宋体" w:hAnsi="宋体" w:eastAsia="宋体" w:cs="宋体"/>
      <w:color w:val="000000"/>
      <w:sz w:val="22"/>
      <w:szCs w:val="22"/>
      <w:u w:val="none"/>
    </w:rPr>
  </w:style>
  <w:style w:type="paragraph" w:customStyle="1" w:styleId="3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867</Words>
  <Characters>895</Characters>
  <Lines>0</Lines>
  <Paragraphs>0</Paragraphs>
  <TotalTime>14</TotalTime>
  <ScaleCrop>false</ScaleCrop>
  <LinksUpToDate>false</LinksUpToDate>
  <CharactersWithSpaces>904</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2023-01-06T15:22:00Z</dcterms:created>
  <dc:creator>pc</dc:creator>
  <cp:lastModifiedBy>user</cp:lastModifiedBy>
  <cp:lastPrinted>2023-11-01T09:33:00Z</cp:lastPrinted>
  <dcterms:modified xsi:type="dcterms:W3CDTF">2023-12-15T10:26:30Z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9A1576ACBF5010A756B97B65FBE8CBF9</vt:lpwstr>
  </property>
</Properties>
</file>