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
        </w:rPr>
        <w:t>大英县养老服务领域食品安全问题排查分组</w:t>
      </w:r>
    </w:p>
    <w:tbl>
      <w:tblPr>
        <w:tblStyle w:val="11"/>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962"/>
        <w:gridCol w:w="5488"/>
        <w:gridCol w:w="1600"/>
        <w:gridCol w:w="218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3" w:type="pct"/>
            <w:noWrap w:val="0"/>
            <w:vAlign w:val="center"/>
          </w:tcPr>
          <w:p>
            <w:pPr>
              <w:bidi w:val="0"/>
              <w:jc w:val="center"/>
              <w:rPr>
                <w:rFonts w:hint="eastAsia" w:ascii="楷体_GB2312" w:hAnsi="楷体_GB2312" w:eastAsia="楷体_GB2312" w:cs="楷体_GB2312"/>
                <w:b/>
                <w:bCs/>
                <w:sz w:val="24"/>
                <w:szCs w:val="24"/>
                <w:highlight w:val="none"/>
                <w:vertAlign w:val="baseline"/>
                <w:lang w:val="en-US" w:eastAsia="zh-CN"/>
              </w:rPr>
            </w:pPr>
            <w:r>
              <w:rPr>
                <w:rFonts w:hint="eastAsia" w:ascii="楷体_GB2312" w:hAnsi="楷体_GB2312" w:eastAsia="楷体_GB2312" w:cs="楷体_GB2312"/>
                <w:b/>
                <w:bCs/>
                <w:sz w:val="24"/>
                <w:szCs w:val="24"/>
                <w:highlight w:val="none"/>
                <w:vertAlign w:val="baseline"/>
                <w:lang w:val="en-US" w:eastAsia="zh-CN"/>
              </w:rPr>
              <w:t>分组</w:t>
            </w:r>
          </w:p>
        </w:tc>
        <w:tc>
          <w:tcPr>
            <w:tcW w:w="372" w:type="pct"/>
            <w:noWrap w:val="0"/>
            <w:vAlign w:val="center"/>
          </w:tcPr>
          <w:p>
            <w:pPr>
              <w:bidi w:val="0"/>
              <w:jc w:val="center"/>
              <w:rPr>
                <w:rFonts w:hint="eastAsia" w:ascii="楷体_GB2312" w:hAnsi="楷体_GB2312" w:eastAsia="楷体_GB2312" w:cs="楷体_GB2312"/>
                <w:b/>
                <w:bCs/>
                <w:kern w:val="2"/>
                <w:sz w:val="24"/>
                <w:szCs w:val="24"/>
                <w:highlight w:val="none"/>
                <w:vertAlign w:val="baseline"/>
                <w:lang w:val="en-US" w:eastAsia="zh-CN" w:bidi="ar-SA"/>
              </w:rPr>
            </w:pPr>
            <w:r>
              <w:rPr>
                <w:rFonts w:hint="eastAsia" w:ascii="楷体_GB2312" w:hAnsi="楷体_GB2312" w:eastAsia="楷体_GB2312" w:cs="楷体_GB2312"/>
                <w:b/>
                <w:bCs/>
                <w:kern w:val="2"/>
                <w:sz w:val="24"/>
                <w:szCs w:val="24"/>
                <w:highlight w:val="none"/>
                <w:vertAlign w:val="baseline"/>
                <w:lang w:val="en-US" w:eastAsia="zh-CN" w:bidi="ar-SA"/>
              </w:rPr>
              <w:t>组长</w:t>
            </w:r>
          </w:p>
        </w:tc>
        <w:tc>
          <w:tcPr>
            <w:tcW w:w="2126" w:type="pct"/>
            <w:noWrap w:val="0"/>
            <w:vAlign w:val="center"/>
          </w:tcPr>
          <w:p>
            <w:pPr>
              <w:bidi w:val="0"/>
              <w:jc w:val="center"/>
              <w:rPr>
                <w:rFonts w:hint="eastAsia" w:ascii="楷体_GB2312" w:hAnsi="楷体_GB2312" w:eastAsia="楷体_GB2312" w:cs="楷体_GB2312"/>
                <w:b/>
                <w:bCs/>
                <w:kern w:val="2"/>
                <w:sz w:val="24"/>
                <w:szCs w:val="24"/>
                <w:highlight w:val="none"/>
                <w:vertAlign w:val="baseline"/>
                <w:lang w:val="en-US" w:eastAsia="zh-CN" w:bidi="ar-SA"/>
              </w:rPr>
            </w:pPr>
            <w:r>
              <w:rPr>
                <w:rFonts w:hint="eastAsia" w:ascii="楷体_GB2312" w:hAnsi="楷体_GB2312" w:eastAsia="楷体_GB2312" w:cs="楷体_GB2312"/>
                <w:b/>
                <w:bCs/>
                <w:sz w:val="24"/>
                <w:szCs w:val="24"/>
                <w:highlight w:val="none"/>
                <w:vertAlign w:val="baseline"/>
                <w:lang w:val="en-US" w:eastAsia="zh-CN"/>
              </w:rPr>
              <w:t>成    员</w:t>
            </w:r>
          </w:p>
        </w:tc>
        <w:tc>
          <w:tcPr>
            <w:tcW w:w="619" w:type="pct"/>
            <w:noWrap w:val="0"/>
            <w:vAlign w:val="center"/>
          </w:tcPr>
          <w:p>
            <w:pPr>
              <w:bidi w:val="0"/>
              <w:jc w:val="center"/>
              <w:rPr>
                <w:rFonts w:hint="eastAsia" w:ascii="楷体_GB2312" w:hAnsi="楷体_GB2312" w:eastAsia="楷体_GB2312" w:cs="楷体_GB2312"/>
                <w:b/>
                <w:bCs/>
                <w:sz w:val="24"/>
                <w:szCs w:val="24"/>
                <w:highlight w:val="none"/>
                <w:vertAlign w:val="baseline"/>
                <w:lang w:val="en-US" w:eastAsia="zh-CN"/>
              </w:rPr>
            </w:pPr>
            <w:r>
              <w:rPr>
                <w:rFonts w:hint="eastAsia" w:ascii="楷体_GB2312" w:hAnsi="楷体_GB2312" w:eastAsia="楷体_GB2312" w:cs="楷体_GB2312"/>
                <w:b/>
                <w:bCs/>
                <w:sz w:val="24"/>
                <w:szCs w:val="24"/>
                <w:highlight w:val="none"/>
                <w:vertAlign w:val="baseline"/>
                <w:lang w:val="en-US" w:eastAsia="zh-CN"/>
              </w:rPr>
              <w:t>排查时间</w:t>
            </w:r>
          </w:p>
        </w:tc>
        <w:tc>
          <w:tcPr>
            <w:tcW w:w="848" w:type="pct"/>
            <w:noWrap w:val="0"/>
            <w:vAlign w:val="center"/>
          </w:tcPr>
          <w:p>
            <w:pPr>
              <w:bidi w:val="0"/>
              <w:jc w:val="center"/>
              <w:rPr>
                <w:rFonts w:hint="eastAsia" w:ascii="楷体_GB2312" w:hAnsi="楷体_GB2312" w:eastAsia="楷体_GB2312" w:cs="楷体_GB2312"/>
                <w:b/>
                <w:bCs/>
                <w:sz w:val="24"/>
                <w:szCs w:val="24"/>
                <w:highlight w:val="none"/>
                <w:vertAlign w:val="baseline"/>
                <w:lang w:val="en-US" w:eastAsia="zh-CN"/>
              </w:rPr>
            </w:pPr>
            <w:r>
              <w:rPr>
                <w:rFonts w:hint="eastAsia" w:ascii="楷体_GB2312" w:hAnsi="楷体_GB2312" w:eastAsia="楷体_GB2312" w:cs="楷体_GB2312"/>
                <w:b/>
                <w:bCs/>
                <w:sz w:val="24"/>
                <w:szCs w:val="24"/>
                <w:highlight w:val="none"/>
                <w:vertAlign w:val="baseline"/>
                <w:lang w:val="en-US" w:eastAsia="zh-CN"/>
              </w:rPr>
              <w:t>排查机构</w:t>
            </w:r>
          </w:p>
        </w:tc>
        <w:tc>
          <w:tcPr>
            <w:tcW w:w="629" w:type="pct"/>
            <w:noWrap w:val="0"/>
            <w:vAlign w:val="center"/>
          </w:tcPr>
          <w:p>
            <w:pPr>
              <w:bidi w:val="0"/>
              <w:jc w:val="center"/>
              <w:rPr>
                <w:rFonts w:hint="eastAsia" w:ascii="楷体_GB2312" w:hAnsi="楷体_GB2312" w:eastAsia="楷体_GB2312" w:cs="楷体_GB2312"/>
                <w:b/>
                <w:bCs/>
                <w:sz w:val="24"/>
                <w:szCs w:val="24"/>
                <w:highlight w:val="none"/>
                <w:vertAlign w:val="baseline"/>
                <w:lang w:val="en-US" w:eastAsia="zh-CN"/>
              </w:rPr>
            </w:pPr>
            <w:r>
              <w:rPr>
                <w:rFonts w:hint="eastAsia" w:ascii="楷体_GB2312" w:hAnsi="楷体_GB2312" w:eastAsia="楷体_GB2312" w:cs="楷体_GB2312"/>
                <w:b/>
                <w:bCs/>
                <w:sz w:val="24"/>
                <w:szCs w:val="24"/>
                <w:highlight w:val="none"/>
                <w:vertAlign w:val="baseline"/>
                <w:lang w:val="en-US" w:eastAsia="zh-CN"/>
              </w:rPr>
              <w:t>联络员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第一组</w:t>
            </w:r>
          </w:p>
        </w:tc>
        <w:tc>
          <w:tcPr>
            <w:tcW w:w="3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黄  刚</w:t>
            </w:r>
          </w:p>
        </w:tc>
        <w:tc>
          <w:tcPr>
            <w:tcW w:w="212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民政局李晓斌13982507900，黄丽萍13666257237</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蓬莱镇辖区市场监管所陈昌勇13684445172</w:t>
            </w:r>
          </w:p>
        </w:tc>
        <w:tc>
          <w:tcPr>
            <w:tcW w:w="61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9月11日</w:t>
            </w:r>
          </w:p>
        </w:tc>
        <w:tc>
          <w:tcPr>
            <w:tcW w:w="84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蓬莱镇中心敬老院</w:t>
            </w:r>
          </w:p>
        </w:tc>
        <w:tc>
          <w:tcPr>
            <w:tcW w:w="6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李晓斌13982507900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第二组</w:t>
            </w:r>
          </w:p>
        </w:tc>
        <w:tc>
          <w:tcPr>
            <w:tcW w:w="3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唐  建</w:t>
            </w:r>
          </w:p>
        </w:tc>
        <w:tc>
          <w:tcPr>
            <w:tcW w:w="212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民政局李晓斌13982507900，黄丽萍13666257237</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隆盛、回马、金元辖区市场监管所彭明德13508215461</w:t>
            </w:r>
          </w:p>
        </w:tc>
        <w:tc>
          <w:tcPr>
            <w:tcW w:w="61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9月12、13日</w:t>
            </w:r>
          </w:p>
        </w:tc>
        <w:tc>
          <w:tcPr>
            <w:tcW w:w="84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隆盛镇中心敬老院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回马镇中心敬老院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金元镇中心敬老院</w:t>
            </w:r>
          </w:p>
        </w:tc>
        <w:tc>
          <w:tcPr>
            <w:tcW w:w="6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第三组</w:t>
            </w:r>
          </w:p>
        </w:tc>
        <w:tc>
          <w:tcPr>
            <w:tcW w:w="3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廖辉</w:t>
            </w:r>
          </w:p>
        </w:tc>
        <w:tc>
          <w:tcPr>
            <w:tcW w:w="212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民政局李晓斌13982507900，黄丽萍13666257237</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蓬莱镇辖区市场监管所陈昌勇13684445172</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卓筒井、河边、天保辖区市场监管所钱昭乐13547782639</w:t>
            </w:r>
          </w:p>
        </w:tc>
        <w:tc>
          <w:tcPr>
            <w:tcW w:w="61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9月14-19日</w:t>
            </w:r>
          </w:p>
        </w:tc>
        <w:tc>
          <w:tcPr>
            <w:tcW w:w="84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县社会福利中心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康乐养老服务中心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卓筒井镇中心敬老院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河边镇中心敬老院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天保镇中心敬老院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嘉康养老服务中心</w:t>
            </w:r>
          </w:p>
        </w:tc>
        <w:tc>
          <w:tcPr>
            <w:tcW w:w="6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第四组</w:t>
            </w:r>
          </w:p>
        </w:tc>
        <w:tc>
          <w:tcPr>
            <w:tcW w:w="372"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彭秋凤</w:t>
            </w:r>
          </w:p>
        </w:tc>
        <w:tc>
          <w:tcPr>
            <w:tcW w:w="212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民政局李晓斌13982507900，黄丽萍13666257237</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玉峰辖区市场监管所周洪刚13551760496</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盐井街道市场监管辖区所姚昌峰13778726266</w:t>
            </w:r>
          </w:p>
        </w:tc>
        <w:tc>
          <w:tcPr>
            <w:tcW w:w="619"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9月20-26日</w:t>
            </w:r>
          </w:p>
        </w:tc>
        <w:tc>
          <w:tcPr>
            <w:tcW w:w="84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玉峰镇中心敬老院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象山镇中心敬老院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福寿堂老年服务中心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幸福家园养老中心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君珉医院颐寿园</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仁爱养老服务中心</w:t>
            </w:r>
          </w:p>
        </w:tc>
        <w:tc>
          <w:tcPr>
            <w:tcW w:w="6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highlight w:val="yellow"/>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val="en-US" w:eastAsia="zh-CN"/>
        </w:rPr>
        <w:sectPr>
          <w:footerReference r:id="rId3" w:type="default"/>
          <w:pgSz w:w="16838" w:h="11906" w:orient="landscape"/>
          <w:pgMar w:top="1588" w:right="2098" w:bottom="1474" w:left="1984" w:header="851" w:footer="1587" w:gutter="0"/>
          <w:cols w:space="0" w:num="1"/>
          <w:rtlGutter w:val="0"/>
          <w:docGrid w:type="lines" w:linePitch="312" w:charSpace="0"/>
        </w:sectPr>
      </w:pPr>
      <w:r>
        <w:rPr>
          <w:rFonts w:hint="eastAsia" w:ascii="黑体" w:hAnsi="黑体" w:eastAsia="黑体" w:cs="黑体"/>
          <w:sz w:val="28"/>
          <w:szCs w:val="28"/>
          <w:lang w:val="en-US" w:eastAsia="zh-CN"/>
        </w:rPr>
        <w:t>备注：</w:t>
      </w:r>
      <w:r>
        <w:rPr>
          <w:rFonts w:hint="eastAsia" w:ascii="仿宋_GB2312" w:hAnsi="仿宋_GB2312" w:eastAsia="仿宋_GB2312" w:cs="仿宋_GB2312"/>
          <w:sz w:val="28"/>
          <w:szCs w:val="28"/>
          <w:lang w:val="en-US" w:eastAsia="zh-CN"/>
        </w:rPr>
        <w:t>1.排查组统一从县民政局出发，车辆由县民政局保障。2.若时间有变动，请各联络员做好部门之间协调沟通。3.辖区市场监管所人员请各所统筹安排。</w:t>
      </w:r>
    </w:p>
    <w:p>
      <w:pPr>
        <w:pStyle w:val="2"/>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大英县养老服务领域食品安全问题排查清单</w:t>
      </w:r>
    </w:p>
    <w:p>
      <w:pPr>
        <w:pStyle w:val="2"/>
        <w:ind w:left="0" w:leftChars="0" w:firstLine="0" w:firstLineChars="0"/>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color w:val="auto"/>
          <w:sz w:val="32"/>
          <w:szCs w:val="32"/>
          <w:highlight w:val="none"/>
          <w:lang w:val="en-US" w:eastAsia="zh-CN"/>
        </w:rPr>
        <w:t>被检查单位：                                被检查单位负责人签字：</w:t>
      </w:r>
    </w:p>
    <w:tbl>
      <w:tblPr>
        <w:tblStyle w:val="10"/>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5290"/>
        <w:gridCol w:w="5224"/>
        <w:gridCol w:w="801"/>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128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检查项目</w:t>
            </w:r>
          </w:p>
        </w:tc>
        <w:tc>
          <w:tcPr>
            <w:tcW w:w="5290"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对应检查条款及分值</w:t>
            </w:r>
          </w:p>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（单项扣完为止）</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评分标准</w:t>
            </w:r>
          </w:p>
        </w:tc>
        <w:tc>
          <w:tcPr>
            <w:tcW w:w="801" w:type="dxa"/>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扣分</w:t>
            </w:r>
          </w:p>
        </w:tc>
        <w:tc>
          <w:tcPr>
            <w:tcW w:w="2279" w:type="dxa"/>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eastAsia="zh-CN"/>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284" w:type="dxa"/>
            <w:vMerge w:val="restart"/>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一、公示情况</w:t>
            </w:r>
          </w:p>
        </w:tc>
        <w:tc>
          <w:tcPr>
            <w:tcW w:w="5290" w:type="dxa"/>
            <w:vMerge w:val="restart"/>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依法取得相应许可方能生产经营，并持续符合许可条件，得1分，否则相应扣分；在经营场所显著位置公示证照、风险等级、监督检查记录，得0.5分，否则相应扣分。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查看是否在店内显著位置悬挂营业执照</w:t>
            </w:r>
            <w:r>
              <w:rPr>
                <w:rFonts w:hint="eastAsia" w:ascii="仿宋_GB2312" w:hAnsi="仿宋_GB2312" w:eastAsia="仿宋_GB2312" w:cs="仿宋_GB2312"/>
                <w:color w:val="auto"/>
                <w:sz w:val="24"/>
                <w:szCs w:val="24"/>
                <w:highlight w:val="none"/>
                <w:lang w:eastAsia="zh-CN"/>
              </w:rPr>
              <w:t>（组织机构代码证）</w:t>
            </w:r>
            <w:r>
              <w:rPr>
                <w:rFonts w:hint="eastAsia" w:ascii="仿宋_GB2312" w:hAnsi="仿宋_GB2312" w:eastAsia="仿宋_GB2312" w:cs="仿宋_GB2312"/>
                <w:color w:val="auto"/>
                <w:sz w:val="24"/>
                <w:szCs w:val="24"/>
                <w:highlight w:val="none"/>
              </w:rPr>
              <w:t>和食品经营许可证，未见扣0.1分。</w:t>
            </w:r>
            <w:r>
              <w:rPr>
                <w:rFonts w:hint="eastAsia" w:ascii="仿宋_GB2312" w:hAnsi="仿宋_GB2312" w:eastAsia="仿宋_GB2312" w:cs="仿宋_GB2312"/>
                <w:color w:val="auto"/>
                <w:kern w:val="2"/>
                <w:sz w:val="24"/>
                <w:szCs w:val="24"/>
                <w:highlight w:val="none"/>
                <w:lang w:val="en-US" w:eastAsia="zh-CN" w:bidi="ar-SA"/>
              </w:rPr>
              <w:t>查看许可证，发现超范围经营，扣0.2分。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根据监管部门对企业风险等级的评定级别，查看最近一次检查记录是否公示，未公示，扣0.1分</w:t>
            </w:r>
            <w:r>
              <w:rPr>
                <w:rFonts w:hint="eastAsia" w:ascii="仿宋_GB2312" w:hAnsi="仿宋_GB2312" w:eastAsia="仿宋_GB2312" w:cs="仿宋_GB2312"/>
                <w:color w:val="auto"/>
                <w:sz w:val="24"/>
                <w:szCs w:val="24"/>
                <w:highlight w:val="none"/>
                <w:lang w:eastAsia="zh-CN"/>
              </w:rPr>
              <w:t>，未对上次发现问题完成整改的，扣</w:t>
            </w:r>
            <w:r>
              <w:rPr>
                <w:rFonts w:hint="eastAsia" w:ascii="仿宋_GB2312" w:hAnsi="仿宋_GB2312" w:eastAsia="仿宋_GB2312" w:cs="仿宋_GB2312"/>
                <w:color w:val="auto"/>
                <w:sz w:val="24"/>
                <w:szCs w:val="24"/>
                <w:highlight w:val="none"/>
                <w:lang w:val="en-US" w:eastAsia="zh-CN"/>
              </w:rPr>
              <w:t>0.2分</w:t>
            </w:r>
            <w:r>
              <w:rPr>
                <w:rFonts w:hint="eastAsia" w:ascii="仿宋_GB2312" w:hAnsi="仿宋_GB2312" w:eastAsia="仿宋_GB2312" w:cs="仿宋_GB2312"/>
                <w:color w:val="auto"/>
                <w:sz w:val="24"/>
                <w:szCs w:val="24"/>
                <w:highlight w:val="none"/>
              </w:rPr>
              <w:t>。</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28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二、资料记录</w:t>
            </w:r>
          </w:p>
        </w:tc>
        <w:tc>
          <w:tcPr>
            <w:tcW w:w="5290" w:type="dxa"/>
            <w:vMerge w:val="restart"/>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立并实施食品质量安全管理制度，设置食品质量安全管理岗位（含食品安全总监、食品安全员），加大食品质量安全管理投入，得1分，否则相应扣分；定期开展食品安全自查，自查报告率和发现问题整改率达到100%，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查看制度文件，核查食品安全管理制度是否齐全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是否有相应制度实施记录，食品安全管理制度缺少3项以上，或未有实施记录，扣0.2分。注:制度包括原料控制、餐用具清洗消毒、餐饮服务过程控制、从业人员健康管理、从业人员培训</w:t>
            </w:r>
            <w:r>
              <w:rPr>
                <w:rFonts w:hint="eastAsia" w:ascii="仿宋_GB2312" w:hAnsi="仿宋_GB2312" w:eastAsia="仿宋_GB2312" w:cs="仿宋_GB2312"/>
                <w:color w:val="auto"/>
                <w:sz w:val="24"/>
                <w:szCs w:val="24"/>
                <w:highlight w:val="none"/>
                <w:lang w:eastAsia="zh-CN"/>
              </w:rPr>
              <w:t>考核</w:t>
            </w:r>
            <w:r>
              <w:rPr>
                <w:rFonts w:hint="eastAsia" w:ascii="仿宋_GB2312" w:hAnsi="仿宋_GB2312" w:eastAsia="仿宋_GB2312" w:cs="仿宋_GB2312"/>
                <w:color w:val="auto"/>
                <w:sz w:val="24"/>
                <w:szCs w:val="24"/>
                <w:highlight w:val="none"/>
              </w:rPr>
              <w:t>、食品安全自查、进货查验和记录、食品留样、场所及设施设备清洗消毒和维修保养、食品安全信息追溯、投诉处理等保证食品安全的规章制度，并制定食品安全突发事件应急处置方案。</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284" w:type="dxa"/>
            <w:vMerge w:val="restart"/>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二、资料记录</w:t>
            </w: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查看自查自评材料，逐项核对自查计划(包括频次、项目，涵盖采购、生产、储藏和销售等经营全过程)、自查实施、自查汇总等记录、问题整改措施、整改</w:t>
            </w:r>
            <w:r>
              <w:rPr>
                <w:rFonts w:hint="eastAsia" w:ascii="仿宋_GB2312" w:hAnsi="仿宋_GB2312" w:eastAsia="仿宋_GB2312" w:cs="仿宋_GB2312"/>
                <w:color w:val="auto"/>
                <w:sz w:val="24"/>
                <w:szCs w:val="24"/>
                <w:highlight w:val="none"/>
                <w:lang w:eastAsia="zh-CN"/>
              </w:rPr>
              <w:t>复核</w:t>
            </w:r>
            <w:r>
              <w:rPr>
                <w:rFonts w:hint="eastAsia" w:ascii="仿宋_GB2312" w:hAnsi="仿宋_GB2312" w:eastAsia="仿宋_GB2312" w:cs="仿宋_GB2312"/>
                <w:color w:val="auto"/>
                <w:sz w:val="24"/>
                <w:szCs w:val="24"/>
                <w:highlight w:val="none"/>
              </w:rPr>
              <w:t>、重大风险紧急处置方案、自查报告、自查档案管理，若未开展自查，扣0.1分；自查无问题，扣0.1分；检查发现的问题未查找原因或未严格落实整改措施，扣0.1分。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restart"/>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严格执行餐饮服务食品安全操作规范，</w:t>
            </w:r>
            <w:r>
              <w:rPr>
                <w:rFonts w:hint="eastAsia" w:ascii="仿宋_GB2312" w:hAnsi="仿宋_GB2312" w:eastAsia="仿宋_GB2312" w:cs="仿宋_GB2312"/>
                <w:color w:val="auto"/>
                <w:sz w:val="24"/>
                <w:szCs w:val="24"/>
                <w:highlight w:val="none"/>
                <w:lang w:eastAsia="zh-CN"/>
              </w:rPr>
              <w:t>操作加工</w:t>
            </w:r>
            <w:r>
              <w:rPr>
                <w:rFonts w:hint="eastAsia" w:ascii="仿宋_GB2312" w:hAnsi="仿宋_GB2312" w:eastAsia="仿宋_GB2312" w:cs="仿宋_GB2312"/>
                <w:color w:val="auto"/>
                <w:sz w:val="24"/>
                <w:szCs w:val="24"/>
                <w:highlight w:val="none"/>
              </w:rPr>
              <w:t>过程、场所环境、人员管理等符合相关规定，做好餐厨废弃物分类处置，得2分，否则相应扣分；规范经营行为，落实反食品浪费要求，提倡低碳绿色、营养健康餐饮方式，得0.5分，否则相应扣分。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查看餐厨垃圾处置机构资质，双方签订协议及餐厨废弃物处置台账。若未实现餐厨垃圾集中收集处置的，扣0.1分。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将珍惜粮食、反对浪费纳入从业人员培训</w:t>
            </w:r>
            <w:r>
              <w:rPr>
                <w:rFonts w:hint="eastAsia" w:ascii="仿宋_GB2312" w:hAnsi="仿宋_GB2312" w:eastAsia="仿宋_GB2312" w:cs="仿宋_GB2312"/>
                <w:color w:val="auto"/>
                <w:sz w:val="24"/>
                <w:szCs w:val="24"/>
                <w:highlight w:val="none"/>
                <w:lang w:eastAsia="zh-CN"/>
              </w:rPr>
              <w:t>考核</w:t>
            </w:r>
            <w:r>
              <w:rPr>
                <w:rFonts w:hint="eastAsia" w:ascii="仿宋_GB2312" w:hAnsi="仿宋_GB2312" w:eastAsia="仿宋_GB2312" w:cs="仿宋_GB2312"/>
                <w:color w:val="auto"/>
                <w:sz w:val="24"/>
                <w:szCs w:val="24"/>
                <w:highlight w:val="none"/>
              </w:rPr>
              <w:t>内容，</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建立健全食品安全追溯体系，确保记录真实完善，产品来源可查，去向可追，得1分，否则相应扣分。</w:t>
            </w: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查验食品原料、食品添加剂、食品相关产品供货者的许可证等资质证明文件、产品合格证明文件或检验记录，未能提供相关材料，扣0.2分，不完整扣0.1分。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84" w:type="dxa"/>
            <w:vMerge w:val="restart"/>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三、餐厅场所</w:t>
            </w:r>
          </w:p>
        </w:tc>
        <w:tc>
          <w:tcPr>
            <w:tcW w:w="5290" w:type="dxa"/>
            <w:vMerge w:val="restart"/>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严格执行餐饮服务食品安全操作规范，</w:t>
            </w:r>
            <w:r>
              <w:rPr>
                <w:rFonts w:hint="eastAsia" w:ascii="仿宋_GB2312" w:hAnsi="仿宋_GB2312" w:eastAsia="仿宋_GB2312" w:cs="仿宋_GB2312"/>
                <w:color w:val="auto"/>
                <w:sz w:val="24"/>
                <w:szCs w:val="24"/>
                <w:highlight w:val="none"/>
                <w:lang w:eastAsia="zh-CN"/>
              </w:rPr>
              <w:t>操作加工</w:t>
            </w:r>
            <w:r>
              <w:rPr>
                <w:rFonts w:hint="eastAsia" w:ascii="仿宋_GB2312" w:hAnsi="仿宋_GB2312" w:eastAsia="仿宋_GB2312" w:cs="仿宋_GB2312"/>
                <w:color w:val="auto"/>
                <w:sz w:val="24"/>
                <w:szCs w:val="24"/>
                <w:highlight w:val="none"/>
              </w:rPr>
              <w:t>过程、场所环境、人员管理等符合相关规定，做好餐厨废弃物分类处置，得2分，否则相应扣分；规范经营行为，落实反食品浪费要求，提倡低碳绿色、营养健康餐饮方式，得0.5分，否则相应扣分。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w:t>
            </w:r>
            <w:r>
              <w:rPr>
                <w:rFonts w:hint="eastAsia" w:ascii="仿宋_GB2312" w:hAnsi="仿宋_GB2312" w:eastAsia="仿宋_GB2312" w:cs="仿宋_GB2312"/>
                <w:color w:val="auto"/>
                <w:sz w:val="24"/>
                <w:szCs w:val="24"/>
                <w:highlight w:val="none"/>
                <w:lang w:eastAsia="zh-CN"/>
              </w:rPr>
              <w:t>就餐场所等处</w:t>
            </w:r>
            <w:r>
              <w:rPr>
                <w:rFonts w:hint="eastAsia" w:ascii="仿宋_GB2312" w:hAnsi="仿宋_GB2312" w:eastAsia="仿宋_GB2312" w:cs="仿宋_GB2312"/>
                <w:color w:val="auto"/>
                <w:sz w:val="24"/>
                <w:szCs w:val="24"/>
                <w:highlight w:val="none"/>
              </w:rPr>
              <w:t>是否有野生动物、江鲜等相关菜品的宣传广告，</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w:t>
            </w:r>
            <w:r>
              <w:rPr>
                <w:rFonts w:hint="eastAsia" w:ascii="仿宋_GB2312" w:hAnsi="仿宋_GB2312" w:eastAsia="仿宋_GB2312" w:cs="仿宋_GB2312"/>
                <w:color w:val="auto"/>
                <w:sz w:val="24"/>
                <w:szCs w:val="24"/>
                <w:highlight w:val="none"/>
                <w:lang w:eastAsia="zh-CN"/>
              </w:rPr>
              <w:t>就餐区</w:t>
            </w:r>
            <w:r>
              <w:rPr>
                <w:rFonts w:hint="eastAsia" w:ascii="仿宋_GB2312" w:hAnsi="仿宋_GB2312" w:eastAsia="仿宋_GB2312" w:cs="仿宋_GB2312"/>
                <w:color w:val="auto"/>
                <w:sz w:val="24"/>
                <w:szCs w:val="24"/>
                <w:highlight w:val="none"/>
              </w:rPr>
              <w:t>醒目处(如墙壁、菜单)是否有反食品浪费宣传标语，是否主动进行制止食品浪费提示提醒，</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扣0.2分。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查看就餐区域地面、桌面、毛巾是否清洁无污垢，区域内是否无蚊虫鼠迹，否则扣0.1分。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采用集中消毒餐饮具的，查看餐饮具塑封膜是否干净完整，不完整扣0.2分；餐饮具塑封膜干净完整的、查看塑封膜上是否标注消毒单位名称、地址、联系方式、消毒日期以及使用期限等内容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未标注或标注的使用期限过期的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84" w:type="dxa"/>
            <w:vMerge w:val="restart"/>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四、后厨场所</w:t>
            </w:r>
          </w:p>
        </w:tc>
        <w:tc>
          <w:tcPr>
            <w:tcW w:w="5290" w:type="dxa"/>
            <w:vMerge w:val="restart"/>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严格执行餐饮服务食品安全操作规范，</w:t>
            </w:r>
            <w:r>
              <w:rPr>
                <w:rFonts w:hint="eastAsia" w:ascii="仿宋_GB2312" w:hAnsi="仿宋_GB2312" w:eastAsia="仿宋_GB2312" w:cs="仿宋_GB2312"/>
                <w:color w:val="auto"/>
                <w:sz w:val="24"/>
                <w:szCs w:val="24"/>
                <w:highlight w:val="none"/>
                <w:lang w:eastAsia="zh-CN"/>
              </w:rPr>
              <w:t>操作加工</w:t>
            </w:r>
            <w:r>
              <w:rPr>
                <w:rFonts w:hint="eastAsia" w:ascii="仿宋_GB2312" w:hAnsi="仿宋_GB2312" w:eastAsia="仿宋_GB2312" w:cs="仿宋_GB2312"/>
                <w:color w:val="auto"/>
                <w:sz w:val="24"/>
                <w:szCs w:val="24"/>
                <w:highlight w:val="none"/>
              </w:rPr>
              <w:t>过程、场所环境、人员管理等符合相关规定，做好餐厨废弃物分类处置，得2分，否则相应扣分；规范经营行为，落实反食品浪费要求，提倡低碳绿色、营养健康餐饮方式，得0.5分，否则相应扣分。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检查食品处理区面积、功能区是否与经营相适应，是否有相适应的消毒、通风、保洁、带盖餐厨垃圾桶等设施设备，否则扣0.1分。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检查食品加工环境是否存在地面积水严重，墙面、天花板破损霉斑等现象，是否有蚊蝇鼠等有害生物迹象，存在上述问题，扣0.1分。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现场查看设施设备维护运行情况，若未正常运行或达不到效果，扣0.1分。注:(1)采用热力消毒法的查看是否配备消毒设施，是否达到消毒温度及时间(如煮沸、蒸汽消毒要求100℃ 10min 以上；红外消毒柜应符合说明书要求，一般开启 10min 以上，采用热力消毒洗碗机应符合说明书要求。(2)采用化学消毒法要查看消毒剂配制浓度、消毒记录、消毒水池、消毒水更换时限等消毒配置方法。使用集中消毒餐具的，需要提供集中消毒服务单位资质(营业执照)、消毒合格证明文件等材料。</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查看后厨各类水池是否明显标识标明用途，用于食品原料、半成品、成品的容器和工具未分开放置和使用，食品生熟混放、食品与有毒化学品混放、食品存储不当等现象，</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查看卫生间是否设置洗手设备、保持良好通风，并定期清扫、检查，否则扣0.1分。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检查清洗消毒后餐具是否干净，不干净扣0.1分。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冷食类、生食类、裱花蛋糕类等，应设置而未设置专间，扣0.1分。（部分冷食类如现榨果蔬汁、果蔬拼盘等加工制作或仅加工制作植物性冷食类食品，对预包装食品进行拆封、装盘、调味等可以在专用操作区进行加工）</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查看冷食类、生食类、裱花蛋糕等专间环境，专间内或入口处是否配备专用的</w:t>
            </w:r>
            <w:r>
              <w:rPr>
                <w:rFonts w:hint="eastAsia" w:ascii="仿宋_GB2312" w:hAnsi="仿宋_GB2312" w:eastAsia="仿宋_GB2312" w:cs="仿宋_GB2312"/>
                <w:color w:val="auto"/>
                <w:sz w:val="24"/>
                <w:szCs w:val="24"/>
                <w:highlight w:val="none"/>
                <w:lang w:eastAsia="zh-CN"/>
              </w:rPr>
              <w:t>洗手、</w:t>
            </w:r>
            <w:r>
              <w:rPr>
                <w:rFonts w:hint="eastAsia" w:ascii="仿宋_GB2312" w:hAnsi="仿宋_GB2312" w:eastAsia="仿宋_GB2312" w:cs="仿宋_GB2312"/>
                <w:color w:val="auto"/>
                <w:sz w:val="24"/>
                <w:szCs w:val="24"/>
                <w:highlight w:val="none"/>
              </w:rPr>
              <w:t>消毒、更衣</w:t>
            </w:r>
            <w:r>
              <w:rPr>
                <w:rFonts w:hint="eastAsia" w:ascii="仿宋_GB2312" w:hAnsi="仿宋_GB2312" w:eastAsia="仿宋_GB2312" w:cs="仿宋_GB2312"/>
                <w:color w:val="auto"/>
                <w:sz w:val="24"/>
                <w:szCs w:val="24"/>
                <w:highlight w:val="none"/>
                <w:lang w:eastAsia="zh-CN"/>
              </w:rPr>
              <w:t>紫外线等设施。用于食品贮存的</w:t>
            </w:r>
            <w:r>
              <w:rPr>
                <w:rFonts w:hint="eastAsia" w:ascii="仿宋_GB2312" w:hAnsi="仿宋_GB2312" w:eastAsia="仿宋_GB2312" w:cs="仿宋_GB2312"/>
                <w:color w:val="auto"/>
                <w:sz w:val="24"/>
                <w:szCs w:val="24"/>
                <w:highlight w:val="none"/>
              </w:rPr>
              <w:t>冷藏、冷冻等设施，是否运转正常</w:t>
            </w:r>
            <w:r>
              <w:rPr>
                <w:rFonts w:hint="eastAsia" w:ascii="仿宋_GB2312" w:hAnsi="仿宋_GB2312" w:eastAsia="仿宋_GB2312" w:cs="仿宋_GB2312"/>
                <w:color w:val="auto"/>
                <w:sz w:val="24"/>
                <w:szCs w:val="24"/>
                <w:highlight w:val="none"/>
                <w:lang w:eastAsia="zh-CN"/>
              </w:rPr>
              <w:t>，是否有相应的</w:t>
            </w:r>
            <w:r>
              <w:rPr>
                <w:rFonts w:hint="eastAsia" w:ascii="仿宋_GB2312" w:hAnsi="仿宋_GB2312" w:eastAsia="仿宋_GB2312" w:cs="仿宋_GB2312"/>
                <w:color w:val="auto"/>
                <w:sz w:val="24"/>
                <w:szCs w:val="24"/>
                <w:highlight w:val="none"/>
              </w:rPr>
              <w:t>温度</w:t>
            </w:r>
            <w:r>
              <w:rPr>
                <w:rFonts w:hint="eastAsia" w:ascii="仿宋_GB2312" w:hAnsi="仿宋_GB2312" w:eastAsia="仿宋_GB2312" w:cs="仿宋_GB2312"/>
                <w:color w:val="auto"/>
                <w:sz w:val="24"/>
                <w:szCs w:val="24"/>
                <w:highlight w:val="none"/>
                <w:lang w:eastAsia="zh-CN"/>
              </w:rPr>
              <w:t>显示，且符合食材标明的贮存条件</w:t>
            </w:r>
            <w:r>
              <w:rPr>
                <w:rFonts w:hint="eastAsia" w:ascii="仿宋_GB2312" w:hAnsi="仿宋_GB2312" w:eastAsia="仿宋_GB2312" w:cs="仿宋_GB2312"/>
                <w:color w:val="auto"/>
                <w:sz w:val="24"/>
                <w:szCs w:val="24"/>
                <w:highlight w:val="none"/>
              </w:rPr>
              <w:t>，净水设施设备</w:t>
            </w:r>
            <w:r>
              <w:rPr>
                <w:rFonts w:hint="eastAsia" w:ascii="仿宋_GB2312" w:hAnsi="仿宋_GB2312" w:eastAsia="仿宋_GB2312" w:cs="仿宋_GB2312"/>
                <w:color w:val="auto"/>
                <w:sz w:val="24"/>
                <w:szCs w:val="24"/>
                <w:highlight w:val="none"/>
                <w:lang w:eastAsia="zh-CN"/>
              </w:rPr>
              <w:t>是否按说明进行维保清洁，若不符合，</w:t>
            </w:r>
            <w:r>
              <w:rPr>
                <w:rFonts w:hint="eastAsia" w:ascii="仿宋_GB2312" w:hAnsi="仿宋_GB2312" w:eastAsia="仿宋_GB2312" w:cs="仿宋_GB2312"/>
                <w:color w:val="auto"/>
                <w:sz w:val="24"/>
                <w:szCs w:val="24"/>
                <w:highlight w:val="none"/>
              </w:rPr>
              <w:t>扣0.</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查验食品原料，是否有变质、生虫、超过保质期的食品，有证据表明用于食品加工的非食品原料，</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扣0.2分。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查看从业人员是否着工作服、个人卫生状况、专间和专用操作区内从业人员操作时是否规范佩戴口罩、食品处理区内从业人员有无佩戴外露首饰、加工制作过程是否规范，若存在问题，扣0.1分。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间、专用操作区专用工作服与其他区域工作服的外观有无明显区分，进入专间和存放在专用操作区的食品应为直接入口食品，不应在专间或者专用操作区内从事应在其他食品处理区进行或者可能污染食品的活动。未达到要求，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检查贮存食品的容器是否清洗消毒干净</w:t>
            </w:r>
            <w:r>
              <w:rPr>
                <w:rFonts w:hint="eastAsia" w:ascii="仿宋_GB2312" w:hAnsi="仿宋_GB2312" w:eastAsia="仿宋_GB2312" w:cs="仿宋_GB2312"/>
                <w:color w:val="auto"/>
                <w:sz w:val="24"/>
                <w:szCs w:val="24"/>
                <w:highlight w:val="none"/>
                <w:lang w:eastAsia="zh-CN"/>
              </w:rPr>
              <w:t>、调料盒是否带盖</w:t>
            </w:r>
            <w:r>
              <w:rPr>
                <w:rFonts w:hint="eastAsia" w:ascii="仿宋_GB2312" w:hAnsi="仿宋_GB2312" w:eastAsia="仿宋_GB2312" w:cs="仿宋_GB2312"/>
                <w:color w:val="auto"/>
                <w:sz w:val="24"/>
                <w:szCs w:val="24"/>
                <w:highlight w:val="none"/>
              </w:rPr>
              <w:t>，否则扣 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查看留样是否规范:要求留样量不少于 125g,专用容器,专人管理，在专用冷藏设备中冷藏存放 48小时以上，做好留样标识及记录。对比留样记录和冰箱中的留样实物，查看留样品种是否齐全，若食物留样不符合规范或记录不全，扣0.2分。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28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五、人员抽查</w:t>
            </w:r>
          </w:p>
        </w:tc>
        <w:tc>
          <w:tcPr>
            <w:tcW w:w="5290"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严格执行餐饮服务食品安全操作规范，</w:t>
            </w:r>
            <w:r>
              <w:rPr>
                <w:rFonts w:hint="eastAsia" w:ascii="仿宋_GB2312" w:hAnsi="仿宋_GB2312" w:eastAsia="仿宋_GB2312" w:cs="仿宋_GB2312"/>
                <w:color w:val="auto"/>
                <w:sz w:val="24"/>
                <w:szCs w:val="24"/>
                <w:highlight w:val="none"/>
                <w:lang w:eastAsia="zh-CN"/>
              </w:rPr>
              <w:t>操作加工</w:t>
            </w:r>
            <w:r>
              <w:rPr>
                <w:rFonts w:hint="eastAsia" w:ascii="仿宋_GB2312" w:hAnsi="仿宋_GB2312" w:eastAsia="仿宋_GB2312" w:cs="仿宋_GB2312"/>
                <w:color w:val="auto"/>
                <w:sz w:val="24"/>
                <w:szCs w:val="24"/>
                <w:highlight w:val="none"/>
              </w:rPr>
              <w:t>过程、场所环境、人员管理等符合相关规定，做好餐厨废弃物分类处置，得2分，否则相应扣分；规范经营行为，落实反食品浪费要求，提倡低碳绿色、营养健康餐饮方式，得0.5分，否则相应扣分。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查看人员名录，随机抽取从事切菜、配菜、</w:t>
            </w:r>
            <w:r>
              <w:rPr>
                <w:rFonts w:hint="eastAsia" w:ascii="仿宋_GB2312" w:hAnsi="仿宋_GB2312" w:eastAsia="仿宋_GB2312" w:cs="仿宋_GB2312"/>
                <w:color w:val="auto"/>
                <w:sz w:val="24"/>
                <w:szCs w:val="24"/>
                <w:highlight w:val="none"/>
                <w:lang w:val="en-US" w:eastAsia="zh-CN"/>
              </w:rPr>
              <w:t>烹饪</w:t>
            </w:r>
            <w:r>
              <w:rPr>
                <w:rFonts w:hint="eastAsia" w:ascii="仿宋_GB2312" w:hAnsi="仿宋_GB2312" w:eastAsia="仿宋_GB2312" w:cs="仿宋_GB2312"/>
                <w:color w:val="auto"/>
                <w:sz w:val="24"/>
                <w:szCs w:val="24"/>
                <w:highlight w:val="none"/>
              </w:rPr>
              <w:t>、传菜、餐用具清洗消毒等接触直接入口食品工作人员，不能提供有效健康证明，每1人扣0.2分，最多扣0.6分。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8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六、示范引领</w:t>
            </w:r>
          </w:p>
        </w:tc>
        <w:tc>
          <w:tcPr>
            <w:tcW w:w="5290" w:type="dxa"/>
            <w:shd w:val="clear" w:color="auto" w:fill="auto"/>
            <w:vAlign w:val="center"/>
          </w:tcPr>
          <w:p>
            <w:pPr>
              <w:pStyle w:val="4"/>
              <w:pageBreakBefore w:val="0"/>
              <w:suppressAutoHyphens/>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color w:val="auto"/>
                <w:kern w:val="0"/>
                <w:sz w:val="24"/>
                <w:szCs w:val="24"/>
                <w:highlight w:val="none"/>
                <w:lang w:bidi="en-US"/>
              </w:rPr>
              <w:t>配备食品安全管理人员，完善食品安全管理制度，压实食品生产经营者主体责任；建立健全分层分级、层级对应的包保工作机制，压实食品安全属地管理责任。</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查看建立并落实食品安全责任制的佐证材料,随机抽查企业日管控、周排查、月调度记录:</w:t>
            </w:r>
          </w:p>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①未按照《企业落实食品安全主体责任监督管理规定》要求配备食品安全总监、食品安全员等食品安全管理人员，每发现1家，扣0.2分;</w:t>
            </w:r>
          </w:p>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②未制定《食品安全总监职责》《食品安全员守则》，扣0.2分;</w:t>
            </w:r>
          </w:p>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③未落实日管控、周排查、月调度工作机制，扣0.2分;</w:t>
            </w:r>
          </w:p>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④未按要求对食品安全总监、食品安全员进行培训考核，扣0.2分。</w:t>
            </w:r>
          </w:p>
          <w:p>
            <w:pPr>
              <w:pStyle w:val="2"/>
              <w:ind w:left="0" w:leftChars="0" w:firstLine="0" w:firstLineChars="0"/>
              <w:rPr>
                <w:rFonts w:hint="default" w:eastAsia="宋体"/>
                <w:lang w:val="en-US" w:eastAsia="zh-CN"/>
              </w:rPr>
            </w:pPr>
            <w:r>
              <w:rPr>
                <w:rFonts w:hint="eastAsia" w:ascii="仿宋_GB2312" w:hAnsi="仿宋_GB2312" w:eastAsia="仿宋_GB2312" w:cs="仿宋_GB2312"/>
                <w:color w:val="auto"/>
                <w:kern w:val="2"/>
                <w:sz w:val="24"/>
                <w:szCs w:val="24"/>
                <w:highlight w:val="none"/>
                <w:lang w:val="en-US" w:eastAsia="zh-CN" w:bidi="ar-SA"/>
              </w:rPr>
              <w:t>⑤是否认真开展日管控、周排查、月调度并进行记录，视情形扣0.1-0.5分。</w:t>
            </w:r>
          </w:p>
          <w:p>
            <w:pPr>
              <w:pStyle w:val="2"/>
              <w:pageBreakBefore w:val="0"/>
              <w:kinsoku/>
              <w:wordWrap/>
              <w:overflowPunct/>
              <w:topLinePunct w:val="0"/>
              <w:autoSpaceDE/>
              <w:autoSpaceDN/>
              <w:bidi w:val="0"/>
              <w:adjustRightInd/>
              <w:snapToGrid/>
              <w:spacing w:line="300" w:lineRule="exact"/>
              <w:ind w:left="0" w:leftChars="0" w:firstLine="0" w:firstLineChars="0"/>
              <w:textAlignment w:val="auto"/>
              <w:rPr>
                <w:rFonts w:hint="eastAsia" w:ascii="仿宋_GB2312" w:hAnsi="仿宋_GB2312" w:eastAsia="仿宋_GB2312" w:cs="仿宋_GB2312"/>
                <w:color w:val="auto"/>
                <w:sz w:val="24"/>
                <w:szCs w:val="24"/>
                <w:highlight w:val="none"/>
              </w:rPr>
            </w:pP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bl>
    <w:tbl>
      <w:tblPr>
        <w:tblStyle w:val="11"/>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4"/>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heme="minorBidi"/>
                <w:color w:val="auto"/>
                <w:sz w:val="24"/>
                <w:szCs w:val="24"/>
                <w:highlight w:val="none"/>
              </w:rPr>
            </w:pPr>
            <w:r>
              <w:rPr>
                <w:rFonts w:ascii="Times New Roman" w:hAnsi="Times New Roman" w:eastAsia="方正仿宋简体" w:cs="仿宋_GB2312"/>
                <w:color w:val="auto"/>
                <w:sz w:val="24"/>
                <w:szCs w:val="24"/>
                <w:highlight w:val="none"/>
              </w:rPr>
              <w:t>合计扣分</w:t>
            </w:r>
          </w:p>
        </w:tc>
        <w:tc>
          <w:tcPr>
            <w:tcW w:w="307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heme="minorBidi"/>
                <w:color w:val="auto"/>
                <w:sz w:val="24"/>
                <w:szCs w:val="24"/>
                <w:highlight w:val="none"/>
              </w:rPr>
            </w:pPr>
          </w:p>
        </w:tc>
      </w:tr>
    </w:tbl>
    <w:p>
      <w:pPr>
        <w:pStyle w:val="2"/>
        <w:ind w:left="0" w:leftChars="0" w:firstLine="0" w:firstLineChars="0"/>
        <w:rPr>
          <w:rFonts w:hint="eastAsia" w:ascii="黑体" w:hAnsi="黑体" w:eastAsia="方正黑体简体" w:cs="仿宋_GB2312"/>
          <w:color w:val="auto"/>
          <w:sz w:val="28"/>
          <w:szCs w:val="28"/>
          <w:highlight w:val="none"/>
        </w:rPr>
      </w:pPr>
    </w:p>
    <w:p>
      <w:pPr>
        <w:rPr>
          <w:rFonts w:hint="eastAsia" w:ascii="黑体" w:hAnsi="黑体" w:eastAsia="黑体" w:cs="黑体"/>
          <w:sz w:val="32"/>
          <w:szCs w:val="32"/>
          <w:lang w:val="en-US" w:eastAsia="zh-CN"/>
        </w:rPr>
      </w:pPr>
      <w:r>
        <w:rPr>
          <w:rFonts w:hint="eastAsia" w:ascii="黑体" w:hAnsi="黑体" w:eastAsia="方正黑体简体" w:cs="仿宋_GB2312"/>
          <w:color w:val="auto"/>
          <w:sz w:val="28"/>
          <w:szCs w:val="28"/>
          <w:highlight w:val="none"/>
        </w:rPr>
        <w:t>检查人员</w:t>
      </w:r>
      <w:r>
        <w:rPr>
          <w:rFonts w:hint="eastAsia" w:ascii="黑体" w:hAnsi="黑体" w:eastAsia="方正黑体简体" w:cs="仿宋_GB2312"/>
          <w:color w:val="auto"/>
          <w:sz w:val="28"/>
          <w:szCs w:val="28"/>
          <w:highlight w:val="none"/>
          <w:lang w:eastAsia="zh-CN"/>
        </w:rPr>
        <w:t>签字</w:t>
      </w:r>
      <w:r>
        <w:rPr>
          <w:rFonts w:hint="eastAsia" w:ascii="黑体" w:hAnsi="黑体" w:eastAsia="方正黑体简体" w:cs="仿宋_GB2312"/>
          <w:color w:val="auto"/>
          <w:sz w:val="28"/>
          <w:szCs w:val="28"/>
          <w:highlight w:val="none"/>
        </w:rPr>
        <w:t>：</w:t>
      </w:r>
      <w:r>
        <w:rPr>
          <w:rFonts w:hint="eastAsia" w:ascii="黑体" w:hAnsi="黑体" w:eastAsia="方正黑体简体" w:cs="仿宋_GB2312"/>
          <w:color w:val="auto"/>
          <w:sz w:val="28"/>
          <w:szCs w:val="28"/>
          <w:highlight w:val="none"/>
          <w:u w:val="single"/>
        </w:rPr>
        <w:t xml:space="preserve">                                   </w:t>
      </w:r>
      <w:r>
        <w:rPr>
          <w:rFonts w:hint="eastAsia" w:ascii="黑体" w:hAnsi="黑体" w:eastAsia="方正黑体简体" w:cs="仿宋_GB2312"/>
          <w:color w:val="auto"/>
          <w:sz w:val="28"/>
          <w:szCs w:val="28"/>
          <w:highlight w:val="none"/>
        </w:rPr>
        <w:t xml:space="preserve">      </w:t>
      </w:r>
      <w:r>
        <w:rPr>
          <w:rFonts w:hint="eastAsia" w:ascii="黑体" w:hAnsi="黑体" w:eastAsia="方正黑体简体" w:cs="仿宋_GB2312"/>
          <w:color w:val="auto"/>
          <w:sz w:val="28"/>
          <w:szCs w:val="28"/>
          <w:highlight w:val="none"/>
          <w:lang w:val="en-US" w:eastAsia="zh-CN"/>
        </w:rPr>
        <w:t xml:space="preserve">  </w:t>
      </w:r>
      <w:r>
        <w:rPr>
          <w:rFonts w:hint="eastAsia" w:ascii="黑体" w:hAnsi="黑体" w:eastAsia="方正黑体简体" w:cs="仿宋_GB2312"/>
          <w:color w:val="auto"/>
          <w:sz w:val="28"/>
          <w:szCs w:val="28"/>
          <w:highlight w:val="none"/>
        </w:rPr>
        <w:t xml:space="preserve">   检查时间：</w:t>
      </w:r>
      <w:r>
        <w:rPr>
          <w:rFonts w:hint="eastAsia" w:ascii="黑体" w:hAnsi="黑体" w:eastAsia="方正黑体简体" w:cs="仿宋_GB2312"/>
          <w:color w:val="auto"/>
          <w:sz w:val="28"/>
          <w:szCs w:val="28"/>
          <w:highlight w:val="none"/>
          <w:u w:val="single"/>
        </w:rPr>
        <w:t xml:space="preserve">                       </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pStyle w:val="2"/>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10"/>
        <w:tblW w:w="531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949"/>
        <w:gridCol w:w="1044"/>
        <w:gridCol w:w="1090"/>
        <w:gridCol w:w="1701"/>
        <w:gridCol w:w="1338"/>
        <w:gridCol w:w="1559"/>
        <w:gridCol w:w="1344"/>
        <w:gridCol w:w="1006"/>
        <w:gridCol w:w="1302"/>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4727" w:type="pct"/>
            <w:gridSpan w:val="11"/>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大英县养老服务领域食品安全问题及整改台账</w:t>
            </w: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隐患类别（行业）</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隐患所在地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时间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机构</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名称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具体问题</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整改措施</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整改时限</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整改单位及责任人</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是否完成整改</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回头看工作复核人</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食品安全</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p>
    <w:p>
      <w:pPr>
        <w:rPr>
          <w:rFonts w:hint="eastAsia" w:ascii="黑体" w:hAnsi="黑体" w:eastAsia="黑体" w:cs="黑体"/>
          <w:sz w:val="32"/>
          <w:szCs w:val="32"/>
          <w:lang w:val="en-US" w:eastAsia="zh-CN"/>
        </w:rPr>
        <w:sectPr>
          <w:pgSz w:w="16838" w:h="11906" w:orient="landscape"/>
          <w:pgMar w:top="1588" w:right="2098" w:bottom="1474" w:left="1814" w:header="851" w:footer="1361" w:gutter="0"/>
          <w:cols w:space="720" w:num="1"/>
          <w:docGrid w:type="lines" w:linePitch="312" w:charSpace="0"/>
        </w:sectPr>
      </w:pPr>
      <w:r>
        <w:rPr>
          <w:rFonts w:hint="eastAsia" w:ascii="黑体" w:hAnsi="黑体" w:eastAsia="黑体" w:cs="黑体"/>
          <w:sz w:val="32"/>
          <w:szCs w:val="32"/>
          <w:lang w:val="en-US" w:eastAsia="zh-CN"/>
        </w:rPr>
        <w:br w:type="page"/>
      </w:r>
    </w:p>
    <w:p>
      <w:pPr>
        <w:pStyle w:val="2"/>
        <w:ind w:left="0" w:leftChars="0" w:firstLine="0" w:firstLineChars="0"/>
        <w:rPr>
          <w:rFonts w:hint="eastAsia" w:ascii="方正小标宋简体" w:hAnsi="方正小标宋简体" w:eastAsia="方正小标宋简体" w:cs="方正小标宋简体"/>
          <w:sz w:val="44"/>
          <w:szCs w:val="44"/>
          <w:u w:val="single"/>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cs="Times New Roman"/>
          <w:bCs/>
          <w:color w:val="000000"/>
          <w:kern w:val="2"/>
          <w:sz w:val="32"/>
          <w:szCs w:val="32"/>
          <w:lang w:val="en-US" w:eastAsia="zh-CN" w:bidi="ar-SA"/>
        </w:rPr>
        <w:t>4</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隐患整改</w:t>
      </w:r>
      <w:r>
        <w:rPr>
          <w:rFonts w:hint="eastAsia" w:ascii="方正小标宋简体" w:hAnsi="方正小标宋简体" w:eastAsia="方正小标宋简体" w:cs="方正小标宋简体"/>
          <w:sz w:val="44"/>
          <w:szCs w:val="44"/>
          <w:lang w:eastAsia="zh-CN"/>
        </w:rPr>
        <w:t>情况</w:t>
      </w:r>
      <w:r>
        <w:rPr>
          <w:rFonts w:hint="eastAsia" w:ascii="方正小标宋简体" w:hAnsi="方正小标宋简体" w:eastAsia="方正小标宋简体" w:cs="方正小标宋简体"/>
          <w:sz w:val="44"/>
          <w:szCs w:val="44"/>
        </w:rPr>
        <w:t>登记表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2400"/>
        <w:gridCol w:w="212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247" w:type="pct"/>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隐患问题描述</w:t>
            </w:r>
          </w:p>
        </w:tc>
        <w:tc>
          <w:tcPr>
            <w:tcW w:w="3752" w:type="pct"/>
            <w:gridSpan w:val="3"/>
            <w:vAlign w:val="center"/>
          </w:tcPr>
          <w:p>
            <w:pPr>
              <w:jc w:val="both"/>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4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8"/>
                <w:szCs w:val="28"/>
                <w:vertAlign w:val="baseline"/>
                <w:lang w:eastAsia="zh-CN"/>
              </w:rPr>
            </w:pPr>
            <w:r>
              <w:rPr>
                <w:rFonts w:hint="eastAsia"/>
                <w:sz w:val="28"/>
                <w:szCs w:val="28"/>
                <w:vertAlign w:val="baseline"/>
                <w:lang w:eastAsia="zh-CN"/>
              </w:rPr>
              <w:t>交办或发现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eastAsia="zh-CN"/>
              </w:rPr>
              <w:t>隐患时间</w:t>
            </w:r>
          </w:p>
        </w:tc>
        <w:tc>
          <w:tcPr>
            <w:tcW w:w="132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 xml:space="preserve">    年  月  日</w:t>
            </w: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8"/>
                <w:szCs w:val="28"/>
                <w:vertAlign w:val="baseline"/>
                <w:lang w:eastAsia="zh-CN"/>
              </w:rPr>
            </w:pPr>
            <w:r>
              <w:rPr>
                <w:rFonts w:hint="eastAsia"/>
                <w:sz w:val="28"/>
                <w:szCs w:val="28"/>
                <w:vertAlign w:val="baseline"/>
                <w:lang w:eastAsia="zh-CN"/>
              </w:rPr>
              <w:t>整改完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sz w:val="28"/>
                <w:szCs w:val="28"/>
                <w:vertAlign w:val="baseline"/>
                <w:lang w:eastAsia="zh-CN"/>
              </w:rPr>
            </w:pPr>
            <w:r>
              <w:rPr>
                <w:rFonts w:hint="eastAsia"/>
                <w:sz w:val="28"/>
                <w:szCs w:val="28"/>
                <w:vertAlign w:val="baseline"/>
                <w:lang w:eastAsia="zh-CN"/>
              </w:rPr>
              <w:t>成时间</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1247" w:type="pct"/>
            <w:vAlign w:val="center"/>
          </w:tcPr>
          <w:p>
            <w:pPr>
              <w:jc w:val="center"/>
              <w:rPr>
                <w:rFonts w:hint="eastAsia"/>
                <w:sz w:val="28"/>
                <w:szCs w:val="28"/>
                <w:vertAlign w:val="baseline"/>
                <w:lang w:eastAsia="zh-CN"/>
              </w:rPr>
            </w:pPr>
            <w:r>
              <w:rPr>
                <w:rFonts w:hint="eastAsia"/>
                <w:sz w:val="28"/>
                <w:szCs w:val="28"/>
                <w:vertAlign w:val="baseline"/>
                <w:lang w:eastAsia="zh-CN"/>
              </w:rPr>
              <w:t>隐患整改</w:t>
            </w:r>
          </w:p>
          <w:p>
            <w:pPr>
              <w:jc w:val="center"/>
              <w:rPr>
                <w:rFonts w:hint="eastAsia" w:eastAsiaTheme="minorEastAsia"/>
                <w:sz w:val="28"/>
                <w:szCs w:val="28"/>
                <w:vertAlign w:val="baseline"/>
                <w:lang w:eastAsia="zh-CN"/>
              </w:rPr>
            </w:pPr>
            <w:r>
              <w:rPr>
                <w:rFonts w:hint="eastAsia"/>
                <w:sz w:val="28"/>
                <w:szCs w:val="28"/>
                <w:vertAlign w:val="baseline"/>
                <w:lang w:eastAsia="zh-CN"/>
              </w:rPr>
              <w:t>前</w:t>
            </w:r>
            <w:r>
              <w:rPr>
                <w:rFonts w:hint="eastAsia"/>
                <w:sz w:val="28"/>
                <w:szCs w:val="28"/>
                <w:vertAlign w:val="baseline"/>
                <w:lang w:val="en-US" w:eastAsia="zh-CN"/>
              </w:rPr>
              <w:t xml:space="preserve"> </w:t>
            </w:r>
            <w:r>
              <w:rPr>
                <w:rFonts w:hint="eastAsia"/>
                <w:sz w:val="28"/>
                <w:szCs w:val="28"/>
                <w:vertAlign w:val="baseline"/>
                <w:lang w:eastAsia="zh-CN"/>
              </w:rPr>
              <w:t>照</w:t>
            </w:r>
            <w:r>
              <w:rPr>
                <w:rFonts w:hint="eastAsia"/>
                <w:sz w:val="28"/>
                <w:szCs w:val="28"/>
                <w:vertAlign w:val="baseline"/>
                <w:lang w:val="en-US" w:eastAsia="zh-CN"/>
              </w:rPr>
              <w:t xml:space="preserve"> </w:t>
            </w:r>
            <w:r>
              <w:rPr>
                <w:rFonts w:hint="eastAsia"/>
                <w:sz w:val="28"/>
                <w:szCs w:val="28"/>
                <w:vertAlign w:val="baseline"/>
                <w:lang w:eastAsia="zh-CN"/>
              </w:rPr>
              <w:t>片</w:t>
            </w:r>
          </w:p>
        </w:tc>
        <w:tc>
          <w:tcPr>
            <w:tcW w:w="3752" w:type="pct"/>
            <w:gridSpan w:val="3"/>
          </w:tcPr>
          <w:p>
            <w:pPr>
              <w:rPr>
                <w:rFonts w:hint="eastAsia"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trPr>
        <w:tc>
          <w:tcPr>
            <w:tcW w:w="1247" w:type="pct"/>
            <w:vAlign w:val="center"/>
          </w:tcPr>
          <w:p>
            <w:pPr>
              <w:jc w:val="center"/>
              <w:rPr>
                <w:rFonts w:hint="eastAsia"/>
                <w:sz w:val="28"/>
                <w:szCs w:val="28"/>
                <w:vertAlign w:val="baseline"/>
                <w:lang w:eastAsia="zh-CN"/>
              </w:rPr>
            </w:pPr>
            <w:r>
              <w:rPr>
                <w:rFonts w:hint="eastAsia"/>
                <w:sz w:val="28"/>
                <w:szCs w:val="28"/>
                <w:vertAlign w:val="baseline"/>
                <w:lang w:eastAsia="zh-CN"/>
              </w:rPr>
              <w:t>隐患整改</w:t>
            </w:r>
          </w:p>
          <w:p>
            <w:pPr>
              <w:jc w:val="center"/>
              <w:rPr>
                <w:rFonts w:hint="eastAsia"/>
                <w:sz w:val="28"/>
                <w:szCs w:val="28"/>
                <w:vertAlign w:val="baseline"/>
              </w:rPr>
            </w:pPr>
            <w:r>
              <w:rPr>
                <w:rFonts w:hint="eastAsia"/>
                <w:sz w:val="28"/>
                <w:szCs w:val="28"/>
                <w:vertAlign w:val="baseline"/>
                <w:lang w:eastAsia="zh-CN"/>
              </w:rPr>
              <w:t>后</w:t>
            </w:r>
            <w:r>
              <w:rPr>
                <w:rFonts w:hint="eastAsia"/>
                <w:sz w:val="28"/>
                <w:szCs w:val="28"/>
                <w:vertAlign w:val="baseline"/>
                <w:lang w:val="en-US" w:eastAsia="zh-CN"/>
              </w:rPr>
              <w:t xml:space="preserve"> </w:t>
            </w:r>
            <w:r>
              <w:rPr>
                <w:rFonts w:hint="eastAsia"/>
                <w:sz w:val="28"/>
                <w:szCs w:val="28"/>
                <w:vertAlign w:val="baseline"/>
                <w:lang w:eastAsia="zh-CN"/>
              </w:rPr>
              <w:t>照</w:t>
            </w:r>
            <w:r>
              <w:rPr>
                <w:rFonts w:hint="eastAsia"/>
                <w:sz w:val="28"/>
                <w:szCs w:val="28"/>
                <w:vertAlign w:val="baseline"/>
                <w:lang w:val="en-US" w:eastAsia="zh-CN"/>
              </w:rPr>
              <w:t xml:space="preserve"> </w:t>
            </w:r>
            <w:r>
              <w:rPr>
                <w:rFonts w:hint="eastAsia"/>
                <w:sz w:val="28"/>
                <w:szCs w:val="28"/>
                <w:vertAlign w:val="baseline"/>
                <w:lang w:eastAsia="zh-CN"/>
              </w:rPr>
              <w:t>片</w:t>
            </w:r>
          </w:p>
        </w:tc>
        <w:tc>
          <w:tcPr>
            <w:tcW w:w="3752" w:type="pct"/>
            <w:gridSpan w:val="3"/>
          </w:tcPr>
          <w:p>
            <w:pPr>
              <w:rPr>
                <w:rFonts w:hint="eastAsia" w:eastAsiaTheme="minorEastAsia"/>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备注：此表由被检查单位填写，可自行附页，彩色打印盖章上报存档备查。</w:t>
      </w:r>
    </w:p>
    <w:p>
      <w:pPr>
        <w:pStyle w:val="5"/>
        <w:widowControl w:val="0"/>
        <w:numPr>
          <w:ilvl w:val="0"/>
          <w:numId w:val="0"/>
        </w:numPr>
        <w:jc w:val="both"/>
        <w:rPr>
          <w:rFonts w:hint="eastAsia" w:ascii="仿宋_GB2312" w:hAnsi="仿宋_GB2312" w:eastAsia="仿宋_GB2312" w:cs="仿宋_GB2312"/>
          <w:kern w:val="2"/>
          <w:sz w:val="32"/>
          <w:szCs w:val="32"/>
          <w:lang w:val="en-US" w:eastAsia="zh-CN" w:bidi="ar-SA"/>
        </w:rPr>
      </w:pPr>
    </w:p>
    <w:p>
      <w:pPr>
        <w:jc w:val="both"/>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26035</wp:posOffset>
                </wp:positionV>
                <wp:extent cx="561594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0"/>
                        </a:xfrm>
                        <a:prstGeom prst="straightConnector1">
                          <a:avLst/>
                        </a:prstGeom>
                        <a:ln w="444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95pt;margin-top:2.05pt;height:0pt;width:442.2pt;z-index:251659264;mso-width-relative:page;mso-height-relative:page;" filled="f" stroked="t" coordsize="21600,21600" o:gfxdata="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FcHY1QAAAAYBAAAPAAAAAAAAAAEAIAAAACIAAABkcnMvZG93&#10;bnJldi54bWxQSwECFAAUAAAACACHTuJA1+QnRAMCAAD6AwAADgAAAAAAAAABACAAAAAkAQAAZHJz&#10;L2Uyb0RvYy54bWxQSwUGAAAAAAYABgBZAQAAmQUAAAAA&#10;">
                <v:fill on="f" focussize="0,0"/>
                <v:stroke weight="0.35pt" color="#000000" joinstyle="round"/>
                <v:imagedata o:title=""/>
                <o:lock v:ext="edit" aspectratio="f"/>
              </v:shape>
            </w:pict>
          </mc:Fallback>
        </mc:AlternateContent>
      </w: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408940</wp:posOffset>
                </wp:positionV>
                <wp:extent cx="561594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15940" cy="0"/>
                        </a:xfrm>
                        <a:prstGeom prst="straightConnector1">
                          <a:avLst/>
                        </a:prstGeom>
                        <a:ln w="444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95pt;margin-top:32.2pt;height:0pt;width:442.2pt;z-index:251660288;mso-width-relative:page;mso-height-relative:page;" filled="f" stroked="t" coordsize="21600,21600" o:gfxdata="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lmcKNgAAAAIAQAADwAAAAAAAAABACAAAAAiAAAAZHJzL2Rv&#10;d25yZXYueG1sUEsBAhQAFAAAAAgAh07iQK35R6wBAgAA+gMAAA4AAAAAAAAAAQAgAAAAJwEAAGRy&#10;cy9lMm9Eb2MueG1sUEsFBgAAAAAGAAYAWQEAAJoFAAAAAA==&#10;">
                <v:fill on="f" focussize="0,0"/>
                <v:stroke weight="0.35pt" color="#000000" joinstyle="round"/>
                <v:imagedata o:title=""/>
                <o:lock v:ext="edit" aspectratio="f"/>
              </v:shape>
            </w:pict>
          </mc:Fallback>
        </mc:AlternateContent>
      </w:r>
      <w:r>
        <w:rPr>
          <w:rFonts w:hint="eastAsia" w:ascii="仿宋_GB2312" w:hAnsi="仿宋_GB2312" w:eastAsia="仿宋_GB2312" w:cs="仿宋_GB2312"/>
          <w:color w:val="000000"/>
          <w:sz w:val="28"/>
          <w:szCs w:val="28"/>
          <w:lang w:eastAsia="zh-CN"/>
        </w:rPr>
        <w:t>大英县民政局</w:t>
      </w:r>
      <w:r>
        <w:rPr>
          <w:rFonts w:hint="eastAsia" w:ascii="仿宋_GB2312" w:hAnsi="仿宋_GB2312" w:eastAsia="仿宋_GB2312" w:cs="仿宋_GB2312"/>
          <w:sz w:val="28"/>
          <w:szCs w:val="28"/>
          <w:lang w:val="en-US" w:eastAsia="zh-CN"/>
        </w:rPr>
        <w:t>办公室</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Times New Roman" w:hAnsi="Times New Roman" w:eastAsia="仿宋_GB2312" w:cs="Times New Roman"/>
          <w:color w:val="auto"/>
          <w:sz w:val="28"/>
          <w:szCs w:val="28"/>
          <w:lang w:val="en-US" w:eastAsia="zh-CN"/>
        </w:rPr>
        <w:t>202</w:t>
      </w:r>
      <w:r>
        <w:rPr>
          <w:rFonts w:hint="eastAsia" w:ascii="Times New Roman" w:hAnsi="Times New Roman" w:cs="Times New Roman"/>
          <w:color w:val="auto"/>
          <w:sz w:val="28"/>
          <w:szCs w:val="28"/>
          <w:lang w:val="en-US" w:eastAsia="zh-CN"/>
        </w:rPr>
        <w:t>3</w:t>
      </w:r>
      <w:r>
        <w:rPr>
          <w:rFonts w:hint="eastAsia" w:ascii="Times New Roman" w:hAnsi="Times New Roman" w:eastAsia="仿宋_GB2312" w:cs="Times New Roman"/>
          <w:color w:val="auto"/>
          <w:sz w:val="28"/>
          <w:szCs w:val="28"/>
          <w:lang w:val="en-US" w:eastAsia="zh-CN"/>
        </w:rPr>
        <w:t>年9月</w:t>
      </w:r>
      <w:r>
        <w:rPr>
          <w:rFonts w:hint="eastAsia" w:ascii="Times New Roman" w:hAnsi="Times New Roman" w:cs="Times New Roman"/>
          <w:color w:val="auto"/>
          <w:sz w:val="28"/>
          <w:szCs w:val="28"/>
          <w:lang w:val="en-US" w:eastAsia="zh-CN"/>
        </w:rPr>
        <w:t>12</w:t>
      </w:r>
      <w:r>
        <w:rPr>
          <w:rFonts w:hint="eastAsia" w:ascii="仿宋_GB2312" w:hAnsi="仿宋_GB2312" w:eastAsia="仿宋_GB2312" w:cs="仿宋_GB2312"/>
          <w:color w:val="000000"/>
          <w:sz w:val="28"/>
          <w:szCs w:val="28"/>
        </w:rPr>
        <w:t>日印发</w:t>
      </w:r>
    </w:p>
    <w:p>
      <w:pPr>
        <w:pStyle w:val="2"/>
        <w:keepNext w:val="0"/>
        <w:keepLines w:val="0"/>
        <w:pageBreakBefore w:val="0"/>
        <w:widowControl w:val="0"/>
        <w:kinsoku/>
        <w:wordWrap/>
        <w:overflowPunct/>
        <w:topLinePunct w:val="0"/>
        <w:autoSpaceDE/>
        <w:autoSpaceDN/>
        <w:bidi w:val="0"/>
        <w:adjustRightInd/>
        <w:snapToGrid/>
        <w:spacing w:line="20" w:lineRule="exact"/>
        <w:ind w:firstLine="420"/>
        <w:textAlignment w:val="auto"/>
      </w:pPr>
    </w:p>
    <w:sectPr>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3000509000000000000"/>
    <w:charset w:val="86"/>
    <w:family w:val="script"/>
    <w:pitch w:val="default"/>
    <w:sig w:usb0="00000000" w:usb1="00000000" w:usb2="0000001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315" w:leftChars="150" w:right="315" w:rightChars="150"/>
      <w:rPr>
        <w:rStyle w:val="13"/>
        <w:rFonts w:ascii="宋体" w:hAnsi="宋体"/>
        <w:sz w:val="28"/>
        <w:szCs w:val="28"/>
      </w:rPr>
    </w:pPr>
    <w:r>
      <w:rPr>
        <w:rStyle w:val="13"/>
        <w:rFonts w:hint="eastAsia" w:ascii="宋体" w:hAnsi="宋体"/>
        <w:sz w:val="28"/>
        <w:szCs w:val="28"/>
      </w:rPr>
      <w:t xml:space="preserve">— </w:t>
    </w:r>
    <w:r>
      <w:rPr>
        <w:rStyle w:val="13"/>
        <w:rFonts w:hint="default" w:ascii="Times New Roman" w:hAnsi="Times New Roman" w:cs="Times New Roman"/>
        <w:sz w:val="28"/>
        <w:szCs w:val="28"/>
      </w:rPr>
      <w:fldChar w:fldCharType="begin"/>
    </w:r>
    <w:r>
      <w:rPr>
        <w:rStyle w:val="13"/>
        <w:rFonts w:hint="default" w:ascii="Times New Roman" w:hAnsi="Times New Roman" w:cs="Times New Roman"/>
        <w:sz w:val="28"/>
        <w:szCs w:val="28"/>
      </w:rPr>
      <w:instrText xml:space="preserve">PAGE  </w:instrText>
    </w:r>
    <w:r>
      <w:rPr>
        <w:rStyle w:val="13"/>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1</w:t>
    </w:r>
    <w:r>
      <w:rPr>
        <w:rStyle w:val="13"/>
        <w:rFonts w:hint="default" w:ascii="Times New Roman" w:hAnsi="Times New Roman" w:cs="Times New Roman"/>
        <w:sz w:val="28"/>
        <w:szCs w:val="28"/>
      </w:rPr>
      <w:fldChar w:fldCharType="end"/>
    </w:r>
    <w:r>
      <w:rPr>
        <w:rStyle w:val="13"/>
        <w:rFonts w:hint="eastAsia" w:ascii="宋体" w:hAnsi="宋体"/>
        <w:sz w:val="28"/>
        <w:szCs w:val="28"/>
      </w:rPr>
      <w:t xml:space="preserve"> —</w:t>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D0175"/>
    <w:multiLevelType w:val="singleLevel"/>
    <w:tmpl w:val="496D0175"/>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TI3Njg2ZTIxOTcyNTE2MDkzMDY0YmU4YmE2ZDYifQ=="/>
  </w:docVars>
  <w:rsids>
    <w:rsidRoot w:val="2D100117"/>
    <w:rsid w:val="019127B6"/>
    <w:rsid w:val="01EA0118"/>
    <w:rsid w:val="03135296"/>
    <w:rsid w:val="038F4AD6"/>
    <w:rsid w:val="048440E8"/>
    <w:rsid w:val="05137F5A"/>
    <w:rsid w:val="05E4547A"/>
    <w:rsid w:val="07494305"/>
    <w:rsid w:val="0A706648"/>
    <w:rsid w:val="0AA21128"/>
    <w:rsid w:val="0ADE7FCB"/>
    <w:rsid w:val="0B855BC0"/>
    <w:rsid w:val="0C8F646D"/>
    <w:rsid w:val="0E43752E"/>
    <w:rsid w:val="0E76345F"/>
    <w:rsid w:val="0EAA2046"/>
    <w:rsid w:val="0EFE4AC2"/>
    <w:rsid w:val="14B958F8"/>
    <w:rsid w:val="17902473"/>
    <w:rsid w:val="18BC5F12"/>
    <w:rsid w:val="1B530684"/>
    <w:rsid w:val="1C091623"/>
    <w:rsid w:val="1CE41EDC"/>
    <w:rsid w:val="1E2D340E"/>
    <w:rsid w:val="1F095D51"/>
    <w:rsid w:val="1F0F25BF"/>
    <w:rsid w:val="1F892901"/>
    <w:rsid w:val="21410AEB"/>
    <w:rsid w:val="23502079"/>
    <w:rsid w:val="2B876854"/>
    <w:rsid w:val="2D100117"/>
    <w:rsid w:val="2F967DE1"/>
    <w:rsid w:val="3304078A"/>
    <w:rsid w:val="339800E3"/>
    <w:rsid w:val="36107446"/>
    <w:rsid w:val="36C25C79"/>
    <w:rsid w:val="372A0723"/>
    <w:rsid w:val="37AD13F0"/>
    <w:rsid w:val="37CF5499"/>
    <w:rsid w:val="38176009"/>
    <w:rsid w:val="38E45070"/>
    <w:rsid w:val="3984486F"/>
    <w:rsid w:val="399A59A4"/>
    <w:rsid w:val="3C790192"/>
    <w:rsid w:val="3DA260D2"/>
    <w:rsid w:val="3FAE152D"/>
    <w:rsid w:val="3FBE7F13"/>
    <w:rsid w:val="40055B41"/>
    <w:rsid w:val="40976A2F"/>
    <w:rsid w:val="4359067E"/>
    <w:rsid w:val="447142D1"/>
    <w:rsid w:val="44B915E1"/>
    <w:rsid w:val="453511D8"/>
    <w:rsid w:val="45772895"/>
    <w:rsid w:val="47C83868"/>
    <w:rsid w:val="4907178C"/>
    <w:rsid w:val="4C107D48"/>
    <w:rsid w:val="4D2517BB"/>
    <w:rsid w:val="4E1847F5"/>
    <w:rsid w:val="4ED07617"/>
    <w:rsid w:val="4F7D23B6"/>
    <w:rsid w:val="4FC70EDC"/>
    <w:rsid w:val="517612A3"/>
    <w:rsid w:val="52AD4542"/>
    <w:rsid w:val="52C13B4A"/>
    <w:rsid w:val="53281E1B"/>
    <w:rsid w:val="536D4A7F"/>
    <w:rsid w:val="54091C4C"/>
    <w:rsid w:val="55B625E0"/>
    <w:rsid w:val="56BD0079"/>
    <w:rsid w:val="57105B1C"/>
    <w:rsid w:val="57AD7A56"/>
    <w:rsid w:val="57E7315C"/>
    <w:rsid w:val="59D10B16"/>
    <w:rsid w:val="5A2502D0"/>
    <w:rsid w:val="5AFC61D4"/>
    <w:rsid w:val="5E7151D4"/>
    <w:rsid w:val="5F5C53FD"/>
    <w:rsid w:val="61176110"/>
    <w:rsid w:val="619F774C"/>
    <w:rsid w:val="62B760F4"/>
    <w:rsid w:val="631B2E02"/>
    <w:rsid w:val="634405AB"/>
    <w:rsid w:val="65517AF0"/>
    <w:rsid w:val="65AE4402"/>
    <w:rsid w:val="67FD6447"/>
    <w:rsid w:val="688E3E5D"/>
    <w:rsid w:val="6A8A28EE"/>
    <w:rsid w:val="6A8E035E"/>
    <w:rsid w:val="6BB42046"/>
    <w:rsid w:val="6BC843AE"/>
    <w:rsid w:val="6D1234C8"/>
    <w:rsid w:val="6D946233"/>
    <w:rsid w:val="6DD257EB"/>
    <w:rsid w:val="70A16448"/>
    <w:rsid w:val="711C1A49"/>
    <w:rsid w:val="72225C6A"/>
    <w:rsid w:val="7261193D"/>
    <w:rsid w:val="77E35D1D"/>
    <w:rsid w:val="7A530FA1"/>
    <w:rsid w:val="7C914409"/>
    <w:rsid w:val="7E5F5E41"/>
    <w:rsid w:val="7E8F2BCB"/>
    <w:rsid w:val="7EA5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next w:val="1"/>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spacing w:after="120"/>
      <w:ind w:left="420" w:leftChars="200" w:firstLine="420"/>
      <w:jc w:val="both"/>
    </w:pPr>
    <w:rPr>
      <w:rFonts w:ascii="Calibri" w:hAnsi="Calibri" w:eastAsia="宋体" w:cs="黑体"/>
      <w:kern w:val="2"/>
      <w:sz w:val="28"/>
      <w:szCs w:val="28"/>
      <w:lang w:val="en-US" w:eastAsia="zh-CN" w:bidi="ar-SA"/>
    </w:rPr>
  </w:style>
  <w:style w:type="paragraph" w:styleId="3">
    <w:name w:val="Body Text Indent"/>
    <w:basedOn w:val="1"/>
    <w:unhideWhenUsed/>
    <w:qFormat/>
    <w:uiPriority w:val="99"/>
    <w:pPr>
      <w:widowControl w:val="0"/>
      <w:spacing w:after="120"/>
      <w:ind w:left="420" w:leftChars="200"/>
      <w:jc w:val="both"/>
    </w:pPr>
    <w:rPr>
      <w:rFonts w:ascii="Calibri" w:hAnsi="Calibri" w:eastAsia="宋体" w:cs="黑体"/>
      <w:kern w:val="2"/>
      <w:sz w:val="21"/>
      <w:szCs w:val="22"/>
      <w:lang w:val="en-US" w:eastAsia="zh-CN" w:bidi="ar-SA"/>
    </w:r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firstLineChars="200"/>
    </w:pPr>
    <w:rPr>
      <w:rFonts w:ascii="Times New Roman" w:hAnsi="Times New Roman" w:eastAsia="仿宋" w:cs="Times New Roman"/>
      <w:sz w:val="32"/>
    </w:rPr>
  </w:style>
  <w:style w:type="paragraph" w:styleId="7">
    <w:name w:val="Salutation"/>
    <w:basedOn w:val="1"/>
    <w:next w:val="1"/>
    <w:qFormat/>
    <w:uiPriority w:val="0"/>
    <w:rPr>
      <w:rFonts w:ascii="Calibri" w:hAnsi="Calibri" w:eastAsia="宋体" w:cs="Times New Roman"/>
      <w:szCs w:val="22"/>
      <w:lang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常用样式（方正仿宋简）"/>
    <w:basedOn w:val="1"/>
    <w:next w:val="1"/>
    <w:qFormat/>
    <w:uiPriority w:val="0"/>
    <w:pPr>
      <w:spacing w:line="560" w:lineRule="exact"/>
      <w:ind w:firstLine="640" w:firstLineChars="200"/>
    </w:pPr>
    <w:rPr>
      <w:rFonts w:eastAsia="方正仿宋简体"/>
      <w:sz w:val="32"/>
    </w:rPr>
  </w:style>
  <w:style w:type="paragraph" w:customStyle="1" w:styleId="15">
    <w:name w:val="公文主体"/>
    <w:basedOn w:val="1"/>
    <w:qFormat/>
    <w:uiPriority w:val="0"/>
    <w:pPr>
      <w:spacing w:line="580" w:lineRule="exact"/>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5886</Words>
  <Characters>6240</Characters>
  <Lines>0</Lines>
  <Paragraphs>0</Paragraphs>
  <TotalTime>17</TotalTime>
  <ScaleCrop>false</ScaleCrop>
  <LinksUpToDate>false</LinksUpToDate>
  <CharactersWithSpaces>6438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2023-02-23T11:40:00Z</dcterms:created>
  <dc:creator>吉祥</dc:creator>
  <cp:lastModifiedBy>DELL</cp:lastModifiedBy>
  <cp:lastPrinted>2023-11-24T08:38:00Z</cp:lastPrinted>
  <dcterms:modified xsi:type="dcterms:W3CDTF">2023-12-15T03:02:22Z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F9E49D88807B432EAE6487CB1AA218B6</vt:lpwstr>
  </property>
</Properties>
</file>