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129</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keepNext w:val="0"/>
        <w:keepLines w:val="0"/>
        <w:pageBreakBefore w:val="0"/>
        <w:widowControl w:val="0"/>
        <w:kinsoku/>
        <w:wordWrap w:val="0"/>
        <w:overflowPunct w:val="0"/>
        <w:topLinePunct w:val="0"/>
        <w:autoSpaceDE/>
        <w:autoSpaceDN/>
        <w:bidi w:val="0"/>
        <w:adjustRightInd w:val="0"/>
        <w:snapToGrid w:val="0"/>
        <w:spacing w:line="560" w:lineRule="exact"/>
        <w:jc w:val="center"/>
        <w:textAlignment w:val="auto"/>
        <w:rPr>
          <w:rFonts w:eastAsia="方正小标宋简体"/>
          <w:kern w:val="0"/>
          <w:sz w:val="44"/>
          <w:szCs w:val="44"/>
        </w:rPr>
      </w:pPr>
      <w:r>
        <w:rPr>
          <w:rFonts w:ascii="Times New Roman" w:hAnsi="Times New Roman" w:eastAsia="方正小标宋简体" w:cs="Times New Roman"/>
          <w:kern w:val="0"/>
          <w:sz w:val="44"/>
          <w:szCs w:val="44"/>
        </w:rPr>
        <w:t>关于</w:t>
      </w:r>
      <w:r>
        <w:rPr>
          <w:rFonts w:hint="eastAsia" w:ascii="Times New Roman" w:hAnsi="Times New Roman" w:eastAsia="方正小标宋简体" w:cs="Times New Roman"/>
          <w:kern w:val="0"/>
          <w:sz w:val="44"/>
          <w:szCs w:val="44"/>
        </w:rPr>
        <w:t>垃圾资源化处置中心</w:t>
      </w:r>
      <w:r>
        <w:rPr>
          <w:rFonts w:ascii="Times New Roman" w:hAnsi="Times New Roman" w:eastAsia="方正小标宋简体" w:cs="Times New Roman"/>
          <w:kern w:val="0"/>
          <w:sz w:val="44"/>
          <w:szCs w:val="44"/>
        </w:rPr>
        <w:t>项目</w:t>
      </w:r>
      <w:r>
        <w:rPr>
          <w:rFonts w:eastAsia="方正小标宋简体"/>
          <w:kern w:val="0"/>
          <w:sz w:val="44"/>
          <w:szCs w:val="44"/>
        </w:rPr>
        <w:t>环境影响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eastAsia="方正小标宋简体"/>
          <w:kern w:val="0"/>
          <w:sz w:val="44"/>
          <w:szCs w:val="44"/>
        </w:rPr>
        <w:t>报告表的批复</w:t>
      </w:r>
    </w:p>
    <w:p>
      <w:pPr>
        <w:pStyle w:val="9"/>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32"/>
        </w:rPr>
      </w:pPr>
    </w:p>
    <w:p>
      <w:pPr>
        <w:keepNext w:val="0"/>
        <w:keepLines w:val="0"/>
        <w:pageBreakBefore w:val="0"/>
        <w:kinsoku/>
        <w:wordWrap w:val="0"/>
        <w:overflowPunct w:val="0"/>
        <w:topLinePunct/>
        <w:bidi w:val="0"/>
        <w:snapToGrid w:val="0"/>
        <w:spacing w:line="560" w:lineRule="exact"/>
        <w:textAlignment w:val="auto"/>
        <w:rPr>
          <w:rFonts w:eastAsia="仿宋_GB2312"/>
          <w:sz w:val="32"/>
          <w:szCs w:val="32"/>
        </w:rPr>
      </w:pPr>
      <w:r>
        <w:rPr>
          <w:rFonts w:hint="eastAsia" w:eastAsia="仿宋_GB2312"/>
          <w:sz w:val="32"/>
          <w:szCs w:val="32"/>
        </w:rPr>
        <w:t>大英县综合行政执法局</w:t>
      </w:r>
      <w:r>
        <w:rPr>
          <w:rFonts w:eastAsia="仿宋_GB2312"/>
          <w:sz w:val="32"/>
          <w:szCs w:val="32"/>
        </w:rPr>
        <w:t>：</w:t>
      </w:r>
    </w:p>
    <w:p>
      <w:pPr>
        <w:keepNext w:val="0"/>
        <w:keepLines w:val="0"/>
        <w:pageBreakBefore w:val="0"/>
        <w:widowControl/>
        <w:kinsoku/>
        <w:bidi w:val="0"/>
        <w:spacing w:line="560" w:lineRule="exact"/>
        <w:ind w:firstLine="640" w:firstLineChars="200"/>
        <w:jc w:val="left"/>
        <w:textAlignment w:val="auto"/>
        <w:rPr>
          <w:rFonts w:eastAsia="仿宋_GB2312"/>
          <w:sz w:val="32"/>
          <w:szCs w:val="32"/>
        </w:rPr>
      </w:pPr>
      <w:r>
        <w:rPr>
          <w:rFonts w:ascii="Times New Roman" w:hAnsi="Times New Roman" w:eastAsia="仿宋_GB2312" w:cs="Times New Roman"/>
          <w:sz w:val="32"/>
          <w:szCs w:val="32"/>
        </w:rPr>
        <w:t>你</w:t>
      </w:r>
      <w:r>
        <w:rPr>
          <w:rFonts w:hint="eastAsia" w:ascii="Times New Roman" w:hAnsi="Times New Roman" w:eastAsia="仿宋_GB2312" w:cs="Times New Roman"/>
          <w:sz w:val="32"/>
          <w:szCs w:val="32"/>
        </w:rPr>
        <w:t>单位</w:t>
      </w:r>
      <w:r>
        <w:rPr>
          <w:rFonts w:ascii="Times New Roman" w:hAnsi="Times New Roman" w:eastAsia="仿宋_GB2312" w:cs="Times New Roman"/>
          <w:sz w:val="32"/>
          <w:szCs w:val="32"/>
        </w:rPr>
        <w:t>报送的《</w:t>
      </w:r>
      <w:r>
        <w:rPr>
          <w:rFonts w:hint="eastAsia" w:ascii="Times New Roman" w:hAnsi="Times New Roman" w:eastAsia="仿宋_GB2312" w:cs="Times New Roman"/>
          <w:sz w:val="32"/>
          <w:szCs w:val="32"/>
        </w:rPr>
        <w:t>垃圾资源化处置中心</w:t>
      </w:r>
      <w:r>
        <w:rPr>
          <w:rFonts w:ascii="Times New Roman" w:hAnsi="Times New Roman" w:eastAsia="仿宋_GB2312" w:cs="Times New Roman"/>
          <w:sz w:val="32"/>
          <w:szCs w:val="32"/>
        </w:rPr>
        <w:t>项目</w:t>
      </w:r>
      <w:r>
        <w:rPr>
          <w:rFonts w:eastAsia="仿宋_GB2312"/>
          <w:sz w:val="32"/>
          <w:szCs w:val="32"/>
        </w:rPr>
        <w:t>环境影响报告表》（以下简称《报告表》）收悉。经研究，批复如下：</w:t>
      </w:r>
    </w:p>
    <w:p>
      <w:pPr>
        <w:keepNext w:val="0"/>
        <w:keepLines w:val="0"/>
        <w:pageBreakBefore w:val="0"/>
        <w:kinsoku/>
        <w:bidi w:val="0"/>
        <w:adjustRightIn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kinsoku/>
        <w:bidi w:val="0"/>
        <w:adjustRightInd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项目总投资30000万元，其中环保投资204.5万元，在大英县建设垃圾资源化利用处置中心，其中：餐厨垃圾处置利用中心位于大英县蓬莱镇余粮村1组，设计餐厨垃圾处理能力40t/d，建设加工处理车间厂房316.18m</w:t>
      </w:r>
      <w:r>
        <w:rPr>
          <w:rFonts w:hint="eastAsia"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rPr>
        <w:t>，配备油水处置、车辆等设施设备；建筑</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大件垃圾处置利用中心位于大英县盐井街道五凤村1社，建设处理车间厂房5个，总建筑面积6438.44m</w:t>
      </w:r>
      <w:r>
        <w:rPr>
          <w:rFonts w:hint="eastAsia"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rPr>
        <w:t>，堆放场2450m</w:t>
      </w:r>
      <w:r>
        <w:rPr>
          <w:rFonts w:hint="eastAsia"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rPr>
        <w:t>，配套用房1591.20m</w:t>
      </w:r>
      <w:r>
        <w:rPr>
          <w:rFonts w:hint="eastAsia" w:ascii="Times New Roman" w:hAnsi="Times New Roman" w:eastAsia="仿宋_GB2312" w:cs="Times New Roman"/>
          <w:sz w:val="32"/>
          <w:szCs w:val="32"/>
          <w:vertAlign w:val="superscript"/>
        </w:rPr>
        <w:t>2</w:t>
      </w:r>
      <w:r>
        <w:rPr>
          <w:rFonts w:hint="eastAsia" w:ascii="Times New Roman" w:hAnsi="Times New Roman" w:eastAsia="仿宋_GB2312" w:cs="Times New Roman"/>
          <w:sz w:val="32"/>
          <w:szCs w:val="32"/>
        </w:rPr>
        <w:t>，设计建筑垃圾处理能力30万t/a，大件垃圾处理能力20t/d；建设1套资源化利用信息一体化平台。</w:t>
      </w:r>
    </w:p>
    <w:p>
      <w:pPr>
        <w:keepNext w:val="0"/>
        <w:keepLines w:val="0"/>
        <w:pageBreakBefore w:val="0"/>
        <w:kinsoku/>
        <w:bidi w:val="0"/>
        <w:spacing w:line="560" w:lineRule="exact"/>
        <w:ind w:firstLine="640" w:firstLineChars="200"/>
        <w:textAlignment w:val="auto"/>
        <w:rPr>
          <w:rFonts w:hint="eastAsia" w:ascii="Times New Roman" w:hAnsi="Times New Roman" w:eastAsia="仿宋_GB2312" w:cs="Times New Roman"/>
          <w:kern w:val="0"/>
          <w:sz w:val="32"/>
          <w:szCs w:val="32"/>
        </w:rPr>
        <w:sectPr>
          <w:footerReference r:id="rId3" w:type="default"/>
          <w:pgSz w:w="11906" w:h="16838"/>
          <w:pgMar w:top="2098" w:right="1474" w:bottom="1701"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ascii="Times New Roman" w:hAnsi="Times New Roman" w:eastAsia="仿宋_GB2312" w:cs="Times New Roman"/>
          <w:kern w:val="0"/>
          <w:sz w:val="32"/>
          <w:szCs w:val="32"/>
        </w:rPr>
        <w:t>项目经大英县</w:t>
      </w:r>
      <w:r>
        <w:rPr>
          <w:rFonts w:hint="eastAsia" w:ascii="Times New Roman" w:hAnsi="Times New Roman" w:eastAsia="仿宋_GB2312" w:cs="Times New Roman"/>
          <w:kern w:val="0"/>
          <w:sz w:val="32"/>
          <w:szCs w:val="32"/>
        </w:rPr>
        <w:t>发展和改革局出具《关于垃圾资源化利用处理中心项目可行性研究报告（代项目建议书）的批复》（大发改许</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ascii="仿宋_GB2312" w:hAnsi="仿宋_GB2312" w:eastAsia="仿宋_GB2312" w:cs="仿宋_GB2312"/>
          <w:sz w:val="32"/>
          <w:szCs w:val="32"/>
        </w:rPr>
      </w:pPr>
      <w:r>
        <w:rPr>
          <w:rFonts w:hint="eastAsia" w:ascii="Times New Roman" w:hAnsi="Times New Roman" w:eastAsia="仿宋_GB2312" w:cs="Times New Roman"/>
          <w:kern w:val="0"/>
          <w:sz w:val="32"/>
          <w:szCs w:val="32"/>
        </w:rPr>
        <w:t>可〔2022〕18号），</w:t>
      </w:r>
      <w:r>
        <w:rPr>
          <w:rFonts w:ascii="Times New Roman" w:hAnsi="Times New Roman" w:eastAsia="仿宋_GB2312" w:cs="Times New Roman"/>
          <w:sz w:val="32"/>
          <w:szCs w:val="32"/>
        </w:rPr>
        <w:t>属于《产业结构调整指导目录》（2019年本）</w:t>
      </w:r>
      <w:r>
        <w:rPr>
          <w:rFonts w:hint="eastAsia" w:ascii="Times New Roman" w:hAnsi="Times New Roman" w:eastAsia="仿宋_GB2312" w:cs="Times New Roman"/>
          <w:sz w:val="32"/>
          <w:szCs w:val="32"/>
        </w:rPr>
        <w:t>中</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鼓励</w:t>
      </w:r>
      <w:r>
        <w:rPr>
          <w:rFonts w:ascii="Times New Roman" w:hAnsi="Times New Roman" w:eastAsia="仿宋_GB2312" w:cs="Times New Roman"/>
          <w:sz w:val="32"/>
          <w:szCs w:val="32"/>
        </w:rPr>
        <w:t>类项目。</w:t>
      </w:r>
      <w:r>
        <w:rPr>
          <w:rFonts w:hint="eastAsia" w:ascii="Times New Roman" w:hAnsi="Times New Roman" w:eastAsia="仿宋_GB2312" w:cs="Times New Roman"/>
          <w:sz w:val="32"/>
          <w:szCs w:val="32"/>
        </w:rPr>
        <w:t>项目已取得大英县自然资源和规划局核发的《建设工程规划许可证》（建字第（2007）013号）和</w:t>
      </w:r>
      <w:r>
        <w:rPr>
          <w:rFonts w:ascii="Times New Roman" w:hAnsi="Times New Roman" w:eastAsia="仿宋_GB2312" w:cs="Times New Roman"/>
          <w:sz w:val="32"/>
          <w:szCs w:val="32"/>
        </w:rPr>
        <w:t>《建设项目用地预审与选址意见书》</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用字第510923202</w:t>
      </w:r>
      <w:r>
        <w:rPr>
          <w:rFonts w:hint="eastAsia" w:ascii="Times New Roman" w:hAnsi="Times New Roman" w:eastAsia="仿宋_GB2312" w:cs="Times New Roman"/>
          <w:sz w:val="32"/>
          <w:szCs w:val="32"/>
        </w:rPr>
        <w:t>200006</w:t>
      </w:r>
      <w:r>
        <w:rPr>
          <w:rFonts w:ascii="Times New Roman" w:hAnsi="Times New Roman" w:eastAsia="仿宋_GB2312" w:cs="Times New Roman"/>
          <w:sz w:val="32"/>
          <w:szCs w:val="32"/>
        </w:rPr>
        <w:t>号）。《报告表》认为该项目建设符合国家产业政策</w:t>
      </w:r>
      <w:r>
        <w:rPr>
          <w:rFonts w:hint="eastAsia" w:ascii="Times New Roman" w:hAnsi="Times New Roman" w:eastAsia="仿宋_GB2312" w:cs="Times New Roman"/>
          <w:sz w:val="32"/>
          <w:szCs w:val="32"/>
        </w:rPr>
        <w:t>。</w:t>
      </w:r>
    </w:p>
    <w:p>
      <w:pPr>
        <w:keepNext w:val="0"/>
        <w:keepLines w:val="0"/>
        <w:pageBreakBefore w:val="0"/>
        <w:kinsoku/>
        <w:bidi w:val="0"/>
        <w:adjustRightIn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w:t>
      </w:r>
      <w:r>
        <w:rPr>
          <w:rFonts w:hint="eastAsia" w:ascii="仿宋_GB2312" w:hAnsi="仿宋_GB2312" w:eastAsia="仿宋_GB2312" w:cs="仿宋_GB2312"/>
          <w:kern w:val="0"/>
          <w:sz w:val="32"/>
          <w:szCs w:val="32"/>
        </w:rPr>
        <w:t>境保护“三同时”制度，确保污染物达标排放，认真落实环境风险</w:t>
      </w:r>
      <w:r>
        <w:rPr>
          <w:rFonts w:hint="eastAsia" w:ascii="仿宋_GB2312" w:hAnsi="仿宋_GB2312" w:eastAsia="仿宋_GB2312" w:cs="仿宋_GB2312"/>
          <w:sz w:val="32"/>
          <w:szCs w:val="32"/>
        </w:rPr>
        <w:t>防范措施及应急预案的前提下，该项目建设从环境保护角度可行，我局原则同意《报告表》的总体结论和拟采取的各项生态环境保护措施。你单位应严格按照《报告表》中所列项目的建设性质、规模、工艺、地点和拟采取的环境保护措施进行建设和运行，以确保对环境的不利影响得到缓解和控制。</w:t>
      </w:r>
    </w:p>
    <w:p>
      <w:pPr>
        <w:keepNext w:val="0"/>
        <w:keepLines w:val="0"/>
        <w:pageBreakBefore w:val="0"/>
        <w:kinsoku/>
        <w:wordWrap w:val="0"/>
        <w:overflowPunct w:val="0"/>
        <w:bidi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二、项目建设及营运期应重点做好以下工作</w:t>
      </w:r>
    </w:p>
    <w:p>
      <w:pPr>
        <w:pStyle w:val="10"/>
        <w:keepNext w:val="0"/>
        <w:keepLines w:val="0"/>
        <w:pageBreakBefore w:val="0"/>
        <w:kinsoku/>
        <w:bidi w:val="0"/>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（一）加强施工期环境管理。</w:t>
      </w:r>
      <w:r>
        <w:rPr>
          <w:rFonts w:hint="eastAsia" w:ascii="仿宋_GB2312" w:hAnsi="仿宋_GB2312" w:eastAsia="仿宋_GB2312" w:cs="仿宋_GB2312"/>
          <w:color w:val="000000"/>
          <w:kern w:val="18"/>
          <w:sz w:val="32"/>
          <w:szCs w:val="32"/>
        </w:rPr>
        <w:t>严格落实建筑施工“六必须六不准”和“六个百分百”要求，施工期间封闭施工现场，施工场界四周设置围挡和喷雾设施，禁止在风天进行渣土堆放作业，建筑材料堆放地点要相对集中，建筑材料、开挖的土石方用毡布覆盖，临时废渣和弃土及时清运；施工废水经沉淀池沉淀后回用于洒水降尘和车辆设备冲洗等，不外排。合理安排施工时段，文明施工，确保施工场界噪声满足《建筑施工场界环境噪声排放标准》要求，尽可能减轻施工噪声扰民。</w:t>
      </w:r>
    </w:p>
    <w:p>
      <w:pPr>
        <w:pStyle w:val="10"/>
        <w:keepNext w:val="0"/>
        <w:keepLines w:val="0"/>
        <w:pageBreakBefore w:val="0"/>
        <w:kinsoku/>
        <w:bidi w:val="0"/>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（二）落实废水污染治理措施。</w:t>
      </w:r>
      <w:r>
        <w:rPr>
          <w:rFonts w:hint="eastAsia" w:ascii="仿宋_GB2312" w:hAnsi="仿宋_GB2312" w:eastAsia="仿宋_GB2312" w:cs="仿宋_GB2312"/>
          <w:color w:val="000000"/>
          <w:kern w:val="18"/>
          <w:sz w:val="32"/>
          <w:szCs w:val="32"/>
        </w:rPr>
        <w:t>餐厨垃圾处置利用中心车间及设备冲洗废水、车辆冲洗废水和餐厨垃圾渗滤液经厂区新建预处理设施预处理后排至大英生活垃圾渗滤液站处理；生活污水经预处理池处理后，排至大英生活垃圾渗滤液站处理。建筑</w:t>
      </w:r>
      <w:r>
        <w:rPr>
          <w:rFonts w:hint="eastAsia" w:ascii="仿宋_GB2312" w:hAnsi="仿宋_GB2312" w:eastAsia="仿宋_GB2312" w:cs="仿宋_GB2312"/>
          <w:color w:val="000000"/>
          <w:kern w:val="18"/>
          <w:sz w:val="32"/>
          <w:szCs w:val="32"/>
          <w:lang w:val="en-US" w:eastAsia="zh-CN"/>
        </w:rPr>
        <w:t>/</w:t>
      </w:r>
      <w:r>
        <w:rPr>
          <w:rFonts w:hint="eastAsia" w:ascii="仿宋_GB2312" w:hAnsi="仿宋_GB2312" w:eastAsia="仿宋_GB2312" w:cs="仿宋_GB2312"/>
          <w:color w:val="000000"/>
          <w:kern w:val="18"/>
          <w:sz w:val="32"/>
          <w:szCs w:val="32"/>
        </w:rPr>
        <w:t>大件垃圾处置利用中心车辆冲洗废水经隔油沉淀后循环使用不外排；生活污水经预处理池预处理后用槽车转运至大英县城市生活污水处理厂处理。</w:t>
      </w:r>
    </w:p>
    <w:p>
      <w:pPr>
        <w:keepNext w:val="0"/>
        <w:keepLines w:val="0"/>
        <w:pageBreakBefore w:val="0"/>
        <w:kinsoku/>
        <w:autoSpaceDE w:val="0"/>
        <w:autoSpaceDN w:val="0"/>
        <w:bidi w:val="0"/>
        <w:adjustRightInd w:val="0"/>
        <w:spacing w:line="560" w:lineRule="exact"/>
        <w:ind w:firstLine="640" w:firstLineChars="200"/>
        <w:jc w:val="left"/>
        <w:textAlignment w:val="auto"/>
        <w:rPr>
          <w:rFonts w:hint="default" w:ascii="Times New Roman" w:hAnsi="Times New Roman" w:eastAsia="仿宋_GB2312" w:cs="Times New Roman"/>
          <w:color w:val="000000"/>
          <w:kern w:val="18"/>
          <w:sz w:val="32"/>
          <w:szCs w:val="32"/>
        </w:rPr>
      </w:pPr>
      <w:r>
        <w:rPr>
          <w:rFonts w:hint="eastAsia" w:ascii="楷体_GB2312" w:hAnsi="楷体_GB2312" w:eastAsia="楷体_GB2312" w:cs="楷体_GB2312"/>
          <w:sz w:val="32"/>
          <w:szCs w:val="32"/>
        </w:rPr>
        <w:t>（三）落实废气污染治理措施。</w:t>
      </w:r>
      <w:r>
        <w:rPr>
          <w:rFonts w:hint="eastAsia" w:ascii="仿宋_GB2312" w:hAnsi="仿宋_GB2312" w:eastAsia="仿宋_GB2312" w:cs="仿宋_GB2312"/>
          <w:color w:val="000000"/>
          <w:kern w:val="18"/>
          <w:sz w:val="32"/>
          <w:szCs w:val="32"/>
        </w:rPr>
        <w:t>餐厨垃圾处理车间和所有池</w:t>
      </w:r>
      <w:r>
        <w:rPr>
          <w:rFonts w:hint="default" w:ascii="Times New Roman" w:hAnsi="Times New Roman" w:eastAsia="仿宋_GB2312" w:cs="Times New Roman"/>
          <w:color w:val="000000"/>
          <w:kern w:val="18"/>
          <w:sz w:val="32"/>
          <w:szCs w:val="32"/>
        </w:rPr>
        <w:t>体封闭设计，车间负压运行，臭气和VOCs</w:t>
      </w:r>
      <w:bookmarkStart w:id="0" w:name="_GoBack"/>
      <w:bookmarkEnd w:id="0"/>
      <w:r>
        <w:rPr>
          <w:rFonts w:hint="default" w:ascii="Times New Roman" w:hAnsi="Times New Roman" w:eastAsia="仿宋_GB2312" w:cs="Times New Roman"/>
          <w:color w:val="000000"/>
          <w:kern w:val="18"/>
          <w:sz w:val="32"/>
          <w:szCs w:val="32"/>
        </w:rPr>
        <w:t>由风机引至生物除臭系统处理达标后经15m高排气筒排放。建筑</w:t>
      </w:r>
      <w:r>
        <w:rPr>
          <w:rFonts w:hint="eastAsia" w:ascii="Times New Roman" w:hAnsi="Times New Roman" w:eastAsia="仿宋_GB2312" w:cs="Times New Roman"/>
          <w:color w:val="000000"/>
          <w:kern w:val="18"/>
          <w:sz w:val="32"/>
          <w:szCs w:val="32"/>
          <w:lang w:val="en-US" w:eastAsia="zh-CN"/>
        </w:rPr>
        <w:t>/</w:t>
      </w:r>
      <w:r>
        <w:rPr>
          <w:rFonts w:hint="default" w:ascii="Times New Roman" w:hAnsi="Times New Roman" w:eastAsia="仿宋_GB2312" w:cs="Times New Roman"/>
          <w:color w:val="000000"/>
          <w:kern w:val="18"/>
          <w:sz w:val="32"/>
          <w:szCs w:val="32"/>
        </w:rPr>
        <w:t>大件垃圾处置利用中心建渣破碎、筛分工序在进料口、破碎机和振动筛机、除土筛各运输接口上方设置集气罩，收集的废气经袋式除尘器处理达标后经15m高排气筒排放，车间内设置喷雾抑尘装置以减少无组织粉尘逸散；废旧木材破碎密闭进行，破碎区设置喷雾抑尘装置，在破碎机出料口上方设置集气罩，破碎粉尘经集气罩收集后经袋式除尘器处理达标后由另一根15m高排气筒排放；原料堆场、成品骨料堆放区设置喷雾抑尘装置，物料装卸喷雾抑尘；厂区出入口设置洗车平台对运输车辆轮胎进行冲洗，车辆运输采用加盖篷布、厂区地面硬化并及时清扫和定期洒水等措施抑尘。</w:t>
      </w:r>
    </w:p>
    <w:p>
      <w:pPr>
        <w:pStyle w:val="10"/>
        <w:keepNext w:val="0"/>
        <w:keepLines w:val="0"/>
        <w:pageBreakBefore w:val="0"/>
        <w:kinsoku/>
        <w:bidi w:val="0"/>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（四）落实固体废物处置措施</w:t>
      </w:r>
      <w:r>
        <w:rPr>
          <w:rFonts w:hint="eastAsia" w:ascii="仿宋_GB2312" w:hAnsi="仿宋_GB2312" w:eastAsia="仿宋_GB2312" w:cs="仿宋_GB2312"/>
          <w:color w:val="000000"/>
          <w:kern w:val="18"/>
          <w:sz w:val="32"/>
          <w:szCs w:val="32"/>
        </w:rPr>
        <w:t>。餐厨垃圾处置利用中心分拣出的杂物、压榨后干渣外运至垃圾焚烧发电厂焚烧；沉砂池和三相分离器沉渣、隔油气浮含油废渣收集后返回于破碎压榨机压榨；废粗油脂暂存于储油罐，定期外售给有处理能力的废油脂加工企业。建筑</w:t>
      </w:r>
      <w:r>
        <w:rPr>
          <w:rFonts w:hint="eastAsia" w:ascii="仿宋_GB2312" w:hAnsi="仿宋_GB2312" w:eastAsia="仿宋_GB2312" w:cs="仿宋_GB2312"/>
          <w:color w:val="000000"/>
          <w:kern w:val="18"/>
          <w:sz w:val="32"/>
          <w:szCs w:val="32"/>
          <w:lang w:val="en-US" w:eastAsia="zh-CN"/>
        </w:rPr>
        <w:t>/</w:t>
      </w:r>
      <w:r>
        <w:rPr>
          <w:rFonts w:hint="eastAsia" w:ascii="仿宋_GB2312" w:hAnsi="仿宋_GB2312" w:eastAsia="仿宋_GB2312" w:cs="仿宋_GB2312"/>
          <w:color w:val="000000"/>
          <w:kern w:val="18"/>
          <w:sz w:val="32"/>
          <w:szCs w:val="32"/>
        </w:rPr>
        <w:t>大件垃圾处置利用中心产生的渣土外运砖厂制砖；废铁外售；分拣出的杂物外运至垃圾焚烧发电厂焚烧；预处理池清掏的污泥交由有资质单位处置</w:t>
      </w:r>
      <w:r>
        <w:rPr>
          <w:rFonts w:hint="eastAsia" w:ascii="仿宋_GB2312" w:hAnsi="仿宋_GB2312" w:eastAsia="仿宋_GB2312" w:cs="仿宋_GB2312"/>
          <w:color w:val="000000"/>
          <w:kern w:val="18"/>
          <w:sz w:val="32"/>
          <w:szCs w:val="32"/>
          <w:lang w:eastAsia="zh-CN"/>
        </w:rPr>
        <w:t>。</w:t>
      </w:r>
      <w:r>
        <w:rPr>
          <w:rFonts w:hint="eastAsia" w:ascii="仿宋_GB2312" w:hAnsi="仿宋_GB2312" w:eastAsia="仿宋_GB2312" w:cs="仿宋_GB2312"/>
          <w:color w:val="000000"/>
          <w:kern w:val="18"/>
          <w:sz w:val="32"/>
          <w:szCs w:val="32"/>
        </w:rPr>
        <w:t>两处厂区分别设置危险废物暂存间，含油废棉纱和抹布、废机油、废油桶等危险废物暂存于危险废物暂存间，定期交由有相关资质的单位回收处置；生活垃圾和除尘器粉尘交由市政环卫部门处置。</w:t>
      </w:r>
    </w:p>
    <w:p>
      <w:pPr>
        <w:pStyle w:val="10"/>
        <w:keepNext w:val="0"/>
        <w:keepLines w:val="0"/>
        <w:pageBreakBefore w:val="0"/>
        <w:kinsoku/>
        <w:bidi w:val="0"/>
        <w:spacing w:line="560" w:lineRule="exact"/>
        <w:ind w:firstLine="640" w:firstLineChars="200"/>
        <w:textAlignment w:val="auto"/>
        <w:rPr>
          <w:rFonts w:hint="default" w:ascii="Times New Roman" w:hAnsi="Times New Roman" w:eastAsia="仿宋_GB2312" w:cs="Times New Roman"/>
          <w:color w:val="000000"/>
          <w:kern w:val="18"/>
          <w:sz w:val="32"/>
          <w:szCs w:val="32"/>
        </w:rPr>
      </w:pPr>
      <w:r>
        <w:rPr>
          <w:rFonts w:hint="eastAsia" w:ascii="楷体_GB2312" w:hAnsi="楷体_GB2312" w:eastAsia="楷体_GB2312" w:cs="楷体_GB2312"/>
          <w:sz w:val="32"/>
          <w:szCs w:val="32"/>
        </w:rPr>
        <w:t>（五）落实噪声污染防治措施。</w:t>
      </w:r>
      <w:r>
        <w:rPr>
          <w:rFonts w:hint="eastAsia" w:ascii="仿宋_GB2312" w:hAnsi="仿宋_GB2312" w:eastAsia="仿宋_GB2312" w:cs="仿宋_GB2312"/>
          <w:color w:val="000000"/>
          <w:kern w:val="18"/>
          <w:sz w:val="32"/>
          <w:szCs w:val="32"/>
        </w:rPr>
        <w:t>合理布局生产设施设备，通过选用低噪声设备，采取隔声、减振、降噪等措施，确保项目噪声排放满足《工业企业厂界环境噪声排放标准》</w:t>
      </w:r>
      <w:r>
        <w:rPr>
          <w:rFonts w:hint="default" w:ascii="Times New Roman" w:hAnsi="Times New Roman" w:eastAsia="仿宋_GB2312" w:cs="Times New Roman"/>
          <w:color w:val="000000"/>
          <w:kern w:val="18"/>
          <w:sz w:val="32"/>
          <w:szCs w:val="32"/>
        </w:rPr>
        <w:t>（GB12348-2008）中的2类标准。</w:t>
      </w:r>
    </w:p>
    <w:p>
      <w:pPr>
        <w:pStyle w:val="10"/>
        <w:keepNext w:val="0"/>
        <w:keepLines w:val="0"/>
        <w:pageBreakBefore w:val="0"/>
        <w:kinsoku/>
        <w:bidi w:val="0"/>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（六）落实地下水、土壤污染防治措施。</w:t>
      </w:r>
      <w:r>
        <w:rPr>
          <w:rFonts w:hint="eastAsia" w:ascii="仿宋_GB2312" w:hAnsi="仿宋_GB2312" w:eastAsia="仿宋_GB2312" w:cs="仿宋_GB2312"/>
          <w:color w:val="000000"/>
          <w:kern w:val="18"/>
          <w:sz w:val="32"/>
          <w:szCs w:val="32"/>
        </w:rPr>
        <w:t>严格按照《报告表》要求，采取分区防渗措施，对项目区域进行分区防渗处理以防止地下水和土壤环境污染。</w:t>
      </w:r>
      <w:r>
        <w:rPr>
          <w:rFonts w:hint="eastAsia" w:ascii="仿宋_GB2312" w:hAnsi="仿宋_GB2312" w:eastAsia="仿宋_GB2312" w:cs="仿宋_GB2312"/>
          <w:kern w:val="0"/>
          <w:sz w:val="32"/>
          <w:szCs w:val="32"/>
        </w:rPr>
        <w:t>危</w:t>
      </w:r>
      <w:r>
        <w:rPr>
          <w:rFonts w:hint="eastAsia" w:ascii="仿宋_GB2312" w:hAnsi="仿宋_GB2312" w:eastAsia="仿宋_GB2312" w:cs="仿宋_GB2312"/>
          <w:color w:val="000000"/>
          <w:kern w:val="18"/>
          <w:sz w:val="32"/>
          <w:szCs w:val="32"/>
        </w:rPr>
        <w:t>险</w:t>
      </w:r>
      <w:r>
        <w:rPr>
          <w:rFonts w:hint="eastAsia" w:ascii="仿宋_GB2312" w:hAnsi="仿宋_GB2312" w:eastAsia="仿宋_GB2312" w:cs="仿宋_GB2312"/>
          <w:kern w:val="0"/>
          <w:sz w:val="32"/>
          <w:szCs w:val="32"/>
        </w:rPr>
        <w:t>废</w:t>
      </w:r>
      <w:r>
        <w:rPr>
          <w:rFonts w:hint="eastAsia" w:ascii="仿宋_GB2312" w:hAnsi="仿宋_GB2312" w:eastAsia="仿宋_GB2312" w:cs="仿宋_GB2312"/>
          <w:color w:val="000000"/>
          <w:kern w:val="18"/>
          <w:sz w:val="32"/>
          <w:szCs w:val="32"/>
        </w:rPr>
        <w:t>物</w:t>
      </w:r>
      <w:r>
        <w:rPr>
          <w:rFonts w:hint="eastAsia" w:ascii="仿宋_GB2312" w:hAnsi="仿宋_GB2312" w:eastAsia="仿宋_GB2312" w:cs="仿宋_GB2312"/>
          <w:kern w:val="0"/>
          <w:sz w:val="32"/>
          <w:szCs w:val="32"/>
        </w:rPr>
        <w:t>暂存间、餐厨垃圾加工处理车间</w:t>
      </w:r>
      <w:r>
        <w:rPr>
          <w:rFonts w:hint="eastAsia" w:ascii="仿宋_GB2312" w:hAnsi="仿宋_GB2312" w:eastAsia="仿宋_GB2312" w:cs="仿宋_GB2312"/>
          <w:color w:val="000000"/>
          <w:kern w:val="18"/>
          <w:sz w:val="32"/>
          <w:szCs w:val="32"/>
        </w:rPr>
        <w:t>和</w:t>
      </w:r>
      <w:r>
        <w:rPr>
          <w:rFonts w:hint="eastAsia" w:ascii="仿宋_GB2312" w:hAnsi="仿宋_GB2312" w:eastAsia="仿宋_GB2312" w:cs="仿宋_GB2312"/>
          <w:kern w:val="0"/>
          <w:sz w:val="32"/>
          <w:szCs w:val="32"/>
        </w:rPr>
        <w:t>地沟</w:t>
      </w:r>
      <w:r>
        <w:rPr>
          <w:rFonts w:hint="eastAsia" w:ascii="仿宋_GB2312" w:hAnsi="仿宋_GB2312" w:eastAsia="仿宋_GB2312" w:cs="仿宋_GB2312"/>
          <w:color w:val="000000"/>
          <w:kern w:val="18"/>
          <w:sz w:val="32"/>
          <w:szCs w:val="32"/>
        </w:rPr>
        <w:t>及</w:t>
      </w:r>
      <w:r>
        <w:rPr>
          <w:rFonts w:hint="eastAsia" w:ascii="仿宋_GB2312" w:hAnsi="仿宋_GB2312" w:eastAsia="仿宋_GB2312" w:cs="仿宋_GB2312"/>
          <w:kern w:val="0"/>
          <w:sz w:val="32"/>
          <w:szCs w:val="32"/>
        </w:rPr>
        <w:t>废水处理池</w:t>
      </w:r>
      <w:r>
        <w:rPr>
          <w:rFonts w:hint="eastAsia" w:ascii="仿宋_GB2312" w:hAnsi="仿宋_GB2312" w:eastAsia="仿宋_GB2312" w:cs="仿宋_GB2312"/>
          <w:color w:val="000000"/>
          <w:kern w:val="18"/>
          <w:sz w:val="32"/>
          <w:szCs w:val="32"/>
        </w:rPr>
        <w:t>重点防渗；建筑</w:t>
      </w:r>
      <w:r>
        <w:rPr>
          <w:rFonts w:ascii="仿宋_GB2312" w:hAnsi="仿宋_GB2312" w:eastAsia="仿宋_GB2312" w:cs="仿宋_GB2312"/>
          <w:color w:val="000000"/>
          <w:kern w:val="18"/>
          <w:sz w:val="32"/>
          <w:szCs w:val="32"/>
        </w:rPr>
        <w:t>/</w:t>
      </w:r>
      <w:r>
        <w:rPr>
          <w:rFonts w:hint="eastAsia" w:ascii="仿宋_GB2312" w:hAnsi="仿宋_GB2312" w:eastAsia="仿宋_GB2312" w:cs="仿宋_GB2312"/>
          <w:color w:val="000000"/>
          <w:kern w:val="18"/>
          <w:sz w:val="32"/>
          <w:szCs w:val="32"/>
        </w:rPr>
        <w:t>大件垃圾处置利用中心厂房和预处理池、车辆冲洗废水沉淀池一般防渗；其他区域简单防渗。</w:t>
      </w:r>
    </w:p>
    <w:p>
      <w:pPr>
        <w:pStyle w:val="10"/>
        <w:keepNext w:val="0"/>
        <w:keepLines w:val="0"/>
        <w:pageBreakBefore w:val="0"/>
        <w:kinsoku/>
        <w:bidi w:val="0"/>
        <w:spacing w:line="560" w:lineRule="exact"/>
        <w:ind w:firstLine="640" w:firstLineChars="200"/>
        <w:textAlignment w:val="auto"/>
        <w:rPr>
          <w:rFonts w:ascii="仿宋_GB2312" w:hAnsi="仿宋_GB2312" w:eastAsia="仿宋_GB2312" w:cs="仿宋_GB2312"/>
          <w:color w:val="000000"/>
          <w:kern w:val="18"/>
          <w:sz w:val="32"/>
          <w:szCs w:val="32"/>
        </w:rPr>
      </w:pPr>
      <w:r>
        <w:rPr>
          <w:rFonts w:hint="eastAsia" w:ascii="楷体_GB2312" w:hAnsi="楷体_GB2312" w:eastAsia="楷体_GB2312" w:cs="楷体_GB2312"/>
          <w:sz w:val="32"/>
          <w:szCs w:val="32"/>
        </w:rPr>
        <w:t>（七）落实环境风险防范措施。</w:t>
      </w:r>
      <w:r>
        <w:rPr>
          <w:rFonts w:hint="eastAsia" w:ascii="仿宋_GB2312" w:hAnsi="仿宋_GB2312" w:eastAsia="仿宋_GB2312" w:cs="仿宋_GB2312"/>
          <w:color w:val="000000"/>
          <w:kern w:val="18"/>
          <w:sz w:val="32"/>
          <w:szCs w:val="32"/>
        </w:rPr>
        <w:t>严格落实《报告表》提出的风险防范措施，制定并不断完善突发环境事件应急预案，加强管理，规范操作，定期开展自行监测，制定并严格落实重污染天气应急减排措施，确保环境安全。</w:t>
      </w:r>
    </w:p>
    <w:p>
      <w:pPr>
        <w:pStyle w:val="10"/>
        <w:keepNext w:val="0"/>
        <w:keepLines w:val="0"/>
        <w:pageBreakBefore w:val="0"/>
        <w:kinsoku/>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sz w:val="32"/>
          <w:szCs w:val="32"/>
        </w:rPr>
        <w:t>三、污染物排放总量</w:t>
      </w:r>
    </w:p>
    <w:p>
      <w:pPr>
        <w:keepNext w:val="0"/>
        <w:keepLines w:val="0"/>
        <w:pageBreakBefore w:val="0"/>
        <w:kinsoku/>
        <w:bidi w:val="0"/>
        <w:spacing w:line="560" w:lineRule="exact"/>
        <w:ind w:firstLine="640" w:firstLineChars="200"/>
        <w:textAlignment w:val="auto"/>
        <w:rPr>
          <w:rFonts w:ascii="Times New Roman" w:hAnsi="Times New Roman" w:eastAsia="仿宋_GB2312" w:cs="Times New Roman"/>
          <w:sz w:val="32"/>
          <w:szCs w:val="32"/>
        </w:rPr>
      </w:pPr>
      <w:r>
        <w:rPr>
          <w:rFonts w:hint="eastAsia" w:ascii="仿宋_GB2312" w:hAnsi="仿宋_GB2312" w:eastAsia="仿宋_GB2312" w:cs="仿宋_GB2312"/>
          <w:sz w:val="32"/>
          <w:szCs w:val="32"/>
        </w:rPr>
        <w:t>根据《报告表》预测，</w:t>
      </w:r>
      <w:r>
        <w:rPr>
          <w:rFonts w:hint="eastAsia" w:ascii="Times New Roman" w:hAnsi="Times New Roman" w:eastAsia="仿宋_GB2312" w:cs="Times New Roman"/>
          <w:sz w:val="32"/>
          <w:szCs w:val="32"/>
        </w:rPr>
        <w:t>餐厨垃圾处置利用中心</w:t>
      </w:r>
      <w:r>
        <w:rPr>
          <w:rFonts w:hint="eastAsia" w:ascii="仿宋_GB2312" w:hAnsi="仿宋_GB2312" w:eastAsia="仿宋_GB2312" w:cs="仿宋_GB2312"/>
          <w:sz w:val="32"/>
          <w:szCs w:val="32"/>
        </w:rPr>
        <w:t>建成后</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大气污染物排放总量为：VOCs0.196t/a；</w:t>
      </w:r>
      <w:r>
        <w:rPr>
          <w:rFonts w:ascii="Times New Roman" w:hAnsi="Times New Roman" w:eastAsia="仿宋_GB2312" w:cs="Times New Roman"/>
          <w:sz w:val="32"/>
          <w:szCs w:val="32"/>
        </w:rPr>
        <w:t>水污染物排放总量为：</w:t>
      </w:r>
      <w:r>
        <w:rPr>
          <w:rFonts w:ascii="Times New Roman" w:hAnsi="Times New Roman" w:eastAsia="仿宋_GB2312" w:cs="Times New Roman"/>
          <w:bCs/>
          <w:sz w:val="32"/>
          <w:szCs w:val="32"/>
        </w:rPr>
        <w:t>CODcr</w:t>
      </w:r>
      <w:r>
        <w:rPr>
          <w:rFonts w:hint="eastAsia" w:ascii="Times New Roman" w:hAnsi="Times New Roman" w:eastAsia="仿宋_GB2312" w:cs="Times New Roman"/>
          <w:bCs/>
          <w:sz w:val="32"/>
          <w:szCs w:val="32"/>
        </w:rPr>
        <w:t>1.093</w:t>
      </w:r>
      <w:r>
        <w:rPr>
          <w:rFonts w:ascii="Times New Roman" w:hAnsi="Times New Roman" w:eastAsia="仿宋_GB2312" w:cs="Times New Roman"/>
          <w:bCs/>
          <w:sz w:val="32"/>
          <w:szCs w:val="32"/>
        </w:rPr>
        <w:t>t/a、氨氮</w:t>
      </w:r>
      <w:r>
        <w:rPr>
          <w:rFonts w:hint="eastAsia" w:ascii="Times New Roman" w:hAnsi="Times New Roman" w:eastAsia="仿宋_GB2312" w:cs="Times New Roman"/>
          <w:sz w:val="32"/>
          <w:szCs w:val="32"/>
        </w:rPr>
        <w:t>0.273</w:t>
      </w:r>
      <w:r>
        <w:rPr>
          <w:rFonts w:ascii="Times New Roman" w:hAnsi="Times New Roman" w:eastAsia="仿宋_GB2312" w:cs="Times New Roman"/>
          <w:sz w:val="32"/>
          <w:szCs w:val="32"/>
        </w:rPr>
        <w:t>t/a</w:t>
      </w:r>
      <w:r>
        <w:rPr>
          <w:rFonts w:hint="eastAsia" w:ascii="Times New Roman" w:hAnsi="Times New Roman" w:eastAsia="仿宋_GB2312" w:cs="Times New Roman"/>
          <w:sz w:val="32"/>
          <w:szCs w:val="32"/>
        </w:rPr>
        <w:t>，总磷0.0328</w:t>
      </w:r>
      <w:r>
        <w:rPr>
          <w:rFonts w:ascii="Times New Roman" w:hAnsi="Times New Roman" w:eastAsia="仿宋_GB2312" w:cs="Times New Roman"/>
          <w:sz w:val="32"/>
          <w:szCs w:val="32"/>
        </w:rPr>
        <w:t>t/a</w:t>
      </w:r>
      <w:r>
        <w:rPr>
          <w:rFonts w:hint="eastAsia" w:ascii="仿宋_GB2312" w:hAnsi="仿宋_GB2312" w:eastAsia="仿宋_GB2312" w:cs="仿宋_GB2312"/>
          <w:sz w:val="32"/>
          <w:szCs w:val="32"/>
        </w:rPr>
        <w:t>（经生活垃圾渗滤液站处理达标后的排放量）；建筑/大件垃圾处置利用中心建成后</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大气污染物排放总量为：颗粒物1.104t/a；</w:t>
      </w:r>
      <w:r>
        <w:rPr>
          <w:rFonts w:ascii="Times New Roman" w:hAnsi="Times New Roman" w:eastAsia="仿宋_GB2312" w:cs="Times New Roman"/>
          <w:sz w:val="32"/>
          <w:szCs w:val="32"/>
        </w:rPr>
        <w:t>水污染物排放总量为：</w:t>
      </w:r>
      <w:r>
        <w:rPr>
          <w:rFonts w:ascii="Times New Roman" w:hAnsi="Times New Roman" w:eastAsia="仿宋_GB2312" w:cs="Times New Roman"/>
          <w:bCs/>
          <w:sz w:val="32"/>
          <w:szCs w:val="32"/>
        </w:rPr>
        <w:t>CODcr</w:t>
      </w:r>
      <w:r>
        <w:rPr>
          <w:rFonts w:hint="eastAsia" w:ascii="Times New Roman" w:hAnsi="Times New Roman" w:eastAsia="仿宋_GB2312" w:cs="Times New Roman"/>
          <w:bCs/>
          <w:sz w:val="32"/>
          <w:szCs w:val="32"/>
        </w:rPr>
        <w:t>0.0101</w:t>
      </w:r>
      <w:r>
        <w:rPr>
          <w:rFonts w:ascii="Times New Roman" w:hAnsi="Times New Roman" w:eastAsia="仿宋_GB2312" w:cs="Times New Roman"/>
          <w:bCs/>
          <w:sz w:val="32"/>
          <w:szCs w:val="32"/>
        </w:rPr>
        <w:t>t/a、氨氮</w:t>
      </w:r>
      <w:r>
        <w:rPr>
          <w:rFonts w:hint="eastAsia" w:ascii="Times New Roman" w:hAnsi="Times New Roman" w:eastAsia="仿宋_GB2312" w:cs="Times New Roman"/>
          <w:sz w:val="32"/>
          <w:szCs w:val="32"/>
        </w:rPr>
        <w:t>0.001</w:t>
      </w:r>
      <w:r>
        <w:rPr>
          <w:rFonts w:ascii="Times New Roman" w:hAnsi="Times New Roman" w:eastAsia="仿宋_GB2312" w:cs="Times New Roman"/>
          <w:sz w:val="32"/>
          <w:szCs w:val="32"/>
        </w:rPr>
        <w:t>t/a</w:t>
      </w:r>
      <w:r>
        <w:rPr>
          <w:rFonts w:hint="eastAsia" w:ascii="Times New Roman" w:hAnsi="Times New Roman" w:eastAsia="仿宋_GB2312" w:cs="Times New Roman"/>
          <w:sz w:val="32"/>
          <w:szCs w:val="32"/>
        </w:rPr>
        <w:t>，总磷0.0001</w:t>
      </w:r>
      <w:r>
        <w:rPr>
          <w:rFonts w:ascii="Times New Roman" w:hAnsi="Times New Roman" w:eastAsia="仿宋_GB2312" w:cs="Times New Roman"/>
          <w:sz w:val="32"/>
          <w:szCs w:val="32"/>
        </w:rPr>
        <w:t>t/a</w:t>
      </w:r>
      <w:r>
        <w:rPr>
          <w:rFonts w:hint="eastAsia" w:ascii="Times New Roman" w:hAnsi="Times New Roman" w:eastAsia="仿宋_GB2312" w:cs="Times New Roman"/>
          <w:sz w:val="32"/>
          <w:szCs w:val="32"/>
        </w:rPr>
        <w:t>（经大英县城市生活污水处理厂处理达标后的排放量）</w:t>
      </w:r>
      <w:r>
        <w:rPr>
          <w:rFonts w:hint="eastAsia" w:ascii="仿宋_GB2312" w:hAnsi="仿宋_GB2312" w:eastAsia="仿宋_GB2312" w:cs="仿宋_GB2312"/>
          <w:sz w:val="32"/>
          <w:szCs w:val="32"/>
        </w:rPr>
        <w:t>。</w:t>
      </w:r>
    </w:p>
    <w:p>
      <w:pPr>
        <w:keepNext w:val="0"/>
        <w:keepLines w:val="0"/>
        <w:pageBreakBefore w:val="0"/>
        <w:kinsoku/>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color w:val="000000"/>
          <w:kern w:val="18"/>
          <w:sz w:val="32"/>
          <w:szCs w:val="32"/>
        </w:rPr>
        <w:t>四、排污许可和环保</w:t>
      </w:r>
      <w:r>
        <w:rPr>
          <w:rFonts w:hint="eastAsia" w:ascii="黑体" w:hAnsi="黑体" w:eastAsia="黑体" w:cs="黑体"/>
          <w:sz w:val="32"/>
          <w:szCs w:val="32"/>
        </w:rPr>
        <w:t>验收</w:t>
      </w:r>
    </w:p>
    <w:p>
      <w:pPr>
        <w:keepNext w:val="0"/>
        <w:keepLines w:val="0"/>
        <w:pageBreakBefore w:val="0"/>
        <w:kinsoku/>
        <w:overflowPunct w:val="0"/>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在发生实际排污行为前，按照国家排污许可有关管理规定要求，依法申领排污许可证或者填报排污登记表。建设项目竣工后，应当按照规定的程序和标准，组织对配套建设的环境保护设施及对策措施进行验收，并依法向社会公开。</w:t>
      </w:r>
    </w:p>
    <w:p>
      <w:pPr>
        <w:keepNext w:val="0"/>
        <w:keepLines w:val="0"/>
        <w:pageBreakBefore w:val="0"/>
        <w:kinsoku/>
        <w:overflowPunct w:val="0"/>
        <w:bidi w:val="0"/>
        <w:snapToGrid w:val="0"/>
        <w:spacing w:line="560" w:lineRule="exact"/>
        <w:ind w:firstLine="640" w:firstLineChars="200"/>
        <w:textAlignment w:val="auto"/>
        <w:rPr>
          <w:rFonts w:ascii="黑体" w:hAnsi="黑体" w:eastAsia="黑体" w:cs="黑体"/>
          <w:color w:val="000000"/>
          <w:kern w:val="18"/>
          <w:sz w:val="32"/>
          <w:szCs w:val="32"/>
        </w:rPr>
      </w:pPr>
      <w:r>
        <w:rPr>
          <w:rFonts w:hint="eastAsia" w:ascii="黑体" w:hAnsi="黑体" w:eastAsia="黑体" w:cs="黑体"/>
          <w:color w:val="000000"/>
          <w:kern w:val="18"/>
          <w:sz w:val="32"/>
          <w:szCs w:val="32"/>
        </w:rPr>
        <w:t>五、其他要求</w:t>
      </w:r>
    </w:p>
    <w:p>
      <w:pPr>
        <w:keepNext w:val="0"/>
        <w:keepLines w:val="0"/>
        <w:pageBreakBefore w:val="0"/>
        <w:kinsoku/>
        <w:overflowPunct w:val="0"/>
        <w:bidi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color w:val="000000"/>
          <w:kern w:val="18"/>
          <w:sz w:val="32"/>
          <w:szCs w:val="32"/>
        </w:rPr>
        <w:t>一</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项目开工建设前，应依法完备其他行政许可手续。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spacing w:val="0"/>
          <w:sz w:val="32"/>
          <w:szCs w:val="32"/>
          <w:lang w:eastAsia="zh-CN"/>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项目环境影响评价文件经批准后，如项目的性质、规模、地点、工艺或者防治污染、防止生态破坏的措施发生重大变动，你单位应当重新报批环境影响评价文件，否则不得实施建设。自环</w:t>
      </w:r>
      <w:r>
        <w:rPr>
          <w:rFonts w:ascii="Times New Roman" w:hAnsi="Times New Roman" w:eastAsia="仿宋_GB2312" w:cs="Times New Roman"/>
          <w:sz w:val="32"/>
          <w:szCs w:val="32"/>
        </w:rPr>
        <w:t>境影响评价文件批准之日起，如工程超过5年未开工建设，环境</w:t>
      </w:r>
      <w:r>
        <w:rPr>
          <w:rFonts w:hint="eastAsia" w:ascii="仿宋_GB2312" w:hAnsi="仿宋_GB2312" w:eastAsia="仿宋_GB2312" w:cs="仿宋_GB2312"/>
          <w:sz w:val="32"/>
          <w:szCs w:val="32"/>
        </w:rPr>
        <w:t>影响评价文件应当报我局重新审核。</w:t>
      </w:r>
    </w:p>
    <w:p>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13"/>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654" w:firstLineChars="1419"/>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560" w:lineRule="exact"/>
        <w:ind w:left="0" w:leftChars="0"/>
        <w:jc w:val="right"/>
        <w:textAlignment w:val="auto"/>
        <w:rPr>
          <w:rFonts w:hint="default"/>
          <w:lang w:val="en-US" w:eastAsia="zh-CN"/>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20</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701"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6Ghdfaj6C5g7y8JW7yyPaaJ63q6OAWJ2GkeBelUG3TB5XZeGVxJH+899&#10;F/X4Z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Bb3W6nVAAAACAEAAA8AAAAAAAAAAQAgAAAA&#10;OAAAAGRycy9kb3ducmV2LnhtbFBLAQIUABQAAAAIAIdO4kBrhfn7MQIAAGEEAAAOAAAAAAAAAAEA&#10;IAAAADoBAABkcnMvZTJvRG9jLnhtbFBLBQYAAAAABgAGAFkBAADdBQAAAAA=&#10;">
              <v:fill on="f" focussize="0,0"/>
              <v:stroke on="f" weight="0.5pt"/>
              <v:imagedata o:title=""/>
              <o:lock v:ext="edit" aspectratio="f"/>
              <v:textbox inset="0mm,0mm,0mm,0mm" style="mso-fit-shape-to-text:t;">
                <w:txbxContent>
                  <w:p>
                    <w:pPr>
                      <w:pStyle w:val="13"/>
                      <w:keepNext w:val="0"/>
                      <w:keepLines w:val="0"/>
                      <w:pageBreakBefore w:val="0"/>
                      <w:widowControl w:val="0"/>
                      <w:kinsoku/>
                      <w:wordWrap/>
                      <w:overflowPunct/>
                      <w:topLinePunct w:val="0"/>
                      <w:bidi w:val="0"/>
                      <w:adjustRightInd/>
                      <w:snapToGrid w:val="0"/>
                      <w:spacing w:line="600" w:lineRule="exact"/>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09F3AFC"/>
    <w:rsid w:val="011F28D3"/>
    <w:rsid w:val="01844E19"/>
    <w:rsid w:val="01DD1972"/>
    <w:rsid w:val="01FD40F1"/>
    <w:rsid w:val="02B22144"/>
    <w:rsid w:val="030014CC"/>
    <w:rsid w:val="041E0EAD"/>
    <w:rsid w:val="07445783"/>
    <w:rsid w:val="08076BAC"/>
    <w:rsid w:val="08157D0A"/>
    <w:rsid w:val="082B7D91"/>
    <w:rsid w:val="088675ED"/>
    <w:rsid w:val="089E130F"/>
    <w:rsid w:val="08A70EB9"/>
    <w:rsid w:val="092A1E12"/>
    <w:rsid w:val="094E2162"/>
    <w:rsid w:val="098F0FA5"/>
    <w:rsid w:val="0AE4604C"/>
    <w:rsid w:val="0B327E48"/>
    <w:rsid w:val="0C4C2651"/>
    <w:rsid w:val="0F410220"/>
    <w:rsid w:val="0F5D7B56"/>
    <w:rsid w:val="0FB35FED"/>
    <w:rsid w:val="10632F32"/>
    <w:rsid w:val="108B04C2"/>
    <w:rsid w:val="11553800"/>
    <w:rsid w:val="12011292"/>
    <w:rsid w:val="129F4917"/>
    <w:rsid w:val="13A050E7"/>
    <w:rsid w:val="14741B39"/>
    <w:rsid w:val="14AA3E63"/>
    <w:rsid w:val="15AB60E4"/>
    <w:rsid w:val="15C947BC"/>
    <w:rsid w:val="16243B6E"/>
    <w:rsid w:val="1735378C"/>
    <w:rsid w:val="17586B74"/>
    <w:rsid w:val="1ACF0994"/>
    <w:rsid w:val="1ADB2985"/>
    <w:rsid w:val="1B326960"/>
    <w:rsid w:val="1BCC1635"/>
    <w:rsid w:val="1D04432C"/>
    <w:rsid w:val="1D1F6E89"/>
    <w:rsid w:val="1DC1221D"/>
    <w:rsid w:val="1DEC2C84"/>
    <w:rsid w:val="1E17071F"/>
    <w:rsid w:val="1E29348B"/>
    <w:rsid w:val="1E6609BF"/>
    <w:rsid w:val="1EAC44A7"/>
    <w:rsid w:val="1F8E271B"/>
    <w:rsid w:val="1FC85967"/>
    <w:rsid w:val="203D2D14"/>
    <w:rsid w:val="204F3B10"/>
    <w:rsid w:val="20E64474"/>
    <w:rsid w:val="21413F14"/>
    <w:rsid w:val="21464F13"/>
    <w:rsid w:val="224F429B"/>
    <w:rsid w:val="23631F61"/>
    <w:rsid w:val="23E07BD5"/>
    <w:rsid w:val="251C281B"/>
    <w:rsid w:val="26672398"/>
    <w:rsid w:val="273A436A"/>
    <w:rsid w:val="27E16961"/>
    <w:rsid w:val="290D5E5A"/>
    <w:rsid w:val="29E46919"/>
    <w:rsid w:val="2A1F2C38"/>
    <w:rsid w:val="2A2D6A04"/>
    <w:rsid w:val="2A784B2D"/>
    <w:rsid w:val="2A785045"/>
    <w:rsid w:val="2AAB5339"/>
    <w:rsid w:val="2AC24BA7"/>
    <w:rsid w:val="2B9E2295"/>
    <w:rsid w:val="2CFA5D9C"/>
    <w:rsid w:val="2DC309C3"/>
    <w:rsid w:val="2EFC29C4"/>
    <w:rsid w:val="2F1C72B3"/>
    <w:rsid w:val="310F7B8F"/>
    <w:rsid w:val="31442D31"/>
    <w:rsid w:val="31774C75"/>
    <w:rsid w:val="31F50C2D"/>
    <w:rsid w:val="31FD6612"/>
    <w:rsid w:val="32C1089D"/>
    <w:rsid w:val="34047828"/>
    <w:rsid w:val="344E1C6F"/>
    <w:rsid w:val="34996C6F"/>
    <w:rsid w:val="34A22009"/>
    <w:rsid w:val="354A265C"/>
    <w:rsid w:val="363D60B8"/>
    <w:rsid w:val="37225683"/>
    <w:rsid w:val="372748CB"/>
    <w:rsid w:val="376A1E4F"/>
    <w:rsid w:val="38A178B5"/>
    <w:rsid w:val="38C236CA"/>
    <w:rsid w:val="39116741"/>
    <w:rsid w:val="3965276B"/>
    <w:rsid w:val="3A2A31CC"/>
    <w:rsid w:val="3B313DE1"/>
    <w:rsid w:val="3BD232AA"/>
    <w:rsid w:val="3C1E30AA"/>
    <w:rsid w:val="3C7D32C2"/>
    <w:rsid w:val="3C8A5E5F"/>
    <w:rsid w:val="3E406C06"/>
    <w:rsid w:val="3F47626F"/>
    <w:rsid w:val="40B97948"/>
    <w:rsid w:val="40BF5A1E"/>
    <w:rsid w:val="415844BA"/>
    <w:rsid w:val="41EC74B9"/>
    <w:rsid w:val="42A751E8"/>
    <w:rsid w:val="433E49AD"/>
    <w:rsid w:val="43600B14"/>
    <w:rsid w:val="44000AFA"/>
    <w:rsid w:val="44242A3A"/>
    <w:rsid w:val="46564467"/>
    <w:rsid w:val="47173438"/>
    <w:rsid w:val="486C0E54"/>
    <w:rsid w:val="491F4DFE"/>
    <w:rsid w:val="4944487A"/>
    <w:rsid w:val="4BA71E75"/>
    <w:rsid w:val="4C6267F5"/>
    <w:rsid w:val="4DA81B78"/>
    <w:rsid w:val="4DC16BB8"/>
    <w:rsid w:val="4E4D24B7"/>
    <w:rsid w:val="504C6A58"/>
    <w:rsid w:val="509E5922"/>
    <w:rsid w:val="50A22112"/>
    <w:rsid w:val="50D50B0D"/>
    <w:rsid w:val="518979CC"/>
    <w:rsid w:val="52614E59"/>
    <w:rsid w:val="52A56FED"/>
    <w:rsid w:val="54454557"/>
    <w:rsid w:val="54C73958"/>
    <w:rsid w:val="558A2919"/>
    <w:rsid w:val="55D1023B"/>
    <w:rsid w:val="55E55DA1"/>
    <w:rsid w:val="566A0472"/>
    <w:rsid w:val="56B365F2"/>
    <w:rsid w:val="571C1C97"/>
    <w:rsid w:val="577473DD"/>
    <w:rsid w:val="57EE76DD"/>
    <w:rsid w:val="585711D8"/>
    <w:rsid w:val="58AD279A"/>
    <w:rsid w:val="58C4394C"/>
    <w:rsid w:val="58D418CA"/>
    <w:rsid w:val="59030A18"/>
    <w:rsid w:val="59205D38"/>
    <w:rsid w:val="59C94FB5"/>
    <w:rsid w:val="5A9554EE"/>
    <w:rsid w:val="5A9803FD"/>
    <w:rsid w:val="5C46174B"/>
    <w:rsid w:val="5C781657"/>
    <w:rsid w:val="5CBA1D36"/>
    <w:rsid w:val="5D307EFB"/>
    <w:rsid w:val="5D942597"/>
    <w:rsid w:val="5DCB6DD4"/>
    <w:rsid w:val="5DDD5997"/>
    <w:rsid w:val="5EC51967"/>
    <w:rsid w:val="5EFB1046"/>
    <w:rsid w:val="5F13397F"/>
    <w:rsid w:val="5F304531"/>
    <w:rsid w:val="5F7D046B"/>
    <w:rsid w:val="5F7F5B76"/>
    <w:rsid w:val="5F9E07E1"/>
    <w:rsid w:val="60217911"/>
    <w:rsid w:val="604B33BD"/>
    <w:rsid w:val="60570CFE"/>
    <w:rsid w:val="60B414A2"/>
    <w:rsid w:val="60E60A94"/>
    <w:rsid w:val="61CD7A93"/>
    <w:rsid w:val="61CF012A"/>
    <w:rsid w:val="62BB2173"/>
    <w:rsid w:val="6307250B"/>
    <w:rsid w:val="63133F4E"/>
    <w:rsid w:val="64EF4296"/>
    <w:rsid w:val="670815C7"/>
    <w:rsid w:val="681D537C"/>
    <w:rsid w:val="69966FC3"/>
    <w:rsid w:val="69BE7A7D"/>
    <w:rsid w:val="69CD2D06"/>
    <w:rsid w:val="6A2932E0"/>
    <w:rsid w:val="6A832EF5"/>
    <w:rsid w:val="6AAA7F05"/>
    <w:rsid w:val="6AAE27AE"/>
    <w:rsid w:val="6C846928"/>
    <w:rsid w:val="6D3C5791"/>
    <w:rsid w:val="6DD3694A"/>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6F0F41"/>
    <w:rsid w:val="75091655"/>
    <w:rsid w:val="751C3136"/>
    <w:rsid w:val="76150602"/>
    <w:rsid w:val="76FC7D28"/>
    <w:rsid w:val="77992DA9"/>
    <w:rsid w:val="78E7601E"/>
    <w:rsid w:val="78F06C72"/>
    <w:rsid w:val="79C96773"/>
    <w:rsid w:val="7A195E96"/>
    <w:rsid w:val="7B191EC6"/>
    <w:rsid w:val="7C663B77"/>
    <w:rsid w:val="7C7535FD"/>
    <w:rsid w:val="7D1512CD"/>
    <w:rsid w:val="7E17693C"/>
    <w:rsid w:val="7EBC6E92"/>
    <w:rsid w:val="F59C81C2"/>
    <w:rsid w:val="FFFEC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5">
    <w:name w:val="List Number"/>
    <w:basedOn w:val="1"/>
    <w:qFormat/>
    <w:uiPriority w:val="0"/>
    <w:pPr>
      <w:numPr>
        <w:ilvl w:val="0"/>
        <w:numId w:val="1"/>
      </w:numPr>
    </w:pPr>
  </w:style>
  <w:style w:type="paragraph" w:styleId="6">
    <w:name w:val="toa heading"/>
    <w:basedOn w:val="1"/>
    <w:next w:val="1"/>
    <w:qFormat/>
    <w:uiPriority w:val="0"/>
    <w:pPr>
      <w:spacing w:before="120"/>
    </w:pPr>
    <w:rPr>
      <w:rFonts w:ascii="Arial" w:hAnsi="Arial" w:cs="Arial"/>
    </w:rPr>
  </w:style>
  <w:style w:type="paragraph" w:styleId="7">
    <w:name w:val="Body Text"/>
    <w:basedOn w:val="1"/>
    <w:qFormat/>
    <w:uiPriority w:val="0"/>
    <w:pPr>
      <w:ind w:left="120"/>
    </w:pPr>
    <w:rPr>
      <w:rFonts w:ascii="宋体" w:hAnsi="宋体"/>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eastAsia="宋体" w:cs="Times New Roman"/>
    </w:rPr>
  </w:style>
  <w:style w:type="paragraph" w:styleId="10">
    <w:name w:val="Body Text Indent 2"/>
    <w:basedOn w:val="1"/>
    <w:next w:val="11"/>
    <w:qFormat/>
    <w:uiPriority w:val="0"/>
    <w:pPr>
      <w:adjustRightInd w:val="0"/>
      <w:snapToGrid w:val="0"/>
      <w:spacing w:line="440" w:lineRule="atLeast"/>
      <w:ind w:firstLine="573"/>
    </w:pPr>
    <w:rPr>
      <w:rFonts w:ascii="宋体"/>
    </w:rPr>
  </w:style>
  <w:style w:type="paragraph" w:customStyle="1" w:styleId="11">
    <w:name w:val="简单回函地址"/>
    <w:basedOn w:val="1"/>
    <w:next w:val="12"/>
    <w:qFormat/>
    <w:uiPriority w:val="0"/>
    <w:rPr>
      <w:szCs w:val="20"/>
    </w:rPr>
  </w:style>
  <w:style w:type="paragraph" w:customStyle="1" w:styleId="12">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3">
    <w:name w:val="footer"/>
    <w:basedOn w:val="1"/>
    <w:next w:val="1"/>
    <w:qFormat/>
    <w:uiPriority w:val="0"/>
    <w:pPr>
      <w:tabs>
        <w:tab w:val="center" w:pos="4153"/>
        <w:tab w:val="right" w:pos="8306"/>
      </w:tabs>
      <w:snapToGrid w:val="0"/>
      <w:jc w:val="left"/>
    </w:pPr>
    <w:rPr>
      <w:sz w:val="18"/>
    </w:rPr>
  </w:style>
  <w:style w:type="paragraph" w:styleId="14">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6"/>
    <w:basedOn w:val="1"/>
    <w:next w:val="1"/>
    <w:qFormat/>
    <w:uiPriority w:val="0"/>
    <w:pPr>
      <w:ind w:left="2100"/>
    </w:pPr>
    <w:rPr>
      <w:rFonts w:ascii="楷体_GB2312" w:hAnsi="Calibri" w:eastAsia="楷体_GB2312"/>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qFormat/>
    <w:uiPriority w:val="0"/>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常用样式（方正仿宋简）"/>
    <w:basedOn w:val="22"/>
    <w:next w:val="1"/>
    <w:qFormat/>
    <w:uiPriority w:val="0"/>
    <w:pPr>
      <w:spacing w:line="560" w:lineRule="exact"/>
      <w:ind w:firstLine="640" w:firstLineChars="200"/>
    </w:pPr>
    <w:rPr>
      <w:rFonts w:ascii="Times New Roman" w:hAnsi="Times New Roman" w:eastAsia="方正仿宋简体"/>
      <w:sz w:val="32"/>
    </w:rPr>
  </w:style>
  <w:style w:type="paragraph" w:customStyle="1" w:styleId="22">
    <w:name w:val="正文1"/>
    <w:next w:val="2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文本1"/>
    <w:basedOn w:val="22"/>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6">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7">
    <w:name w:val="font21"/>
    <w:basedOn w:val="20"/>
    <w:qFormat/>
    <w:uiPriority w:val="0"/>
    <w:rPr>
      <w:rFonts w:hint="eastAsia" w:ascii="宋体" w:hAnsi="宋体" w:eastAsia="宋体" w:cs="宋体"/>
      <w:color w:val="000000"/>
      <w:sz w:val="20"/>
      <w:szCs w:val="20"/>
      <w:u w:val="none"/>
    </w:rPr>
  </w:style>
  <w:style w:type="paragraph" w:customStyle="1" w:styleId="28">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9">
    <w:name w:val="font71"/>
    <w:basedOn w:val="20"/>
    <w:qFormat/>
    <w:uiPriority w:val="0"/>
    <w:rPr>
      <w:rFonts w:hint="eastAsia" w:ascii="宋体" w:hAnsi="宋体" w:eastAsia="宋体" w:cs="宋体"/>
      <w:color w:val="000000"/>
      <w:sz w:val="22"/>
      <w:szCs w:val="22"/>
      <w:u w:val="none"/>
    </w:rPr>
  </w:style>
  <w:style w:type="paragraph" w:customStyle="1" w:styleId="3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28</TotalTime>
  <ScaleCrop>false</ScaleCrop>
  <LinksUpToDate>false</LinksUpToDate>
  <CharactersWithSpaces>904</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2023-01-06T15:22:00Z</dcterms:created>
  <dc:creator>pc</dc:creator>
  <cp:lastModifiedBy>user</cp:lastModifiedBy>
  <cp:lastPrinted>2023-11-01T09:33:00Z</cp:lastPrinted>
  <dcterms:modified xsi:type="dcterms:W3CDTF">2023-12-21T10:21:54Z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770FC33594934BA7A1849BCD676E20C8_13</vt:lpwstr>
  </property>
</Properties>
</file>