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rPr>
          <w:sz w:val="36"/>
          <w:szCs w:val="36"/>
        </w:rPr>
      </w:pPr>
    </w:p>
    <w:p>
      <w:pPr>
        <w:rPr>
          <w:sz w:val="36"/>
          <w:szCs w:val="36"/>
        </w:rPr>
      </w:pPr>
    </w:p>
    <w:p>
      <w:pPr>
        <w:rPr>
          <w:sz w:val="36"/>
          <w:szCs w:val="36"/>
        </w:rPr>
      </w:pPr>
    </w:p>
    <w:p>
      <w:pPr>
        <w:rPr>
          <w:sz w:val="36"/>
          <w:szCs w:val="36"/>
        </w:rPr>
      </w:pPr>
    </w:p>
    <w:p>
      <w:pPr>
        <w:adjustRightInd w:val="0"/>
        <w:snapToGrid w:val="0"/>
        <w:jc w:val="center"/>
        <w:outlineLvl w:val="0"/>
        <w:rPr>
          <w:bCs/>
          <w:sz w:val="72"/>
          <w:szCs w:val="72"/>
        </w:rPr>
      </w:pPr>
      <w:r>
        <w:rPr>
          <w:bCs/>
          <w:sz w:val="72"/>
          <w:szCs w:val="72"/>
        </w:rPr>
        <w:t>建设项目环境影响报告表</w:t>
      </w:r>
    </w:p>
    <w:p>
      <w:pPr>
        <w:adjustRightInd w:val="0"/>
        <w:snapToGrid w:val="0"/>
        <w:spacing w:before="192" w:beforeLines="80" w:line="800" w:lineRule="exact"/>
        <w:jc w:val="center"/>
        <w:rPr>
          <w:bCs/>
          <w:sz w:val="48"/>
          <w:szCs w:val="48"/>
        </w:rPr>
      </w:pPr>
      <w:r>
        <w:rPr>
          <w:bCs/>
          <w:sz w:val="48"/>
          <w:szCs w:val="48"/>
        </w:rPr>
        <w:t>（污染影响类）</w:t>
      </w:r>
    </w:p>
    <w:p>
      <w:pPr>
        <w:adjustRightInd w:val="0"/>
        <w:snapToGrid w:val="0"/>
        <w:spacing w:line="800" w:lineRule="exact"/>
        <w:jc w:val="center"/>
        <w:outlineLvl w:val="0"/>
        <w:rPr>
          <w:kern w:val="44"/>
          <w:sz w:val="44"/>
          <w:szCs w:val="44"/>
        </w:rPr>
      </w:pPr>
      <w:r>
        <w:rPr>
          <w:kern w:val="44"/>
          <w:sz w:val="44"/>
          <w:szCs w:val="44"/>
        </w:rPr>
        <w:t>（</w:t>
      </w:r>
      <w:r>
        <w:rPr>
          <w:rFonts w:hint="eastAsia"/>
          <w:kern w:val="44"/>
          <w:sz w:val="44"/>
          <w:szCs w:val="44"/>
        </w:rPr>
        <w:t>公示本</w:t>
      </w:r>
      <w:r>
        <w:rPr>
          <w:kern w:val="44"/>
          <w:sz w:val="44"/>
          <w:szCs w:val="44"/>
        </w:rPr>
        <w:t>）</w:t>
      </w:r>
    </w:p>
    <w:p>
      <w:pPr>
        <w:jc w:val="center"/>
        <w:rPr>
          <w:sz w:val="52"/>
          <w:szCs w:val="52"/>
        </w:rPr>
      </w:pPr>
    </w:p>
    <w:p>
      <w:pPr>
        <w:ind w:firstLine="1040"/>
        <w:rPr>
          <w:sz w:val="44"/>
          <w:szCs w:val="44"/>
        </w:rPr>
      </w:pPr>
    </w:p>
    <w:p>
      <w:pPr>
        <w:ind w:firstLine="1040"/>
        <w:rPr>
          <w:sz w:val="44"/>
          <w:szCs w:val="44"/>
        </w:rPr>
      </w:pPr>
    </w:p>
    <w:p>
      <w:pPr>
        <w:ind w:firstLine="1040"/>
        <w:rPr>
          <w:sz w:val="44"/>
          <w:szCs w:val="44"/>
        </w:rPr>
      </w:pPr>
    </w:p>
    <w:p>
      <w:pPr>
        <w:ind w:firstLine="1040"/>
        <w:rPr>
          <w:sz w:val="44"/>
          <w:szCs w:val="44"/>
        </w:rPr>
      </w:pPr>
    </w:p>
    <w:p>
      <w:pPr>
        <w:adjustRightInd w:val="0"/>
        <w:snapToGrid w:val="0"/>
        <w:spacing w:line="288" w:lineRule="auto"/>
        <w:jc w:val="center"/>
        <w:rPr>
          <w:sz w:val="36"/>
          <w:szCs w:val="36"/>
          <w:u w:val="single"/>
        </w:rPr>
      </w:pPr>
      <w:r>
        <mc:AlternateContent>
          <mc:Choice Requires="wps">
            <w:drawing>
              <wp:anchor distT="0" distB="0" distL="114300" distR="114300" simplePos="0" relativeHeight="251659264" behindDoc="0" locked="0" layoutInCell="1" allowOverlap="1">
                <wp:simplePos x="0" y="0"/>
                <wp:positionH relativeFrom="column">
                  <wp:posOffset>1221105</wp:posOffset>
                </wp:positionH>
                <wp:positionV relativeFrom="paragraph">
                  <wp:posOffset>312420</wp:posOffset>
                </wp:positionV>
                <wp:extent cx="4063365" cy="0"/>
                <wp:effectExtent l="0" t="0" r="0" b="0"/>
                <wp:wrapNone/>
                <wp:docPr id="138712837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margin-left:96.15pt;margin-top:24.6pt;height:0pt;width:319.95pt;z-index:251659264;mso-width-relative:page;mso-height-relative:page;" filled="f" stroked="t" coordsize="21600,21600" o:gfxdata="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9CX+21gAAAAkBAAAPAAAAAAAA&#10;AAEAIAAAADgAAABkcnMvZG93bnJldi54bWxQSwECFAAUAAAACACHTuJAZMp6zf4BAADHAwAADgAA&#10;AAAAAAABACAAAAA7AQAAZHJzL2Uyb0RvYy54bWxQSwUGAAAAAAYABgBZAQAAqwUAAAAA&#10;">
                <v:fill on="f" focussize="0,0"/>
                <v:stroke color="#000000" joinstyle="round"/>
                <v:imagedata o:title=""/>
                <o:lock v:ext="edit" aspectratio="f"/>
              </v:shape>
            </w:pict>
          </mc:Fallback>
        </mc:AlternateContent>
      </w:r>
      <w:r>
        <w:rPr>
          <w:sz w:val="36"/>
          <w:szCs w:val="36"/>
        </w:rPr>
        <w:t>项目名称：  四川鸿乔再生资源利用有限公司再生资源综</w:t>
      </w:r>
      <w:r>
        <w:rPr>
          <w:sz w:val="36"/>
          <w:szCs w:val="36"/>
          <w:u w:val="single"/>
        </w:rPr>
        <w:t>合利用升级改造项目</w:t>
      </w:r>
    </w:p>
    <w:p>
      <w:pPr>
        <w:adjustRightInd w:val="0"/>
        <w:snapToGrid w:val="0"/>
        <w:spacing w:line="288" w:lineRule="auto"/>
        <w:rPr>
          <w:sz w:val="36"/>
          <w:szCs w:val="36"/>
        </w:rPr>
      </w:pPr>
    </w:p>
    <w:p>
      <w:pPr>
        <w:adjustRightInd w:val="0"/>
        <w:snapToGrid w:val="0"/>
        <w:spacing w:line="288" w:lineRule="auto"/>
        <w:rPr>
          <w:sz w:val="36"/>
          <w:szCs w:val="36"/>
          <w:u w:val="single"/>
        </w:rPr>
      </w:pPr>
      <w: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348615</wp:posOffset>
                </wp:positionV>
                <wp:extent cx="4063365" cy="0"/>
                <wp:effectExtent l="0" t="0" r="0" b="0"/>
                <wp:wrapNone/>
                <wp:docPr id="1765530221"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2" o:spid="_x0000_s1026" o:spt="32" type="#_x0000_t32" style="position:absolute;left:0pt;margin-left:102.6pt;margin-top:27.45pt;height:0pt;width:319.95pt;z-index:251660288;mso-width-relative:page;mso-height-relative:page;" filled="f" stroked="t" coordsize="21600,21600" o:gfxdata="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BoPGh1wAAAAkBAAAPAAAAAAAA&#10;AAEAIAAAADgAAABkcnMvZG93bnJldi54bWxQSwECFAAUAAAACACHTuJAU+6qMP0BAADHAwAADgAA&#10;AAAAAAABACAAAAA8AQAAZHJzL2Uyb0RvYy54bWxQSwUGAAAAAAYABgBZAQAAqwUAAAAA&#10;">
                <v:fill on="f" focussize="0,0"/>
                <v:stroke color="#000000" joinstyle="round"/>
                <v:imagedata o:title=""/>
                <o:lock v:ext="edit" aspectratio="f"/>
              </v:shape>
            </w:pict>
          </mc:Fallback>
        </mc:AlternateContent>
      </w:r>
      <w:r>
        <w:rPr>
          <w:sz w:val="36"/>
          <w:szCs w:val="36"/>
        </w:rPr>
        <w:t>建设单位（盖章）：四川鸿乔再生资源利用有限公司</w:t>
      </w:r>
    </w:p>
    <w:p>
      <w:pPr>
        <w:adjustRightInd w:val="0"/>
        <w:snapToGrid w:val="0"/>
        <w:spacing w:line="288" w:lineRule="auto"/>
        <w:rPr>
          <w:sz w:val="36"/>
          <w:szCs w:val="36"/>
        </w:rPr>
      </w:pPr>
    </w:p>
    <w:p>
      <w:pPr>
        <w:adjustRightInd w:val="0"/>
        <w:snapToGrid w:val="0"/>
        <w:spacing w:line="288" w:lineRule="auto"/>
        <w:rPr>
          <w:sz w:val="36"/>
          <w:szCs w:val="36"/>
        </w:rPr>
      </w:pPr>
      <w:r>
        <mc:AlternateContent>
          <mc:Choice Requires="wps">
            <w:drawing>
              <wp:anchor distT="0" distB="0" distL="114300" distR="114300" simplePos="0" relativeHeight="251661312" behindDoc="0" locked="0" layoutInCell="1" allowOverlap="1">
                <wp:simplePos x="0" y="0"/>
                <wp:positionH relativeFrom="column">
                  <wp:posOffset>1303020</wp:posOffset>
                </wp:positionH>
                <wp:positionV relativeFrom="paragraph">
                  <wp:posOffset>281940</wp:posOffset>
                </wp:positionV>
                <wp:extent cx="4063365" cy="0"/>
                <wp:effectExtent l="0" t="0" r="0" b="0"/>
                <wp:wrapNone/>
                <wp:docPr id="1799569134"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1" o:spid="_x0000_s1026" o:spt="32" type="#_x0000_t32" style="position:absolute;left:0pt;margin-left:102.6pt;margin-top:22.2pt;height:0pt;width:319.95pt;z-index:251661312;mso-width-relative:page;mso-height-relative:page;" filled="f" stroked="t" coordsize="21600,21600" o:gfxdata="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ucwhZ1wAAAAkBAAAPAAAAAAAA&#10;AAEAIAAAADgAAABkcnMvZG93bnJldi54bWxQSwECFAAUAAAACACHTuJAqBZG6/0BAADHAwAADgAA&#10;AAAAAAABACAAAAA8AQAAZHJzL2Uyb0RvYy54bWxQSwUGAAAAAAYABgBZAQAAqwUAAAAA&#10;">
                <v:fill on="f" focussize="0,0"/>
                <v:stroke color="#000000" joinstyle="round"/>
                <v:imagedata o:title=""/>
                <o:lock v:ext="edit" aspectratio="f"/>
              </v:shape>
            </w:pict>
          </mc:Fallback>
        </mc:AlternateContent>
      </w:r>
      <w:r>
        <w:rPr>
          <w:sz w:val="36"/>
          <w:szCs w:val="36"/>
        </w:rPr>
        <w:t>编制日期：                      2024年1月</w:t>
      </w:r>
    </w:p>
    <w:p>
      <w:pPr>
        <w:adjustRightInd w:val="0"/>
        <w:snapToGrid w:val="0"/>
        <w:spacing w:line="288" w:lineRule="auto"/>
        <w:ind w:firstLine="1040"/>
        <w:rPr>
          <w:sz w:val="36"/>
          <w:szCs w:val="36"/>
          <w:u w:val="single"/>
        </w:rPr>
      </w:pPr>
      <w:bookmarkStart w:id="0" w:name="_Hlk57884087"/>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rPr>
          <w:sz w:val="36"/>
          <w:szCs w:val="36"/>
        </w:rPr>
      </w:pPr>
    </w:p>
    <w:bookmarkEnd w:id="0"/>
    <w:p>
      <w:pPr>
        <w:adjustRightInd w:val="0"/>
        <w:snapToGrid w:val="0"/>
        <w:spacing w:line="288" w:lineRule="auto"/>
        <w:jc w:val="center"/>
        <w:rPr>
          <w:sz w:val="36"/>
          <w:szCs w:val="36"/>
        </w:rPr>
      </w:pPr>
      <w:r>
        <w:rPr>
          <w:sz w:val="36"/>
          <w:szCs w:val="36"/>
        </w:rPr>
        <w:t>中华人民共和国生态环境部制</w:t>
      </w:r>
    </w:p>
    <w:p>
      <w:pPr>
        <w:pStyle w:val="2"/>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一、建设项目基本情况</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07"/>
        <w:gridCol w:w="1944"/>
        <w:gridCol w:w="1838"/>
        <w:gridCol w:w="39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24" w:type="pct"/>
            <w:tcMar>
              <w:top w:w="16" w:type="dxa"/>
              <w:left w:w="16" w:type="dxa"/>
              <w:right w:w="16" w:type="dxa"/>
            </w:tcMar>
            <w:vAlign w:val="center"/>
          </w:tcPr>
          <w:p>
            <w:pPr>
              <w:rPr>
                <w:sz w:val="24"/>
              </w:rPr>
            </w:pPr>
            <w:r>
              <w:rPr>
                <w:sz w:val="24"/>
              </w:rPr>
              <w:t>建设项目名称</w:t>
            </w:r>
          </w:p>
        </w:tc>
        <w:tc>
          <w:tcPr>
            <w:tcW w:w="4376" w:type="pct"/>
            <w:gridSpan w:val="3"/>
            <w:vAlign w:val="center"/>
          </w:tcPr>
          <w:p>
            <w:pPr>
              <w:jc w:val="center"/>
              <w:rPr>
                <w:sz w:val="24"/>
              </w:rPr>
            </w:pPr>
            <w:r>
              <w:rPr>
                <w:sz w:val="24"/>
              </w:rPr>
              <w:t>四川鸿乔再生资源利用有限公司再生资源综合利用升级改造项目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24" w:type="pct"/>
            <w:tcMar>
              <w:top w:w="16" w:type="dxa"/>
              <w:left w:w="16" w:type="dxa"/>
              <w:right w:w="16" w:type="dxa"/>
            </w:tcMar>
            <w:vAlign w:val="center"/>
          </w:tcPr>
          <w:p>
            <w:pPr>
              <w:rPr>
                <w:sz w:val="24"/>
              </w:rPr>
            </w:pPr>
            <w:r>
              <w:rPr>
                <w:sz w:val="24"/>
              </w:rPr>
              <w:t>项目代码</w:t>
            </w:r>
          </w:p>
        </w:tc>
        <w:tc>
          <w:tcPr>
            <w:tcW w:w="4376" w:type="pct"/>
            <w:gridSpan w:val="3"/>
            <w:vAlign w:val="center"/>
          </w:tcPr>
          <w:p>
            <w:pPr>
              <w:jc w:val="center"/>
              <w:rPr>
                <w:sz w:val="24"/>
              </w:rPr>
            </w:pPr>
            <w:r>
              <w:rPr>
                <w:sz w:val="24"/>
              </w:rPr>
              <w:t>2401-510923-07-02-846811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24" w:type="pct"/>
            <w:tcMar>
              <w:top w:w="16" w:type="dxa"/>
              <w:left w:w="16" w:type="dxa"/>
              <w:right w:w="16" w:type="dxa"/>
            </w:tcMar>
            <w:vAlign w:val="center"/>
          </w:tcPr>
          <w:p>
            <w:pPr>
              <w:rPr>
                <w:sz w:val="24"/>
              </w:rPr>
            </w:pPr>
            <w:r>
              <w:rPr>
                <w:sz w:val="24"/>
              </w:rPr>
              <w:t>建设单位联系人</w:t>
            </w:r>
          </w:p>
        </w:tc>
        <w:tc>
          <w:tcPr>
            <w:tcW w:w="1096" w:type="pct"/>
            <w:vAlign w:val="center"/>
          </w:tcPr>
          <w:p>
            <w:pPr>
              <w:jc w:val="center"/>
              <w:rPr>
                <w:sz w:val="24"/>
              </w:rPr>
            </w:pPr>
            <w:r>
              <w:rPr>
                <w:sz w:val="24"/>
              </w:rPr>
              <w:t>李</w:t>
            </w:r>
            <w:r>
              <w:rPr>
                <w:rFonts w:hint="eastAsia"/>
                <w:sz w:val="24"/>
              </w:rPr>
              <w:t>*</w:t>
            </w:r>
          </w:p>
        </w:tc>
        <w:tc>
          <w:tcPr>
            <w:tcW w:w="1036" w:type="pct"/>
            <w:vAlign w:val="center"/>
          </w:tcPr>
          <w:p>
            <w:pPr>
              <w:jc w:val="center"/>
              <w:rPr>
                <w:sz w:val="24"/>
              </w:rPr>
            </w:pPr>
            <w:r>
              <w:rPr>
                <w:sz w:val="24"/>
              </w:rPr>
              <w:t>联系方式</w:t>
            </w:r>
          </w:p>
        </w:tc>
        <w:tc>
          <w:tcPr>
            <w:tcW w:w="2244" w:type="pct"/>
            <w:vAlign w:val="center"/>
          </w:tcPr>
          <w:p>
            <w:pPr>
              <w:jc w:val="center"/>
              <w:rPr>
                <w:sz w:val="24"/>
              </w:rPr>
            </w:pPr>
            <w:r>
              <w:rPr>
                <w:sz w:val="24"/>
              </w:rPr>
              <w:t>188****8965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24" w:type="pct"/>
            <w:tcMar>
              <w:top w:w="16" w:type="dxa"/>
              <w:left w:w="16" w:type="dxa"/>
              <w:right w:w="16" w:type="dxa"/>
            </w:tcMar>
            <w:vAlign w:val="center"/>
          </w:tcPr>
          <w:p>
            <w:pPr>
              <w:rPr>
                <w:sz w:val="24"/>
              </w:rPr>
            </w:pPr>
            <w:r>
              <w:rPr>
                <w:sz w:val="24"/>
              </w:rPr>
              <w:t>建设地点</w:t>
            </w:r>
          </w:p>
        </w:tc>
        <w:tc>
          <w:tcPr>
            <w:tcW w:w="4376" w:type="pct"/>
            <w:gridSpan w:val="3"/>
            <w:vAlign w:val="center"/>
          </w:tcPr>
          <w:p>
            <w:pPr>
              <w:jc w:val="center"/>
              <w:rPr>
                <w:sz w:val="24"/>
              </w:rPr>
            </w:pPr>
            <w:r>
              <w:rPr>
                <w:rFonts w:hint="eastAsia"/>
                <w:sz w:val="24"/>
              </w:rPr>
              <w:t>四川省遂宁市</w:t>
            </w:r>
            <w:r>
              <w:rPr>
                <w:sz w:val="24"/>
              </w:rPr>
              <w:t>大英县蓬莱镇虎泉村8社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24" w:type="pct"/>
            <w:tcMar>
              <w:top w:w="16" w:type="dxa"/>
              <w:left w:w="16" w:type="dxa"/>
              <w:right w:w="16" w:type="dxa"/>
            </w:tcMar>
            <w:vAlign w:val="center"/>
          </w:tcPr>
          <w:p>
            <w:pPr>
              <w:rPr>
                <w:sz w:val="24"/>
              </w:rPr>
            </w:pPr>
            <w:r>
              <w:rPr>
                <w:sz w:val="24"/>
              </w:rPr>
              <w:t>地理坐标</w:t>
            </w:r>
          </w:p>
        </w:tc>
        <w:tc>
          <w:tcPr>
            <w:tcW w:w="4376" w:type="pct"/>
            <w:gridSpan w:val="3"/>
            <w:vAlign w:val="center"/>
          </w:tcPr>
          <w:p>
            <w:pPr>
              <w:jc w:val="center"/>
              <w:rPr>
                <w:sz w:val="24"/>
              </w:rPr>
            </w:pPr>
            <w:r>
              <w:rPr>
                <w:sz w:val="24"/>
              </w:rPr>
              <w:t>（东经 105 度 15 分53.488秒，北纬 30 度 36分 59.189秒）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34" w:hRule="exact"/>
          <w:jc w:val="center"/>
        </w:trPr>
        <w:tc>
          <w:tcPr>
            <w:tcW w:w="624" w:type="pct"/>
            <w:tcMar>
              <w:top w:w="16" w:type="dxa"/>
              <w:left w:w="16" w:type="dxa"/>
              <w:right w:w="16" w:type="dxa"/>
            </w:tcMar>
            <w:vAlign w:val="center"/>
          </w:tcPr>
          <w:p>
            <w:pPr>
              <w:rPr>
                <w:sz w:val="24"/>
              </w:rPr>
            </w:pPr>
            <w:r>
              <w:rPr>
                <w:sz w:val="24"/>
              </w:rPr>
              <w:t>国民经济行业类别</w:t>
            </w:r>
          </w:p>
        </w:tc>
        <w:tc>
          <w:tcPr>
            <w:tcW w:w="1096" w:type="pct"/>
            <w:vAlign w:val="center"/>
          </w:tcPr>
          <w:p>
            <w:pPr>
              <w:rPr>
                <w:sz w:val="24"/>
              </w:rPr>
            </w:pPr>
            <w:r>
              <w:rPr>
                <w:sz w:val="24"/>
              </w:rPr>
              <w:t>C3031粘土砖瓦及建筑砌块制造</w:t>
            </w:r>
          </w:p>
        </w:tc>
        <w:tc>
          <w:tcPr>
            <w:tcW w:w="1036" w:type="pct"/>
            <w:vAlign w:val="center"/>
          </w:tcPr>
          <w:p>
            <w:pPr>
              <w:jc w:val="center"/>
              <w:rPr>
                <w:sz w:val="24"/>
              </w:rPr>
            </w:pPr>
            <w:bookmarkStart w:id="1" w:name="_Hlk49843745"/>
            <w:r>
              <w:rPr>
                <w:sz w:val="24"/>
              </w:rPr>
              <w:t>建设项目</w:t>
            </w:r>
          </w:p>
          <w:p>
            <w:pPr>
              <w:jc w:val="center"/>
              <w:rPr>
                <w:sz w:val="24"/>
              </w:rPr>
            </w:pPr>
            <w:r>
              <w:rPr>
                <w:sz w:val="24"/>
              </w:rPr>
              <w:t>行业类别</w:t>
            </w:r>
            <w:bookmarkEnd w:id="1"/>
          </w:p>
        </w:tc>
        <w:tc>
          <w:tcPr>
            <w:tcW w:w="2244" w:type="pct"/>
            <w:vAlign w:val="center"/>
          </w:tcPr>
          <w:p>
            <w:pPr>
              <w:jc w:val="left"/>
              <w:rPr>
                <w:sz w:val="24"/>
              </w:rPr>
            </w:pPr>
            <w:r>
              <w:rPr>
                <w:sz w:val="24"/>
              </w:rPr>
              <w:t>56砖瓦、石材等建筑材料制造303；103一般工业固体废物（含污水处理污泥）、建筑施工废弃物处置及综合利用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49" w:hRule="exact"/>
          <w:jc w:val="center"/>
        </w:trPr>
        <w:tc>
          <w:tcPr>
            <w:tcW w:w="624" w:type="pct"/>
            <w:tcMar>
              <w:top w:w="16" w:type="dxa"/>
              <w:left w:w="16" w:type="dxa"/>
              <w:right w:w="16" w:type="dxa"/>
            </w:tcMar>
            <w:vAlign w:val="center"/>
          </w:tcPr>
          <w:p>
            <w:pPr>
              <w:rPr>
                <w:sz w:val="24"/>
              </w:rPr>
            </w:pPr>
            <w:r>
              <w:rPr>
                <w:sz w:val="24"/>
              </w:rPr>
              <w:t>建设性质</w:t>
            </w:r>
          </w:p>
        </w:tc>
        <w:tc>
          <w:tcPr>
            <w:tcW w:w="1096" w:type="pct"/>
            <w:vAlign w:val="center"/>
          </w:tcPr>
          <w:p>
            <w:pPr>
              <w:rPr>
                <w:sz w:val="24"/>
              </w:rPr>
            </w:pPr>
            <w:r>
              <w:rPr>
                <w:sz w:val="24"/>
              </w:rPr>
              <w:t>□新建（迁建）</w:t>
            </w:r>
          </w:p>
          <w:p>
            <w:pPr>
              <w:rPr>
                <w:sz w:val="24"/>
              </w:rPr>
            </w:pPr>
            <w:r>
              <w:rPr>
                <w:sz w:val="24"/>
              </w:rPr>
              <w:sym w:font="Wingdings 2" w:char="0052"/>
            </w:r>
            <w:r>
              <w:rPr>
                <w:sz w:val="24"/>
              </w:rPr>
              <w:t>改建</w:t>
            </w:r>
          </w:p>
          <w:p>
            <w:pPr>
              <w:rPr>
                <w:sz w:val="24"/>
              </w:rPr>
            </w:pPr>
            <w:r>
              <w:rPr>
                <w:sz w:val="24"/>
              </w:rPr>
              <w:t>□扩建</w:t>
            </w:r>
          </w:p>
          <w:p>
            <w:pPr>
              <w:rPr>
                <w:sz w:val="24"/>
              </w:rPr>
            </w:pPr>
            <w:r>
              <w:rPr>
                <w:sz w:val="24"/>
              </w:rPr>
              <w:sym w:font="Wingdings 2" w:char="0052"/>
            </w:r>
            <w:r>
              <w:rPr>
                <w:sz w:val="24"/>
              </w:rPr>
              <w:t>技术改造</w:t>
            </w:r>
          </w:p>
        </w:tc>
        <w:tc>
          <w:tcPr>
            <w:tcW w:w="1036" w:type="pct"/>
            <w:vAlign w:val="center"/>
          </w:tcPr>
          <w:p>
            <w:pPr>
              <w:jc w:val="center"/>
              <w:rPr>
                <w:sz w:val="24"/>
              </w:rPr>
            </w:pPr>
            <w:r>
              <w:rPr>
                <w:sz w:val="24"/>
              </w:rPr>
              <w:t>建设项目</w:t>
            </w:r>
          </w:p>
          <w:p>
            <w:pPr>
              <w:jc w:val="center"/>
              <w:rPr>
                <w:sz w:val="24"/>
              </w:rPr>
            </w:pPr>
            <w:r>
              <w:rPr>
                <w:sz w:val="24"/>
              </w:rPr>
              <w:t>申报情形</w:t>
            </w:r>
          </w:p>
        </w:tc>
        <w:tc>
          <w:tcPr>
            <w:tcW w:w="2244" w:type="pct"/>
            <w:vAlign w:val="center"/>
          </w:tcPr>
          <w:p>
            <w:pPr>
              <w:jc w:val="left"/>
              <w:rPr>
                <w:sz w:val="24"/>
              </w:rPr>
            </w:pPr>
            <w:r>
              <w:rPr>
                <w:rFonts w:ascii="Segoe UI Symbol" w:hAnsi="Segoe UI Symbol" w:cs="Segoe UI Symbol"/>
                <w:sz w:val="24"/>
              </w:rPr>
              <w:t>☑</w:t>
            </w:r>
            <w:r>
              <w:rPr>
                <w:sz w:val="24"/>
              </w:rPr>
              <w:t>首次申报项目</w:t>
            </w:r>
          </w:p>
          <w:p>
            <w:pPr>
              <w:jc w:val="left"/>
              <w:rPr>
                <w:sz w:val="24"/>
              </w:rPr>
            </w:pPr>
            <w:r>
              <w:rPr>
                <w:sz w:val="24"/>
              </w:rPr>
              <w:t>□不予批准后再次申报项目</w:t>
            </w:r>
          </w:p>
          <w:p>
            <w:pPr>
              <w:jc w:val="left"/>
              <w:rPr>
                <w:sz w:val="24"/>
              </w:rPr>
            </w:pPr>
            <w:r>
              <w:rPr>
                <w:sz w:val="24"/>
              </w:rPr>
              <w:t>□超五年重新审核项目</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3" w:hRule="exact"/>
          <w:jc w:val="center"/>
        </w:trPr>
        <w:tc>
          <w:tcPr>
            <w:tcW w:w="624" w:type="pct"/>
            <w:tcMar>
              <w:top w:w="16" w:type="dxa"/>
              <w:left w:w="16" w:type="dxa"/>
              <w:right w:w="16" w:type="dxa"/>
            </w:tcMar>
            <w:vAlign w:val="center"/>
          </w:tcPr>
          <w:p>
            <w:pPr>
              <w:rPr>
                <w:sz w:val="24"/>
              </w:rPr>
            </w:pPr>
            <w:r>
              <w:rPr>
                <w:sz w:val="24"/>
              </w:rPr>
              <w:t>项目审批（核准/备案）部门（选填）</w:t>
            </w:r>
          </w:p>
        </w:tc>
        <w:tc>
          <w:tcPr>
            <w:tcW w:w="1096" w:type="pct"/>
            <w:vAlign w:val="center"/>
          </w:tcPr>
          <w:p>
            <w:pPr>
              <w:rPr>
                <w:sz w:val="24"/>
              </w:rPr>
            </w:pPr>
            <w:r>
              <w:rPr>
                <w:sz w:val="24"/>
              </w:rPr>
              <w:t>大英县经济信息化和科学技术局</w:t>
            </w:r>
          </w:p>
        </w:tc>
        <w:tc>
          <w:tcPr>
            <w:tcW w:w="1036" w:type="pct"/>
            <w:vAlign w:val="center"/>
          </w:tcPr>
          <w:p>
            <w:pPr>
              <w:jc w:val="center"/>
              <w:rPr>
                <w:sz w:val="24"/>
              </w:rPr>
            </w:pPr>
            <w:r>
              <w:rPr>
                <w:sz w:val="24"/>
              </w:rPr>
              <w:t>项目审批（核准/备案）文号（选填）</w:t>
            </w:r>
          </w:p>
        </w:tc>
        <w:tc>
          <w:tcPr>
            <w:tcW w:w="2244" w:type="pct"/>
            <w:vAlign w:val="center"/>
          </w:tcPr>
          <w:p>
            <w:pPr>
              <w:jc w:val="center"/>
              <w:rPr>
                <w:sz w:val="24"/>
              </w:rPr>
            </w:pPr>
            <w:r>
              <w:rPr>
                <w:sz w:val="24"/>
              </w:rPr>
              <w:t>川投资备[2401-510923-07-02- 846811]JXOB-0001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5" w:hRule="exact"/>
          <w:jc w:val="center"/>
        </w:trPr>
        <w:tc>
          <w:tcPr>
            <w:tcW w:w="624" w:type="pct"/>
            <w:tcMar>
              <w:top w:w="16" w:type="dxa"/>
              <w:left w:w="16" w:type="dxa"/>
              <w:right w:w="16" w:type="dxa"/>
            </w:tcMar>
            <w:vAlign w:val="center"/>
          </w:tcPr>
          <w:p>
            <w:pPr>
              <w:rPr>
                <w:sz w:val="24"/>
              </w:rPr>
            </w:pPr>
            <w:r>
              <w:rPr>
                <w:sz w:val="24"/>
              </w:rPr>
              <w:t>总投资（万元）</w:t>
            </w:r>
          </w:p>
        </w:tc>
        <w:tc>
          <w:tcPr>
            <w:tcW w:w="1096" w:type="pct"/>
            <w:vAlign w:val="center"/>
          </w:tcPr>
          <w:p>
            <w:pPr>
              <w:jc w:val="center"/>
              <w:rPr>
                <w:sz w:val="24"/>
              </w:rPr>
            </w:pPr>
            <w:r>
              <w:rPr>
                <w:sz w:val="24"/>
              </w:rPr>
              <w:t>1000</w:t>
            </w:r>
            <w:r>
              <w:rPr>
                <w:rFonts w:hint="eastAsia"/>
                <w:sz w:val="24"/>
              </w:rPr>
              <w:t>．0</w:t>
            </w:r>
            <w:r>
              <w:rPr>
                <w:sz w:val="24"/>
              </w:rPr>
              <w:t>0</w:t>
            </w:r>
          </w:p>
        </w:tc>
        <w:tc>
          <w:tcPr>
            <w:tcW w:w="1036" w:type="pct"/>
            <w:tcMar>
              <w:top w:w="16" w:type="dxa"/>
              <w:left w:w="16" w:type="dxa"/>
              <w:right w:w="16" w:type="dxa"/>
            </w:tcMar>
            <w:vAlign w:val="center"/>
          </w:tcPr>
          <w:p>
            <w:pPr>
              <w:jc w:val="center"/>
              <w:rPr>
                <w:sz w:val="24"/>
              </w:rPr>
            </w:pPr>
            <w:r>
              <w:rPr>
                <w:sz w:val="24"/>
              </w:rPr>
              <w:t>环保投资（万元）</w:t>
            </w:r>
          </w:p>
        </w:tc>
        <w:tc>
          <w:tcPr>
            <w:tcW w:w="2244" w:type="pct"/>
            <w:vAlign w:val="center"/>
          </w:tcPr>
          <w:p>
            <w:pPr>
              <w:jc w:val="center"/>
              <w:rPr>
                <w:sz w:val="24"/>
              </w:rPr>
            </w:pPr>
            <w:r>
              <w:rPr>
                <w:sz w:val="24"/>
              </w:rPr>
              <w:t>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2" w:hRule="exact"/>
          <w:jc w:val="center"/>
        </w:trPr>
        <w:tc>
          <w:tcPr>
            <w:tcW w:w="624" w:type="pct"/>
            <w:tcMar>
              <w:top w:w="16" w:type="dxa"/>
              <w:left w:w="16" w:type="dxa"/>
              <w:right w:w="16" w:type="dxa"/>
            </w:tcMar>
            <w:vAlign w:val="center"/>
          </w:tcPr>
          <w:p>
            <w:pPr>
              <w:rPr>
                <w:sz w:val="24"/>
              </w:rPr>
            </w:pPr>
            <w:r>
              <w:rPr>
                <w:sz w:val="24"/>
              </w:rPr>
              <w:t>环保投资</w:t>
            </w:r>
          </w:p>
          <w:p>
            <w:pPr>
              <w:rPr>
                <w:sz w:val="24"/>
              </w:rPr>
            </w:pPr>
            <w:r>
              <w:rPr>
                <w:sz w:val="24"/>
              </w:rPr>
              <w:t>占比（%）</w:t>
            </w:r>
          </w:p>
        </w:tc>
        <w:tc>
          <w:tcPr>
            <w:tcW w:w="1096" w:type="pct"/>
            <w:vAlign w:val="center"/>
          </w:tcPr>
          <w:p>
            <w:pPr>
              <w:jc w:val="center"/>
              <w:rPr>
                <w:sz w:val="24"/>
              </w:rPr>
            </w:pPr>
            <w:r>
              <w:rPr>
                <w:sz w:val="24"/>
              </w:rPr>
              <w:t>6.4</w:t>
            </w:r>
          </w:p>
        </w:tc>
        <w:tc>
          <w:tcPr>
            <w:tcW w:w="1036" w:type="pct"/>
            <w:tcMar>
              <w:top w:w="16" w:type="dxa"/>
              <w:left w:w="16" w:type="dxa"/>
              <w:right w:w="16" w:type="dxa"/>
            </w:tcMar>
            <w:vAlign w:val="center"/>
          </w:tcPr>
          <w:p>
            <w:pPr>
              <w:jc w:val="center"/>
              <w:rPr>
                <w:sz w:val="24"/>
              </w:rPr>
            </w:pPr>
            <w:r>
              <w:rPr>
                <w:sz w:val="24"/>
              </w:rPr>
              <w:t>施工工期</w:t>
            </w:r>
          </w:p>
        </w:tc>
        <w:tc>
          <w:tcPr>
            <w:tcW w:w="2244" w:type="pct"/>
            <w:vAlign w:val="center"/>
          </w:tcPr>
          <w:p>
            <w:pPr>
              <w:jc w:val="center"/>
              <w:rPr>
                <w:sz w:val="24"/>
              </w:rPr>
            </w:pPr>
            <w:r>
              <w:rPr>
                <w:sz w:val="24"/>
              </w:rPr>
              <w:t>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851" w:hRule="atLeast"/>
          <w:jc w:val="center"/>
        </w:trPr>
        <w:tc>
          <w:tcPr>
            <w:tcW w:w="624" w:type="pct"/>
            <w:tcMar>
              <w:top w:w="16" w:type="dxa"/>
              <w:left w:w="16" w:type="dxa"/>
              <w:right w:w="16" w:type="dxa"/>
            </w:tcMar>
            <w:vAlign w:val="center"/>
          </w:tcPr>
          <w:p>
            <w:pPr>
              <w:jc w:val="center"/>
              <w:rPr>
                <w:sz w:val="24"/>
              </w:rPr>
            </w:pPr>
            <w:r>
              <w:rPr>
                <w:sz w:val="24"/>
              </w:rPr>
              <w:t>是否开工建设</w:t>
            </w:r>
          </w:p>
        </w:tc>
        <w:tc>
          <w:tcPr>
            <w:tcW w:w="1096" w:type="pct"/>
            <w:vAlign w:val="center"/>
          </w:tcPr>
          <w:p>
            <w:pPr>
              <w:jc w:val="center"/>
              <w:rPr>
                <w:sz w:val="24"/>
              </w:rPr>
            </w:pPr>
            <w:r>
              <w:rPr>
                <w:rFonts w:ascii="Segoe UI Symbol" w:hAnsi="Segoe UI Symbol" w:cs="Segoe UI Symbol"/>
                <w:sz w:val="24"/>
              </w:rPr>
              <w:t>☑</w:t>
            </w:r>
            <w:r>
              <w:rPr>
                <w:sz w:val="24"/>
              </w:rPr>
              <w:t>否</w:t>
            </w:r>
          </w:p>
          <w:p>
            <w:pPr>
              <w:jc w:val="center"/>
              <w:rPr>
                <w:sz w:val="24"/>
              </w:rPr>
            </w:pPr>
            <w:r>
              <w:rPr>
                <w:sz w:val="24"/>
              </w:rPr>
              <w:t>□是：</w:t>
            </w:r>
          </w:p>
        </w:tc>
        <w:tc>
          <w:tcPr>
            <w:tcW w:w="1036" w:type="pct"/>
            <w:tcMar>
              <w:top w:w="16" w:type="dxa"/>
              <w:left w:w="16" w:type="dxa"/>
              <w:right w:w="16" w:type="dxa"/>
            </w:tcMar>
            <w:vAlign w:val="center"/>
          </w:tcPr>
          <w:p>
            <w:pPr>
              <w:jc w:val="center"/>
              <w:rPr>
                <w:sz w:val="24"/>
              </w:rPr>
            </w:pPr>
            <w:r>
              <w:rPr>
                <w:sz w:val="24"/>
              </w:rPr>
              <w:t>用地（用海）</w:t>
            </w:r>
          </w:p>
          <w:p>
            <w:pPr>
              <w:jc w:val="center"/>
              <w:rPr>
                <w:sz w:val="24"/>
              </w:rPr>
            </w:pPr>
            <w:r>
              <w:rPr>
                <w:sz w:val="24"/>
              </w:rPr>
              <w:t>面积（m</w:t>
            </w:r>
            <w:r>
              <w:rPr>
                <w:sz w:val="24"/>
                <w:vertAlign w:val="superscript"/>
              </w:rPr>
              <w:t>2</w:t>
            </w:r>
            <w:r>
              <w:rPr>
                <w:sz w:val="24"/>
              </w:rPr>
              <w:t>）</w:t>
            </w:r>
          </w:p>
        </w:tc>
        <w:tc>
          <w:tcPr>
            <w:tcW w:w="2244" w:type="pct"/>
            <w:vAlign w:val="center"/>
          </w:tcPr>
          <w:p>
            <w:pPr>
              <w:jc w:val="center"/>
              <w:rPr>
                <w:sz w:val="24"/>
              </w:rPr>
            </w:pPr>
            <w:r>
              <w:rPr>
                <w:sz w:val="24"/>
              </w:rPr>
              <w:t>660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8" w:hRule="atLeast"/>
          <w:jc w:val="center"/>
        </w:trPr>
        <w:tc>
          <w:tcPr>
            <w:tcW w:w="624" w:type="pct"/>
            <w:vAlign w:val="center"/>
          </w:tcPr>
          <w:p>
            <w:pPr>
              <w:rPr>
                <w:sz w:val="24"/>
              </w:rPr>
            </w:pPr>
            <w:r>
              <w:rPr>
                <w:sz w:val="24"/>
              </w:rPr>
              <w:t>专项评价设置情况</w:t>
            </w:r>
          </w:p>
        </w:tc>
        <w:tc>
          <w:tcPr>
            <w:tcW w:w="4376" w:type="pct"/>
            <w:gridSpan w:val="3"/>
            <w:vAlign w:val="center"/>
          </w:tcPr>
          <w:p>
            <w:pPr>
              <w:spacing w:line="360" w:lineRule="auto"/>
              <w:ind w:firstLine="480" w:firstLineChars="200"/>
              <w:rPr>
                <w:sz w:val="24"/>
              </w:rPr>
            </w:pPr>
            <w:r>
              <w:rPr>
                <w:sz w:val="24"/>
              </w:rPr>
              <w:t>根据《建设项目环境影响报告表编制技术指南（污染影响类）》（试行），本项目专项评价设置情况详见下表。</w:t>
            </w:r>
          </w:p>
          <w:p>
            <w:pPr>
              <w:jc w:val="center"/>
              <w:rPr>
                <w:b/>
                <w:bCs/>
                <w:sz w:val="24"/>
              </w:rPr>
            </w:pPr>
            <w:r>
              <w:rPr>
                <w:b/>
                <w:bCs/>
                <w:sz w:val="24"/>
              </w:rPr>
              <w:t>表1-1 专项评价设置原则表</w:t>
            </w:r>
          </w:p>
          <w:tbl>
            <w:tblPr>
              <w:tblStyle w:val="2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177"/>
              <w:gridCol w:w="3694"/>
              <w:gridCol w:w="1286"/>
              <w:gridCol w:w="13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jc w:val="center"/>
              </w:trPr>
              <w:tc>
                <w:tcPr>
                  <w:tcW w:w="782" w:type="pct"/>
                  <w:tcBorders>
                    <w:bottom w:val="single" w:color="000000" w:sz="4" w:space="0"/>
                    <w:right w:val="single" w:color="000000" w:sz="4" w:space="0"/>
                  </w:tcBorders>
                  <w:vAlign w:val="center"/>
                </w:tcPr>
                <w:p>
                  <w:pPr>
                    <w:jc w:val="center"/>
                    <w:rPr>
                      <w:b/>
                      <w:bCs/>
                      <w:szCs w:val="21"/>
                    </w:rPr>
                  </w:pPr>
                  <w:r>
                    <w:rPr>
                      <w:b/>
                      <w:bCs/>
                      <w:szCs w:val="21"/>
                    </w:rPr>
                    <w:t>专项评价的类别</w:t>
                  </w:r>
                </w:p>
              </w:tc>
              <w:tc>
                <w:tcPr>
                  <w:tcW w:w="2454" w:type="pct"/>
                  <w:tcBorders>
                    <w:left w:val="single" w:color="000000" w:sz="4" w:space="0"/>
                    <w:bottom w:val="single" w:color="000000" w:sz="4" w:space="0"/>
                  </w:tcBorders>
                  <w:vAlign w:val="center"/>
                </w:tcPr>
                <w:p>
                  <w:pPr>
                    <w:jc w:val="center"/>
                    <w:rPr>
                      <w:b/>
                      <w:bCs/>
                      <w:szCs w:val="21"/>
                    </w:rPr>
                  </w:pPr>
                  <w:r>
                    <w:rPr>
                      <w:b/>
                      <w:bCs/>
                      <w:szCs w:val="21"/>
                    </w:rPr>
                    <w:t>设置原则</w:t>
                  </w:r>
                </w:p>
              </w:tc>
              <w:tc>
                <w:tcPr>
                  <w:tcW w:w="854" w:type="pct"/>
                  <w:tcBorders>
                    <w:left w:val="single" w:color="000000" w:sz="4" w:space="0"/>
                    <w:bottom w:val="single" w:color="000000" w:sz="4" w:space="0"/>
                    <w:right w:val="single" w:color="000000" w:sz="4" w:space="0"/>
                  </w:tcBorders>
                  <w:vAlign w:val="center"/>
                </w:tcPr>
                <w:p>
                  <w:pPr>
                    <w:jc w:val="center"/>
                    <w:rPr>
                      <w:b/>
                      <w:bCs/>
                      <w:szCs w:val="21"/>
                    </w:rPr>
                  </w:pPr>
                  <w:r>
                    <w:rPr>
                      <w:b/>
                      <w:bCs/>
                      <w:szCs w:val="21"/>
                    </w:rPr>
                    <w:t>本项目</w:t>
                  </w:r>
                </w:p>
              </w:tc>
              <w:tc>
                <w:tcPr>
                  <w:tcW w:w="910" w:type="pct"/>
                  <w:tcBorders>
                    <w:left w:val="single" w:color="000000" w:sz="4" w:space="0"/>
                    <w:bottom w:val="single" w:color="000000" w:sz="4" w:space="0"/>
                  </w:tcBorders>
                  <w:vAlign w:val="center"/>
                </w:tcPr>
                <w:p>
                  <w:pPr>
                    <w:jc w:val="center"/>
                    <w:rPr>
                      <w:b/>
                      <w:bCs/>
                      <w:szCs w:val="21"/>
                    </w:rPr>
                  </w:pPr>
                  <w:r>
                    <w:rPr>
                      <w:b/>
                      <w:bCs/>
                      <w:szCs w:val="21"/>
                    </w:rPr>
                    <w:t>是否设置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pPr>
                    <w:rPr>
                      <w:szCs w:val="21"/>
                    </w:rPr>
                  </w:pPr>
                  <w:r>
                    <w:rPr>
                      <w:szCs w:val="21"/>
                    </w:rPr>
                    <w:t>大气</w:t>
                  </w:r>
                </w:p>
              </w:tc>
              <w:tc>
                <w:tcPr>
                  <w:tcW w:w="2454" w:type="pct"/>
                  <w:tcBorders>
                    <w:top w:val="single" w:color="000000" w:sz="4" w:space="0"/>
                    <w:left w:val="single" w:color="000000" w:sz="4" w:space="0"/>
                    <w:bottom w:val="single" w:color="000000" w:sz="4" w:space="0"/>
                  </w:tcBorders>
                  <w:vAlign w:val="center"/>
                </w:tcPr>
                <w:p>
                  <w:pPr>
                    <w:rPr>
                      <w:szCs w:val="21"/>
                    </w:rPr>
                  </w:pPr>
                  <w:r>
                    <w:rPr>
                      <w:szCs w:val="21"/>
                    </w:rPr>
                    <w:t>排放废气含有毒有害污染物 1、二噁英、苯并[a]芘、氰化物、氯气且厂界外500米范围内有环境空气保护目标2的建设项目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szCs w:val="21"/>
                    </w:rPr>
                    <w:t>不涉及</w:t>
                  </w:r>
                </w:p>
              </w:tc>
              <w:tc>
                <w:tcPr>
                  <w:tcW w:w="910" w:type="pct"/>
                  <w:tcBorders>
                    <w:top w:val="single" w:color="000000" w:sz="4" w:space="0"/>
                    <w:left w:val="single" w:color="000000" w:sz="4" w:space="0"/>
                    <w:bottom w:val="single" w:color="000000" w:sz="4" w:space="0"/>
                  </w:tcBorders>
                  <w:vAlign w:val="center"/>
                </w:tcPr>
                <w:p>
                  <w:pPr>
                    <w:jc w:val="center"/>
                    <w:rPr>
                      <w:b/>
                      <w:bCs/>
                      <w:szCs w:val="21"/>
                    </w:rPr>
                  </w:pPr>
                  <w:r>
                    <w:rPr>
                      <w:b/>
                      <w:bCs/>
                      <w:szCs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pPr>
                    <w:rPr>
                      <w:szCs w:val="21"/>
                    </w:rPr>
                  </w:pPr>
                  <w:r>
                    <w:rPr>
                      <w:szCs w:val="21"/>
                    </w:rPr>
                    <w:t>地表水</w:t>
                  </w:r>
                </w:p>
              </w:tc>
              <w:tc>
                <w:tcPr>
                  <w:tcW w:w="2454" w:type="pct"/>
                  <w:tcBorders>
                    <w:top w:val="single" w:color="000000" w:sz="4" w:space="0"/>
                    <w:left w:val="single" w:color="000000" w:sz="4" w:space="0"/>
                    <w:bottom w:val="single" w:color="000000" w:sz="4" w:space="0"/>
                  </w:tcBorders>
                  <w:vAlign w:val="center"/>
                </w:tcPr>
                <w:p>
                  <w:pPr>
                    <w:rPr>
                      <w:szCs w:val="21"/>
                    </w:rPr>
                  </w:pPr>
                  <w:r>
                    <w:rPr>
                      <w:szCs w:val="21"/>
                    </w:rPr>
                    <w:t>新增工业废水直排建设项目（槽罐车外送污水处理厂的除外）；新增废水直排的污水集中处理厂</w:t>
                  </w:r>
                </w:p>
              </w:tc>
              <w:tc>
                <w:tcPr>
                  <w:tcW w:w="854" w:type="pct"/>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szCs w:val="21"/>
                    </w:rPr>
                    <w:t>不涉及</w:t>
                  </w:r>
                </w:p>
              </w:tc>
              <w:tc>
                <w:tcPr>
                  <w:tcW w:w="910" w:type="pct"/>
                  <w:tcBorders>
                    <w:top w:val="single" w:color="000000" w:sz="4" w:space="0"/>
                    <w:left w:val="single" w:color="000000" w:sz="4" w:space="0"/>
                    <w:bottom w:val="single" w:color="000000" w:sz="4" w:space="0"/>
                  </w:tcBorders>
                  <w:vAlign w:val="center"/>
                </w:tcPr>
                <w:p>
                  <w:pPr>
                    <w:jc w:val="center"/>
                    <w:rPr>
                      <w:b/>
                      <w:bCs/>
                      <w:szCs w:val="21"/>
                    </w:rPr>
                  </w:pPr>
                  <w:r>
                    <w:rPr>
                      <w:b/>
                      <w:bCs/>
                      <w:szCs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jc w:val="center"/>
              </w:trPr>
              <w:tc>
                <w:tcPr>
                  <w:tcW w:w="782" w:type="pct"/>
                  <w:tcBorders>
                    <w:top w:val="single" w:color="000000" w:sz="4" w:space="0"/>
                    <w:bottom w:val="single" w:color="000000" w:sz="4" w:space="0"/>
                    <w:right w:val="single" w:color="000000" w:sz="4" w:space="0"/>
                  </w:tcBorders>
                  <w:vAlign w:val="center"/>
                </w:tcPr>
                <w:p>
                  <w:pPr>
                    <w:rPr>
                      <w:szCs w:val="21"/>
                    </w:rPr>
                  </w:pPr>
                  <w:r>
                    <w:rPr>
                      <w:szCs w:val="21"/>
                    </w:rPr>
                    <w:t>环境风险</w:t>
                  </w:r>
                </w:p>
              </w:tc>
              <w:tc>
                <w:tcPr>
                  <w:tcW w:w="2454" w:type="pct"/>
                  <w:tcBorders>
                    <w:top w:val="single" w:color="000000" w:sz="4" w:space="0"/>
                    <w:left w:val="single" w:color="000000" w:sz="4" w:space="0"/>
                    <w:bottom w:val="single" w:color="000000" w:sz="4" w:space="0"/>
                  </w:tcBorders>
                  <w:vAlign w:val="center"/>
                </w:tcPr>
                <w:p>
                  <w:pPr>
                    <w:rPr>
                      <w:szCs w:val="21"/>
                    </w:rPr>
                  </w:pPr>
                  <w:r>
                    <w:rPr>
                      <w:szCs w:val="21"/>
                    </w:rPr>
                    <w:t>有毒有害和易燃易爆危险物质存储量超过临界量3的建设项目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szCs w:val="21"/>
                    </w:rPr>
                    <w:t>不涉及</w:t>
                  </w:r>
                </w:p>
              </w:tc>
              <w:tc>
                <w:tcPr>
                  <w:tcW w:w="910" w:type="pct"/>
                  <w:tcBorders>
                    <w:top w:val="single" w:color="000000" w:sz="4" w:space="0"/>
                    <w:left w:val="single" w:color="000000" w:sz="4" w:space="0"/>
                    <w:bottom w:val="single" w:color="000000" w:sz="4" w:space="0"/>
                  </w:tcBorders>
                  <w:vAlign w:val="center"/>
                </w:tcPr>
                <w:p>
                  <w:pPr>
                    <w:jc w:val="center"/>
                    <w:rPr>
                      <w:b/>
                      <w:bCs/>
                      <w:szCs w:val="21"/>
                    </w:rPr>
                  </w:pPr>
                  <w:r>
                    <w:rPr>
                      <w:b/>
                      <w:bCs/>
                      <w:szCs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pPr>
                    <w:rPr>
                      <w:szCs w:val="21"/>
                    </w:rPr>
                  </w:pPr>
                  <w:r>
                    <w:rPr>
                      <w:szCs w:val="21"/>
                    </w:rPr>
                    <w:t>生态</w:t>
                  </w:r>
                </w:p>
              </w:tc>
              <w:tc>
                <w:tcPr>
                  <w:tcW w:w="2454" w:type="pct"/>
                  <w:tcBorders>
                    <w:top w:val="single" w:color="000000" w:sz="4" w:space="0"/>
                    <w:left w:val="single" w:color="000000" w:sz="4" w:space="0"/>
                    <w:bottom w:val="single" w:color="000000" w:sz="4" w:space="0"/>
                  </w:tcBorders>
                  <w:vAlign w:val="center"/>
                </w:tcPr>
                <w:p>
                  <w:pPr>
                    <w:rPr>
                      <w:szCs w:val="21"/>
                    </w:rPr>
                  </w:pPr>
                  <w:r>
                    <w:rPr>
                      <w:szCs w:val="21"/>
                    </w:rPr>
                    <w:t>取水口下游500米范围内有重要水生生物的自然产卵场、索饵场、越冬场和洄游通道的新增河道取水的污染类建设项目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szCs w:val="21"/>
                    </w:rPr>
                    <w:t>不涉及</w:t>
                  </w:r>
                </w:p>
              </w:tc>
              <w:tc>
                <w:tcPr>
                  <w:tcW w:w="910" w:type="pct"/>
                  <w:tcBorders>
                    <w:top w:val="single" w:color="000000" w:sz="4" w:space="0"/>
                    <w:left w:val="single" w:color="000000" w:sz="4" w:space="0"/>
                    <w:bottom w:val="single" w:color="000000" w:sz="4" w:space="0"/>
                  </w:tcBorders>
                  <w:vAlign w:val="center"/>
                </w:tcPr>
                <w:p>
                  <w:pPr>
                    <w:jc w:val="center"/>
                    <w:rPr>
                      <w:b/>
                      <w:bCs/>
                      <w:szCs w:val="21"/>
                    </w:rPr>
                  </w:pPr>
                  <w:r>
                    <w:rPr>
                      <w:b/>
                      <w:bCs/>
                      <w:szCs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jc w:val="center"/>
              </w:trPr>
              <w:tc>
                <w:tcPr>
                  <w:tcW w:w="782" w:type="pct"/>
                  <w:tcBorders>
                    <w:top w:val="single" w:color="000000" w:sz="4" w:space="0"/>
                    <w:right w:val="single" w:color="000000" w:sz="4" w:space="0"/>
                  </w:tcBorders>
                  <w:vAlign w:val="center"/>
                </w:tcPr>
                <w:p>
                  <w:pPr>
                    <w:rPr>
                      <w:szCs w:val="21"/>
                    </w:rPr>
                  </w:pPr>
                  <w:r>
                    <w:rPr>
                      <w:szCs w:val="21"/>
                    </w:rPr>
                    <w:t>海洋</w:t>
                  </w:r>
                </w:p>
              </w:tc>
              <w:tc>
                <w:tcPr>
                  <w:tcW w:w="2454" w:type="pct"/>
                  <w:tcBorders>
                    <w:top w:val="single" w:color="000000" w:sz="4" w:space="0"/>
                    <w:left w:val="single" w:color="000000" w:sz="4" w:space="0"/>
                  </w:tcBorders>
                  <w:vAlign w:val="center"/>
                </w:tcPr>
                <w:p>
                  <w:pPr>
                    <w:rPr>
                      <w:szCs w:val="21"/>
                    </w:rPr>
                  </w:pPr>
                  <w:r>
                    <w:rPr>
                      <w:szCs w:val="21"/>
                    </w:rPr>
                    <w:t>直接向海排放污染物的海洋工程建设项目</w:t>
                  </w:r>
                </w:p>
              </w:tc>
              <w:tc>
                <w:tcPr>
                  <w:tcW w:w="854" w:type="pct"/>
                  <w:tcBorders>
                    <w:top w:val="single" w:color="000000" w:sz="4" w:space="0"/>
                    <w:left w:val="single" w:color="000000" w:sz="4" w:space="0"/>
                    <w:right w:val="single" w:color="000000" w:sz="4" w:space="0"/>
                  </w:tcBorders>
                  <w:vAlign w:val="center"/>
                </w:tcPr>
                <w:p>
                  <w:pPr>
                    <w:jc w:val="center"/>
                    <w:rPr>
                      <w:szCs w:val="21"/>
                    </w:rPr>
                  </w:pPr>
                  <w:r>
                    <w:rPr>
                      <w:szCs w:val="21"/>
                    </w:rPr>
                    <w:t>不涉及</w:t>
                  </w:r>
                </w:p>
              </w:tc>
              <w:tc>
                <w:tcPr>
                  <w:tcW w:w="910" w:type="pct"/>
                  <w:tcBorders>
                    <w:top w:val="single" w:color="000000" w:sz="4" w:space="0"/>
                    <w:left w:val="single" w:color="000000" w:sz="4" w:space="0"/>
                  </w:tcBorders>
                  <w:vAlign w:val="center"/>
                </w:tcPr>
                <w:p>
                  <w:pPr>
                    <w:jc w:val="center"/>
                    <w:rPr>
                      <w:b/>
                      <w:bCs/>
                      <w:szCs w:val="21"/>
                    </w:rPr>
                  </w:pPr>
                  <w:r>
                    <w:rPr>
                      <w:b/>
                      <w:bCs/>
                      <w:szCs w:val="21"/>
                    </w:rPr>
                    <w:t>否</w:t>
                  </w:r>
                </w:p>
              </w:tc>
            </w:tr>
          </w:tbl>
          <w:p>
            <w:pPr>
              <w:rPr>
                <w:sz w:val="24"/>
              </w:rPr>
            </w:pPr>
            <w:r>
              <w:rPr>
                <w:sz w:val="24"/>
              </w:rPr>
              <w:t>注：1.废气中有毒有害污染物指纳入《有毒有害大气污染物名录》的污染物（不包括无排放标准的污染物）。</w:t>
            </w:r>
          </w:p>
          <w:p>
            <w:pPr>
              <w:rPr>
                <w:sz w:val="24"/>
              </w:rPr>
            </w:pPr>
            <w:r>
              <w:rPr>
                <w:sz w:val="24"/>
              </w:rPr>
              <w:t>2.环境空气保护目标指自然保护区、风景名胜区、居住区、文化区和农村地区中人群较集中的区域。</w:t>
            </w:r>
          </w:p>
          <w:p>
            <w:pPr>
              <w:rPr>
                <w:sz w:val="24"/>
              </w:rPr>
            </w:pPr>
            <w:r>
              <w:rPr>
                <w:sz w:val="24"/>
              </w:rPr>
              <w:t>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24" w:type="pct"/>
            <w:vAlign w:val="center"/>
          </w:tcPr>
          <w:p>
            <w:pPr>
              <w:rPr>
                <w:sz w:val="24"/>
              </w:rPr>
            </w:pPr>
            <w:r>
              <w:rPr>
                <w:sz w:val="24"/>
              </w:rPr>
              <w:t>规划情况</w:t>
            </w:r>
          </w:p>
        </w:tc>
        <w:tc>
          <w:tcPr>
            <w:tcW w:w="4376" w:type="pct"/>
            <w:gridSpan w:val="3"/>
            <w:vAlign w:val="center"/>
          </w:tcPr>
          <w:p>
            <w:pPr>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24" w:type="pct"/>
            <w:vAlign w:val="center"/>
          </w:tcPr>
          <w:p>
            <w:pPr>
              <w:rPr>
                <w:sz w:val="24"/>
              </w:rPr>
            </w:pPr>
            <w:r>
              <w:rPr>
                <w:sz w:val="24"/>
              </w:rPr>
              <w:t>规划环境影响评价情况</w:t>
            </w:r>
          </w:p>
        </w:tc>
        <w:tc>
          <w:tcPr>
            <w:tcW w:w="4376" w:type="pct"/>
            <w:gridSpan w:val="3"/>
            <w:vAlign w:val="center"/>
          </w:tcPr>
          <w:p>
            <w:pPr>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624" w:type="pct"/>
            <w:vAlign w:val="center"/>
          </w:tcPr>
          <w:p>
            <w:pPr>
              <w:rPr>
                <w:sz w:val="24"/>
              </w:rPr>
            </w:pPr>
            <w:r>
              <w:rPr>
                <w:sz w:val="24"/>
              </w:rPr>
              <w:t>规划及规划环境影响评价符合性分析</w:t>
            </w:r>
          </w:p>
        </w:tc>
        <w:tc>
          <w:tcPr>
            <w:tcW w:w="4376" w:type="pct"/>
            <w:gridSpan w:val="3"/>
            <w:vAlign w:val="center"/>
          </w:tcPr>
          <w:p>
            <w:pPr>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Align w:val="center"/>
          </w:tcPr>
          <w:p>
            <w:pPr>
              <w:rPr>
                <w:sz w:val="24"/>
              </w:rPr>
            </w:pPr>
            <w:r>
              <w:rPr>
                <w:sz w:val="24"/>
              </w:rPr>
              <w:t>其他符合性分析</w:t>
            </w:r>
          </w:p>
        </w:tc>
        <w:tc>
          <w:tcPr>
            <w:tcW w:w="4376" w:type="pct"/>
            <w:gridSpan w:val="3"/>
            <w:vAlign w:val="center"/>
          </w:tcPr>
          <w:p>
            <w:pPr>
              <w:spacing w:before="120" w:beforeLines="50" w:line="360" w:lineRule="auto"/>
              <w:rPr>
                <w:b/>
                <w:bCs/>
                <w:sz w:val="24"/>
              </w:rPr>
            </w:pPr>
            <w:r>
              <w:rPr>
                <w:b/>
                <w:bCs/>
                <w:sz w:val="24"/>
              </w:rPr>
              <w:t>1、产业政策符合性</w:t>
            </w:r>
          </w:p>
          <w:p>
            <w:pPr>
              <w:spacing w:line="360" w:lineRule="auto"/>
              <w:ind w:firstLine="480" w:firstLineChars="200"/>
            </w:pPr>
            <w:r>
              <w:rPr>
                <w:sz w:val="24"/>
              </w:rPr>
              <w:t>本项目为一般工业固体废物资源化综合利用项目，属于“C3031粘土砖瓦及建筑砌块制造”，项目与《产业结构调整指导目录（2024年本</w:t>
            </w:r>
            <w:r>
              <w:rPr>
                <w:rFonts w:hint="eastAsia"/>
                <w:sz w:val="24"/>
                <w:lang w:eastAsia="zh-CN"/>
              </w:rPr>
              <w:t>）</w:t>
            </w:r>
            <w:r>
              <w:rPr>
                <w:sz w:val="24"/>
              </w:rPr>
              <w:t>》及</w:t>
            </w:r>
            <w:r>
              <w:rPr>
                <w:rFonts w:eastAsiaTheme="minorEastAsia"/>
                <w:sz w:val="24"/>
              </w:rPr>
              <w:t>《建材行业淘汰落后产能指导目录（2019年）》等政策的</w:t>
            </w:r>
            <w:r>
              <w:rPr>
                <w:sz w:val="24"/>
              </w:rPr>
              <w:t>符合性分析如下：</w:t>
            </w:r>
          </w:p>
          <w:p>
            <w:pPr>
              <w:spacing w:line="360" w:lineRule="auto"/>
              <w:ind w:firstLine="482" w:firstLineChars="200"/>
              <w:jc w:val="center"/>
              <w:rPr>
                <w:b/>
                <w:bCs/>
                <w:sz w:val="24"/>
              </w:rPr>
            </w:pPr>
            <w:r>
              <w:rPr>
                <w:b/>
                <w:bCs/>
                <w:sz w:val="24"/>
              </w:rPr>
              <w:t>表1-2项目与《产业结构调整指导目录（2024年本</w:t>
            </w:r>
            <w:r>
              <w:rPr>
                <w:rFonts w:hint="eastAsia"/>
                <w:b/>
                <w:bCs/>
                <w:sz w:val="24"/>
                <w:lang w:eastAsia="zh-CN"/>
              </w:rPr>
              <w:t>）</w:t>
            </w:r>
            <w:r>
              <w:rPr>
                <w:b/>
                <w:bCs/>
                <w:sz w:val="24"/>
              </w:rPr>
              <w:t>》</w:t>
            </w:r>
            <w:r>
              <w:rPr>
                <w:rFonts w:hint="eastAsia"/>
                <w:b/>
                <w:bCs/>
                <w:sz w:val="24"/>
                <w:lang w:eastAsia="zh-CN"/>
              </w:rPr>
              <w:t>符合</w:t>
            </w:r>
            <w:r>
              <w:rPr>
                <w:b/>
                <w:bCs/>
                <w:sz w:val="24"/>
              </w:rPr>
              <w:t>性分析表</w:t>
            </w:r>
          </w:p>
          <w:tbl>
            <w:tblPr>
              <w:tblStyle w:val="25"/>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3982"/>
              <w:gridCol w:w="179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32" w:type="pct"/>
                  <w:vAlign w:val="center"/>
                </w:tcPr>
                <w:p>
                  <w:pPr>
                    <w:jc w:val="center"/>
                    <w:rPr>
                      <w:b/>
                      <w:bCs/>
                      <w:szCs w:val="21"/>
                    </w:rPr>
                  </w:pPr>
                  <w:r>
                    <w:rPr>
                      <w:b/>
                      <w:bCs/>
                      <w:szCs w:val="21"/>
                    </w:rPr>
                    <w:t>类别</w:t>
                  </w:r>
                </w:p>
              </w:tc>
              <w:tc>
                <w:tcPr>
                  <w:tcW w:w="2672" w:type="pct"/>
                  <w:vAlign w:val="center"/>
                </w:tcPr>
                <w:p>
                  <w:pPr>
                    <w:rPr>
                      <w:b/>
                      <w:bCs/>
                      <w:szCs w:val="21"/>
                    </w:rPr>
                  </w:pPr>
                  <w:r>
                    <w:rPr>
                      <w:b/>
                      <w:bCs/>
                      <w:szCs w:val="21"/>
                    </w:rPr>
                    <w:t>《产业结构调整指导目录（2024年本》</w:t>
                  </w:r>
                </w:p>
              </w:tc>
              <w:tc>
                <w:tcPr>
                  <w:tcW w:w="1203" w:type="pct"/>
                  <w:vAlign w:val="center"/>
                </w:tcPr>
                <w:p>
                  <w:pPr>
                    <w:jc w:val="center"/>
                    <w:rPr>
                      <w:b/>
                      <w:bCs/>
                      <w:szCs w:val="21"/>
                    </w:rPr>
                  </w:pPr>
                  <w:r>
                    <w:rPr>
                      <w:b/>
                      <w:bCs/>
                      <w:szCs w:val="21"/>
                    </w:rPr>
                    <w:t>本项目</w:t>
                  </w:r>
                </w:p>
              </w:tc>
              <w:tc>
                <w:tcPr>
                  <w:tcW w:w="594" w:type="pct"/>
                  <w:vAlign w:val="center"/>
                </w:tcPr>
                <w:p>
                  <w:pPr>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32" w:type="pct"/>
                  <w:vAlign w:val="center"/>
                </w:tcPr>
                <w:p>
                  <w:pPr>
                    <w:jc w:val="center"/>
                    <w:rPr>
                      <w:b/>
                      <w:bCs/>
                      <w:szCs w:val="21"/>
                    </w:rPr>
                  </w:pPr>
                  <w:r>
                    <w:rPr>
                      <w:b/>
                      <w:bCs/>
                      <w:szCs w:val="21"/>
                    </w:rPr>
                    <w:t>鼓励类</w:t>
                  </w:r>
                </w:p>
              </w:tc>
              <w:tc>
                <w:tcPr>
                  <w:tcW w:w="2672" w:type="pct"/>
                  <w:vAlign w:val="center"/>
                </w:tcPr>
                <w:p>
                  <w:pPr>
                    <w:rPr>
                      <w:szCs w:val="21"/>
                    </w:rPr>
                  </w:pPr>
                  <w:r>
                    <w:rPr>
                      <w:szCs w:val="21"/>
                    </w:rPr>
                    <w:t>第</w:t>
                  </w:r>
                  <w:r>
                    <w:rPr>
                      <w:rFonts w:hint="eastAsia"/>
                      <w:szCs w:val="21"/>
                    </w:rPr>
                    <w:t>十二</w:t>
                  </w:r>
                  <w:r>
                    <w:rPr>
                      <w:szCs w:val="21"/>
                    </w:rPr>
                    <w:t>项“</w:t>
                  </w:r>
                  <w:r>
                    <w:rPr>
                      <w:rFonts w:hint="eastAsia"/>
                      <w:szCs w:val="21"/>
                    </w:rPr>
                    <w:t>建材</w:t>
                  </w:r>
                  <w:r>
                    <w:rPr>
                      <w:szCs w:val="21"/>
                    </w:rPr>
                    <w:t>”第9条：</w:t>
                  </w:r>
                  <w:r>
                    <w:rPr>
                      <w:rFonts w:hint="eastAsia"/>
                      <w:szCs w:val="21"/>
                    </w:rPr>
                    <w:t>不低于20万块日(含)新型烧结砖瓦生产线协同处置大宗废弃物工艺技术及产品的研发与应用;工业副产磷石膏高效净化提质及高值化综合利用技术:利用矿山尾矿、</w:t>
                  </w:r>
                  <w:r>
                    <w:rPr>
                      <w:rFonts w:hint="eastAsia"/>
                      <w:b/>
                      <w:bCs/>
                      <w:szCs w:val="21"/>
                    </w:rPr>
                    <w:t>建筑废弃物、工业废弃物</w:t>
                  </w:r>
                  <w:r>
                    <w:rPr>
                      <w:rFonts w:hint="eastAsia"/>
                      <w:szCs w:val="21"/>
                    </w:rPr>
                    <w:t>、城市污泥、江河湖(渠)海淤泥等大宗废弃物无害化生产制备砂石骨料、结构混凝土用高强陶粒、功能陶粒、墙体材料等建材及其工艺技术装备开发</w:t>
                  </w:r>
                </w:p>
              </w:tc>
              <w:tc>
                <w:tcPr>
                  <w:tcW w:w="1203" w:type="pct"/>
                  <w:vAlign w:val="center"/>
                </w:tcPr>
                <w:p>
                  <w:pPr>
                    <w:rPr>
                      <w:szCs w:val="21"/>
                    </w:rPr>
                  </w:pPr>
                  <w:r>
                    <w:rPr>
                      <w:szCs w:val="21"/>
                    </w:rPr>
                    <w:t>本项目利用油基岩屑厌氧热回收处理后的一般固废干渣</w:t>
                  </w:r>
                  <w:r>
                    <w:rPr>
                      <w:rFonts w:hint="eastAsia"/>
                      <w:szCs w:val="21"/>
                    </w:rPr>
                    <w:t>和建筑废弃物生产轻质建材产品</w:t>
                  </w:r>
                </w:p>
              </w:tc>
              <w:tc>
                <w:tcPr>
                  <w:tcW w:w="594" w:type="pct"/>
                  <w:vAlign w:val="center"/>
                </w:tcPr>
                <w:p>
                  <w:pPr>
                    <w:jc w:val="cente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32" w:type="pct"/>
                  <w:vMerge w:val="restart"/>
                  <w:vAlign w:val="center"/>
                </w:tcPr>
                <w:p>
                  <w:pPr>
                    <w:jc w:val="center"/>
                    <w:rPr>
                      <w:b/>
                      <w:bCs/>
                      <w:szCs w:val="21"/>
                    </w:rPr>
                  </w:pPr>
                  <w:r>
                    <w:rPr>
                      <w:b/>
                      <w:bCs/>
                      <w:szCs w:val="21"/>
                    </w:rPr>
                    <w:t>限制类</w:t>
                  </w:r>
                </w:p>
              </w:tc>
              <w:tc>
                <w:tcPr>
                  <w:tcW w:w="2672" w:type="pct"/>
                  <w:vAlign w:val="center"/>
                </w:tcPr>
                <w:p>
                  <w:pPr>
                    <w:rPr>
                      <w:szCs w:val="21"/>
                    </w:rPr>
                  </w:pPr>
                  <w:r>
                    <w:rPr>
                      <w:szCs w:val="21"/>
                    </w:rPr>
                    <w:t>第九项“建材”第5条：粘土空心砖生产线（陕西、青海、甘肃、新疆、西藏、宁夏除外）</w:t>
                  </w:r>
                </w:p>
              </w:tc>
              <w:tc>
                <w:tcPr>
                  <w:tcW w:w="1203" w:type="pct"/>
                  <w:vMerge w:val="restart"/>
                  <w:vAlign w:val="center"/>
                </w:tcPr>
                <w:p>
                  <w:pPr>
                    <w:rPr>
                      <w:szCs w:val="21"/>
                    </w:rPr>
                  </w:pPr>
                  <w:r>
                    <w:rPr>
                      <w:szCs w:val="21"/>
                    </w:rPr>
                    <w:t>本项目为蒸压灰砂砖生产线</w:t>
                  </w:r>
                </w:p>
              </w:tc>
              <w:tc>
                <w:tcPr>
                  <w:tcW w:w="594" w:type="pct"/>
                  <w:vMerge w:val="restart"/>
                  <w:vAlign w:val="center"/>
                </w:tcPr>
                <w:p>
                  <w:pPr>
                    <w:jc w:val="center"/>
                    <w:rPr>
                      <w:b/>
                      <w:bCs/>
                      <w:szCs w:val="21"/>
                    </w:rPr>
                  </w:pPr>
                  <w:r>
                    <w:rPr>
                      <w:b/>
                      <w:bCs/>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32" w:type="pct"/>
                  <w:vMerge w:val="continue"/>
                  <w:vAlign w:val="center"/>
                </w:tcPr>
                <w:p>
                  <w:pPr>
                    <w:jc w:val="center"/>
                    <w:rPr>
                      <w:b/>
                      <w:bCs/>
                      <w:szCs w:val="21"/>
                    </w:rPr>
                  </w:pPr>
                </w:p>
              </w:tc>
              <w:tc>
                <w:tcPr>
                  <w:tcW w:w="2672" w:type="pct"/>
                  <w:vAlign w:val="center"/>
                </w:tcPr>
                <w:p>
                  <w:pPr>
                    <w:rPr>
                      <w:szCs w:val="21"/>
                    </w:rPr>
                  </w:pPr>
                  <w:r>
                    <w:rPr>
                      <w:szCs w:val="21"/>
                    </w:rPr>
                    <w:t>第九项“建材”第6条：15万平方米/年（不含）以下的石膏（空心）砌块生产线、单班5万立方米/年（不含）以下的混凝土小型空心砌块以及单班15万平方米/年（不含）以下的混凝土铺地砖固定式生产线、5万立方米/年（不含）以下的人造轻集料（陶粒）生产线</w:t>
                  </w:r>
                </w:p>
              </w:tc>
              <w:tc>
                <w:tcPr>
                  <w:tcW w:w="1203" w:type="pct"/>
                  <w:vMerge w:val="continue"/>
                  <w:vAlign w:val="center"/>
                </w:tcPr>
                <w:p>
                  <w:pPr>
                    <w:rPr>
                      <w:szCs w:val="21"/>
                    </w:rPr>
                  </w:pPr>
                </w:p>
              </w:tc>
              <w:tc>
                <w:tcPr>
                  <w:tcW w:w="594" w:type="pct"/>
                  <w:vMerge w:val="continue"/>
                  <w:vAlign w:val="center"/>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2" w:type="pct"/>
                  <w:vMerge w:val="restart"/>
                  <w:vAlign w:val="center"/>
                </w:tcPr>
                <w:p>
                  <w:pPr>
                    <w:jc w:val="center"/>
                    <w:rPr>
                      <w:b/>
                      <w:bCs/>
                      <w:szCs w:val="21"/>
                    </w:rPr>
                  </w:pPr>
                  <w:r>
                    <w:rPr>
                      <w:b/>
                      <w:bCs/>
                      <w:szCs w:val="21"/>
                    </w:rPr>
                    <w:t>淘汰类</w:t>
                  </w:r>
                </w:p>
              </w:tc>
              <w:tc>
                <w:tcPr>
                  <w:tcW w:w="2672" w:type="pct"/>
                  <w:vAlign w:val="center"/>
                </w:tcPr>
                <w:p>
                  <w:pPr>
                    <w:rPr>
                      <w:szCs w:val="21"/>
                    </w:rPr>
                  </w:pPr>
                  <w:r>
                    <w:rPr>
                      <w:szCs w:val="21"/>
                    </w:rPr>
                    <w:t>第</w:t>
                  </w:r>
                  <w:r>
                    <w:rPr>
                      <w:rFonts w:hint="eastAsia"/>
                      <w:szCs w:val="21"/>
                    </w:rPr>
                    <w:t>八</w:t>
                  </w:r>
                  <w:r>
                    <w:rPr>
                      <w:szCs w:val="21"/>
                    </w:rPr>
                    <w:t>项“建材”第9条：砖瓦轮窑以及立窑、无顶轮窑、马蹄窑等土窑</w:t>
                  </w:r>
                </w:p>
              </w:tc>
              <w:tc>
                <w:tcPr>
                  <w:tcW w:w="1203" w:type="pct"/>
                  <w:vAlign w:val="center"/>
                </w:tcPr>
                <w:p>
                  <w:pPr>
                    <w:rPr>
                      <w:szCs w:val="21"/>
                    </w:rPr>
                  </w:pPr>
                  <w:r>
                    <w:rPr>
                      <w:szCs w:val="21"/>
                    </w:rPr>
                    <w:t>本项目不涉及轮窑土窑</w:t>
                  </w:r>
                </w:p>
              </w:tc>
              <w:tc>
                <w:tcPr>
                  <w:tcW w:w="594" w:type="pct"/>
                  <w:vMerge w:val="restart"/>
                  <w:vAlign w:val="center"/>
                </w:tcPr>
                <w:p>
                  <w:pPr>
                    <w:jc w:val="center"/>
                    <w:rPr>
                      <w:b/>
                      <w:bCs/>
                      <w:szCs w:val="21"/>
                    </w:rPr>
                  </w:pPr>
                  <w:r>
                    <w:rPr>
                      <w:b/>
                      <w:bCs/>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2" w:type="pct"/>
                  <w:vMerge w:val="continue"/>
                  <w:vAlign w:val="center"/>
                </w:tcPr>
                <w:p>
                  <w:pPr>
                    <w:jc w:val="center"/>
                    <w:rPr>
                      <w:szCs w:val="21"/>
                    </w:rPr>
                  </w:pPr>
                </w:p>
              </w:tc>
              <w:tc>
                <w:tcPr>
                  <w:tcW w:w="2672" w:type="pct"/>
                  <w:vAlign w:val="center"/>
                </w:tcPr>
                <w:p>
                  <w:pPr>
                    <w:rPr>
                      <w:szCs w:val="21"/>
                    </w:rPr>
                  </w:pPr>
                  <w:r>
                    <w:rPr>
                      <w:szCs w:val="21"/>
                    </w:rPr>
                    <w:t>第八项“建材”第10条：</w:t>
                  </w:r>
                  <w:r>
                    <w:rPr>
                      <w:rFonts w:hint="eastAsia"/>
                      <w:szCs w:val="21"/>
                    </w:rPr>
                    <w:t>简易移动式混凝土砌块成型机、附着式振动成型台</w:t>
                  </w:r>
                </w:p>
              </w:tc>
              <w:tc>
                <w:tcPr>
                  <w:tcW w:w="1203" w:type="pct"/>
                  <w:vAlign w:val="center"/>
                </w:tcPr>
                <w:p>
                  <w:pPr>
                    <w:rPr>
                      <w:szCs w:val="21"/>
                    </w:rPr>
                  </w:pPr>
                  <w:r>
                    <w:rPr>
                      <w:szCs w:val="21"/>
                    </w:rPr>
                    <w:t>本项目不使用挤</w:t>
                  </w:r>
                  <w:r>
                    <w:rPr>
                      <w:rFonts w:hint="eastAsia"/>
                      <w:szCs w:val="21"/>
                    </w:rPr>
                    <w:t>成型机成型台</w:t>
                  </w:r>
                </w:p>
              </w:tc>
              <w:tc>
                <w:tcPr>
                  <w:tcW w:w="59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532" w:type="pct"/>
                  <w:vMerge w:val="continue"/>
                  <w:vAlign w:val="center"/>
                </w:tcPr>
                <w:p>
                  <w:pPr>
                    <w:jc w:val="center"/>
                    <w:rPr>
                      <w:szCs w:val="21"/>
                    </w:rPr>
                  </w:pPr>
                </w:p>
              </w:tc>
              <w:tc>
                <w:tcPr>
                  <w:tcW w:w="2672" w:type="pct"/>
                  <w:vAlign w:val="center"/>
                </w:tcPr>
                <w:p>
                  <w:pPr>
                    <w:rPr>
                      <w:szCs w:val="21"/>
                    </w:rPr>
                  </w:pPr>
                  <w:r>
                    <w:rPr>
                      <w:szCs w:val="21"/>
                    </w:rPr>
                    <w:t>第八项“建材”第11条：单班1万立方米/年以下的混凝土砌块固定式成型机、单班10万平方米/年以下的混凝土</w:t>
                  </w:r>
                  <w:r>
                    <w:rPr>
                      <w:rFonts w:hint="eastAsia"/>
                      <w:szCs w:val="21"/>
                    </w:rPr>
                    <w:t>路面砖（含透水砖）</w:t>
                  </w:r>
                  <w:r>
                    <w:rPr>
                      <w:szCs w:val="21"/>
                    </w:rPr>
                    <w:t>固定式成型机</w:t>
                  </w:r>
                </w:p>
              </w:tc>
              <w:tc>
                <w:tcPr>
                  <w:tcW w:w="1203" w:type="pct"/>
                  <w:vAlign w:val="center"/>
                </w:tcPr>
                <w:p>
                  <w:pPr>
                    <w:rPr>
                      <w:szCs w:val="21"/>
                    </w:rPr>
                  </w:pPr>
                  <w:r>
                    <w:rPr>
                      <w:szCs w:val="21"/>
                    </w:rPr>
                    <w:t>本项目使用的是1300双向模拟静压机</w:t>
                  </w:r>
                </w:p>
              </w:tc>
              <w:tc>
                <w:tcPr>
                  <w:tcW w:w="59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32" w:type="pct"/>
                  <w:vMerge w:val="continue"/>
                  <w:vAlign w:val="center"/>
                </w:tcPr>
                <w:p>
                  <w:pPr>
                    <w:jc w:val="center"/>
                    <w:rPr>
                      <w:szCs w:val="21"/>
                    </w:rPr>
                  </w:pPr>
                </w:p>
              </w:tc>
              <w:tc>
                <w:tcPr>
                  <w:tcW w:w="2672" w:type="pct"/>
                  <w:vAlign w:val="center"/>
                </w:tcPr>
                <w:p>
                  <w:pPr>
                    <w:rPr>
                      <w:szCs w:val="21"/>
                    </w:rPr>
                  </w:pPr>
                  <w:r>
                    <w:rPr>
                      <w:szCs w:val="21"/>
                    </w:rPr>
                    <w:t>第八项“建材”第16条：非烧结、非蒸压粉煤灰砖生产线</w:t>
                  </w:r>
                </w:p>
              </w:tc>
              <w:tc>
                <w:tcPr>
                  <w:tcW w:w="1203" w:type="pct"/>
                  <w:vAlign w:val="center"/>
                </w:tcPr>
                <w:p>
                  <w:pPr>
                    <w:rPr>
                      <w:szCs w:val="21"/>
                    </w:rPr>
                  </w:pPr>
                  <w:r>
                    <w:rPr>
                      <w:szCs w:val="21"/>
                    </w:rPr>
                    <w:t>本项目为蒸压灰砂砖生产线</w:t>
                  </w:r>
                </w:p>
              </w:tc>
              <w:tc>
                <w:tcPr>
                  <w:tcW w:w="594" w:type="pct"/>
                  <w:vMerge w:val="continue"/>
                  <w:vAlign w:val="center"/>
                </w:tcPr>
                <w:p>
                  <w:pPr>
                    <w:jc w:val="center"/>
                    <w:rPr>
                      <w:szCs w:val="21"/>
                    </w:rPr>
                  </w:pPr>
                </w:p>
              </w:tc>
            </w:tr>
          </w:tbl>
          <w:p>
            <w:pPr>
              <w:spacing w:before="120" w:beforeLines="50" w:after="120" w:afterLines="50"/>
              <w:jc w:val="center"/>
              <w:rPr>
                <w:rFonts w:eastAsiaTheme="minorEastAsia"/>
                <w:b/>
                <w:bCs/>
                <w:sz w:val="24"/>
              </w:rPr>
            </w:pPr>
            <w:r>
              <w:rPr>
                <w:rFonts w:eastAsiaTheme="minorEastAsia"/>
                <w:b/>
                <w:bCs/>
                <w:sz w:val="24"/>
              </w:rPr>
              <w:t>表1-3项目与《建材行业淘汰落后产能指导目录（2019年）》的符合性分析</w:t>
            </w:r>
          </w:p>
          <w:tbl>
            <w:tblPr>
              <w:tblStyle w:val="25"/>
              <w:tblW w:w="5000" w:type="pct"/>
              <w:jc w:val="center"/>
              <w:tblLayout w:type="autofit"/>
              <w:tblCellMar>
                <w:top w:w="0" w:type="dxa"/>
                <w:left w:w="0" w:type="dxa"/>
                <w:bottom w:w="0" w:type="dxa"/>
                <w:right w:w="0" w:type="dxa"/>
              </w:tblCellMar>
            </w:tblPr>
            <w:tblGrid>
              <w:gridCol w:w="432"/>
              <w:gridCol w:w="3570"/>
              <w:gridCol w:w="2673"/>
              <w:gridCol w:w="872"/>
            </w:tblGrid>
            <w:tr>
              <w:tblPrEx>
                <w:tblCellMar>
                  <w:top w:w="0" w:type="dxa"/>
                  <w:left w:w="0" w:type="dxa"/>
                  <w:bottom w:w="0" w:type="dxa"/>
                  <w:right w:w="0" w:type="dxa"/>
                </w:tblCellMar>
              </w:tblPrEx>
              <w:trPr>
                <w:trHeight w:val="789" w:hRule="exact"/>
                <w:jc w:val="center"/>
              </w:trPr>
              <w:tc>
                <w:tcPr>
                  <w:tcW w:w="2637" w:type="pct"/>
                  <w:gridSpan w:val="2"/>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bookmarkStart w:id="2" w:name="_Hlk149143712"/>
                  <w:r>
                    <w:rPr>
                      <w:b/>
                      <w:bCs/>
                      <w:szCs w:val="21"/>
                    </w:rPr>
                    <w:t>《建材行业淘汰落后产能指导目录（2019年）》</w:t>
                  </w:r>
                </w:p>
              </w:tc>
              <w:tc>
                <w:tcPr>
                  <w:tcW w:w="1778"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本项目</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符合性</w:t>
                  </w:r>
                </w:p>
              </w:tc>
            </w:tr>
            <w:tr>
              <w:tblPrEx>
                <w:tblCellMar>
                  <w:top w:w="0" w:type="dxa"/>
                  <w:left w:w="0" w:type="dxa"/>
                  <w:bottom w:w="0" w:type="dxa"/>
                  <w:right w:w="0" w:type="dxa"/>
                </w:tblCellMar>
              </w:tblPrEx>
              <w:trPr>
                <w:trHeight w:val="605" w:hRule="exact"/>
                <w:jc w:val="center"/>
              </w:trPr>
              <w:tc>
                <w:tcPr>
                  <w:tcW w:w="264" w:type="pct"/>
                  <w:vMerge w:val="restart"/>
                  <w:tcBorders>
                    <w:top w:val="single" w:color="000000" w:sz="4" w:space="0"/>
                    <w:left w:val="single" w:color="000000" w:sz="4" w:space="0"/>
                    <w:bottom w:val="single" w:color="000000" w:sz="4" w:space="0"/>
                    <w:right w:val="single" w:color="000000" w:sz="4" w:space="0"/>
                  </w:tcBorders>
                  <w:vAlign w:val="center"/>
                </w:tcPr>
                <w:p>
                  <w:pPr>
                    <w:rPr>
                      <w:b/>
                      <w:bCs/>
                      <w:szCs w:val="21"/>
                    </w:rPr>
                  </w:pPr>
                  <w:r>
                    <w:rPr>
                      <w:b/>
                      <w:bCs/>
                      <w:szCs w:val="21"/>
                    </w:rPr>
                    <w:t>六、砖瓦</w:t>
                  </w: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砖瓦轮窑（2020年12月31日）以及立窑、无顶轮窑马蹄窑等土窑</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本项目不涉及轮窑土窑</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430"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普通挤砖机</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本项目不使用挤砖机</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563"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SJ1580-3000双轴、单轴制砖搅拌机</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本项目使用S1140配料搅拌机</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485"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SQP400500-700500双辊破碎机</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本项目使用800卧式粉碎机</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663"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1000型普通切条机</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本项目使用QTR260×250横向切条机</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442"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100吨以下盘转式压砖机</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本项目不使用压砖机</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820"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p>
                <w:p>
                  <w:pPr>
                    <w:rPr>
                      <w:szCs w:val="21"/>
                    </w:rPr>
                  </w:pPr>
                  <w:r>
                    <w:rPr>
                      <w:szCs w:val="21"/>
                    </w:rPr>
                    <w:t>破坏农田、耕地和破坏环境取土烧制的实心粘土砖生产线</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项目不取土烧制</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tr>
              <w:tblPrEx>
                <w:tblCellMar>
                  <w:top w:w="0" w:type="dxa"/>
                  <w:left w:w="0" w:type="dxa"/>
                  <w:bottom w:w="0" w:type="dxa"/>
                  <w:right w:w="0" w:type="dxa"/>
                </w:tblCellMar>
              </w:tblPrEx>
              <w:trPr>
                <w:trHeight w:val="1414"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2373"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原料燃料破碎及制备成型颗粒物排放浓度超过30mg/m</w:t>
                  </w:r>
                  <w:r>
                    <w:rPr>
                      <w:szCs w:val="21"/>
                      <w:vertAlign w:val="superscript"/>
                    </w:rPr>
                    <w:t>3</w:t>
                  </w:r>
                  <w:r>
                    <w:rPr>
                      <w:szCs w:val="21"/>
                    </w:rPr>
                    <w:t>，人工干燥机焙烧颗粒物、二氧化硫、氮氧化物排放浓度分别超过 30mg/m</w:t>
                  </w:r>
                  <w:r>
                    <w:rPr>
                      <w:szCs w:val="21"/>
                      <w:vertAlign w:val="superscript"/>
                    </w:rPr>
                    <w:t>3</w:t>
                  </w:r>
                  <w:r>
                    <w:rPr>
                      <w:szCs w:val="21"/>
                    </w:rPr>
                    <w:t>、300mg/m</w:t>
                  </w:r>
                  <w:r>
                    <w:rPr>
                      <w:szCs w:val="21"/>
                      <w:vertAlign w:val="superscript"/>
                    </w:rPr>
                    <w:t>3</w:t>
                  </w:r>
                  <w:r>
                    <w:rPr>
                      <w:szCs w:val="21"/>
                    </w:rPr>
                    <w:t>、200mg/m</w:t>
                  </w:r>
                  <w:r>
                    <w:rPr>
                      <w:szCs w:val="21"/>
                      <w:vertAlign w:val="superscript"/>
                    </w:rPr>
                    <w:t xml:space="preserve">3 </w:t>
                  </w:r>
                  <w:r>
                    <w:rPr>
                      <w:szCs w:val="21"/>
                    </w:rPr>
                    <w:t>的砖瓦生产线</w:t>
                  </w:r>
                </w:p>
              </w:tc>
              <w:tc>
                <w:tcPr>
                  <w:tcW w:w="1778" w:type="pct"/>
                  <w:tcBorders>
                    <w:top w:val="single" w:color="000000" w:sz="4" w:space="0"/>
                    <w:left w:val="single" w:color="000000" w:sz="4" w:space="0"/>
                    <w:bottom w:val="single" w:color="000000" w:sz="4" w:space="0"/>
                    <w:right w:val="single" w:color="000000" w:sz="4" w:space="0"/>
                  </w:tcBorders>
                  <w:vAlign w:val="center"/>
                </w:tcPr>
                <w:p>
                  <w:pPr>
                    <w:rPr>
                      <w:szCs w:val="21"/>
                    </w:rPr>
                  </w:pPr>
                  <w:r>
                    <w:rPr>
                      <w:szCs w:val="21"/>
                    </w:rPr>
                    <w:t>项目原料破碎及制备成型颗粒物排放浓度未超过30mg/m</w:t>
                  </w:r>
                  <w:r>
                    <w:rPr>
                      <w:szCs w:val="21"/>
                      <w:vertAlign w:val="superscript"/>
                    </w:rPr>
                    <w:t>3</w:t>
                  </w:r>
                  <w:r>
                    <w:rPr>
                      <w:rFonts w:hint="eastAsia"/>
                      <w:szCs w:val="21"/>
                    </w:rPr>
                    <w:t>，项目不涉及焙烧工序。</w:t>
                  </w:r>
                </w:p>
              </w:tc>
              <w:tc>
                <w:tcPr>
                  <w:tcW w:w="585" w:type="pct"/>
                  <w:tcBorders>
                    <w:top w:val="single" w:color="000000" w:sz="4" w:space="0"/>
                    <w:left w:val="single" w:color="000000" w:sz="4" w:space="0"/>
                    <w:bottom w:val="single" w:color="000000" w:sz="4" w:space="0"/>
                    <w:right w:val="single" w:color="000000" w:sz="4" w:space="0"/>
                  </w:tcBorders>
                  <w:vAlign w:val="center"/>
                </w:tcPr>
                <w:p>
                  <w:pPr>
                    <w:jc w:val="center"/>
                    <w:rPr>
                      <w:b/>
                      <w:bCs/>
                      <w:szCs w:val="21"/>
                    </w:rPr>
                  </w:pPr>
                  <w:r>
                    <w:rPr>
                      <w:b/>
                      <w:bCs/>
                      <w:szCs w:val="21"/>
                    </w:rPr>
                    <w:t>不属于</w:t>
                  </w:r>
                </w:p>
              </w:tc>
            </w:tr>
            <w:bookmarkEnd w:id="2"/>
          </w:tbl>
          <w:p>
            <w:pPr>
              <w:spacing w:before="120" w:beforeLines="50" w:line="360" w:lineRule="auto"/>
              <w:ind w:firstLine="480" w:firstLineChars="200"/>
              <w:rPr>
                <w:rFonts w:eastAsiaTheme="minorEastAsia"/>
                <w:sz w:val="24"/>
              </w:rPr>
            </w:pPr>
            <w:r>
              <w:rPr>
                <w:rFonts w:eastAsiaTheme="minorEastAsia"/>
                <w:sz w:val="24"/>
              </w:rPr>
              <w:t>本项目属于《产业结构调整指导目录（2024年本》中鼓励类项目，不在《西部地区鼓励类产业目录(2020年本)》中，所用设备不属于《部分工业行业淘汰落后生产工艺装备和产品指导目录》（2010年本）中的淘汰类。</w:t>
            </w:r>
            <w:r>
              <w:rPr>
                <w:sz w:val="24"/>
              </w:rPr>
              <w:t>项目砖厂选用的生产工艺和主要生产设备均不属于《建材行业淘汰落后产能指导目录（2019年）》中的淘汰类</w:t>
            </w:r>
            <w:r>
              <w:rPr>
                <w:rFonts w:hint="eastAsia"/>
                <w:sz w:val="24"/>
              </w:rPr>
              <w:t>，项目无需产能置换</w:t>
            </w:r>
            <w:r>
              <w:rPr>
                <w:sz w:val="24"/>
              </w:rPr>
              <w:t>。</w:t>
            </w:r>
          </w:p>
          <w:p>
            <w:pPr>
              <w:spacing w:line="360" w:lineRule="auto"/>
              <w:ind w:firstLine="480" w:firstLineChars="200"/>
              <w:rPr>
                <w:sz w:val="24"/>
              </w:rPr>
            </w:pPr>
            <w:r>
              <w:rPr>
                <w:sz w:val="24"/>
              </w:rPr>
              <w:t>本项目于2024年1月2日完成了四川省固定投资项目备案，</w:t>
            </w:r>
            <w:r>
              <w:rPr>
                <w:rFonts w:hint="eastAsia"/>
                <w:sz w:val="24"/>
                <w:lang w:eastAsia="zh-CN"/>
              </w:rPr>
              <w:t>取得了</w:t>
            </w:r>
            <w:r>
              <w:rPr>
                <w:sz w:val="24"/>
              </w:rPr>
              <w:t>大英县经济</w:t>
            </w:r>
            <w:r>
              <w:rPr>
                <w:kern w:val="0"/>
                <w:sz w:val="24"/>
              </w:rPr>
              <w:t>信息化</w:t>
            </w:r>
            <w:r>
              <w:rPr>
                <w:sz w:val="24"/>
              </w:rPr>
              <w:t>和科学技术局出具的四川省资产投资项目备案表（川投资备[2401-510923-07-02-846811]JXOB-0001号）。</w:t>
            </w:r>
          </w:p>
          <w:p>
            <w:pPr>
              <w:spacing w:line="360" w:lineRule="auto"/>
              <w:ind w:firstLine="200"/>
              <w:rPr>
                <w:b/>
                <w:bCs/>
                <w:sz w:val="24"/>
              </w:rPr>
            </w:pPr>
            <w:r>
              <w:rPr>
                <w:b/>
                <w:bCs/>
                <w:sz w:val="24"/>
              </w:rPr>
              <w:t>综上，本项目符合国家现行产业政策。</w:t>
            </w:r>
          </w:p>
          <w:p>
            <w:pPr>
              <w:spacing w:line="360" w:lineRule="auto"/>
              <w:rPr>
                <w:b/>
                <w:bCs/>
                <w:sz w:val="24"/>
              </w:rPr>
            </w:pPr>
            <w:r>
              <w:rPr>
                <w:b/>
                <w:bCs/>
                <w:sz w:val="24"/>
              </w:rPr>
              <w:t>2、用地规划符合性分析</w:t>
            </w:r>
          </w:p>
          <w:p>
            <w:pPr>
              <w:spacing w:line="360" w:lineRule="auto"/>
              <w:ind w:firstLine="480" w:firstLineChars="200"/>
              <w:rPr>
                <w:sz w:val="24"/>
              </w:rPr>
            </w:pPr>
            <w:bookmarkStart w:id="3" w:name="OLE_LINK11"/>
            <w:bookmarkStart w:id="4" w:name="OLE_LINK6"/>
            <w:r>
              <w:rPr>
                <w:sz w:val="24"/>
              </w:rPr>
              <w:t>本项目利用</w:t>
            </w:r>
            <w:r>
              <w:rPr>
                <w:rFonts w:hint="eastAsia"/>
                <w:sz w:val="24"/>
              </w:rPr>
              <w:t>公司</w:t>
            </w:r>
            <w:r>
              <w:rPr>
                <w:sz w:val="24"/>
              </w:rPr>
              <w:t>内部闲置场地660m</w:t>
            </w:r>
            <w:r>
              <w:rPr>
                <w:sz w:val="24"/>
                <w:vertAlign w:val="superscript"/>
              </w:rPr>
              <w:t>2</w:t>
            </w:r>
            <w:r>
              <w:rPr>
                <w:sz w:val="24"/>
              </w:rPr>
              <w:t>搭建</w:t>
            </w:r>
            <w:r>
              <w:rPr>
                <w:kern w:val="0"/>
                <w:sz w:val="24"/>
              </w:rPr>
              <w:t>简易式管架结构厂房</w:t>
            </w:r>
            <w:r>
              <w:rPr>
                <w:sz w:val="24"/>
              </w:rPr>
              <w:t>进行生产。根据大英县自然资源和规划局出具的相关证明资料，本项目</w:t>
            </w:r>
            <w:r>
              <w:rPr>
                <w:rFonts w:hint="eastAsia"/>
                <w:sz w:val="24"/>
              </w:rPr>
              <w:t>土地现状为建制镇，</w:t>
            </w:r>
            <w:r>
              <w:rPr>
                <w:sz w:val="24"/>
              </w:rPr>
              <w:t>不占用耕地和基本农田，不新增国有建设用地，</w:t>
            </w:r>
            <w:r>
              <w:rPr>
                <w:rFonts w:hint="eastAsia"/>
                <w:sz w:val="24"/>
              </w:rPr>
              <w:t>不占用生态红线，</w:t>
            </w:r>
            <w:r>
              <w:rPr>
                <w:sz w:val="24"/>
              </w:rPr>
              <w:t>根据《四川省城乡规划条例》第三十九条规定，不需出具选址意见书”</w:t>
            </w:r>
            <w:r>
              <w:rPr>
                <w:rFonts w:hint="eastAsia"/>
                <w:sz w:val="24"/>
              </w:rPr>
              <w:t>。该项目建设不违反乡镇规划，不涉及基本农田，未在水源保护地等敏感位置，不会影响居民的日常生活，因此项目与区域规划及三区三线相符合。</w:t>
            </w:r>
          </w:p>
          <w:p>
            <w:pPr>
              <w:spacing w:line="360" w:lineRule="auto"/>
              <w:ind w:firstLine="482" w:firstLineChars="200"/>
              <w:rPr>
                <w:b/>
                <w:bCs/>
                <w:sz w:val="24"/>
              </w:rPr>
            </w:pPr>
            <w:r>
              <w:rPr>
                <w:b/>
                <w:bCs/>
                <w:sz w:val="24"/>
              </w:rPr>
              <w:t>本项目选址用地不在限制用地和禁止用地目录内，用地合法。因此本项目建设符合用地规划要求。</w:t>
            </w:r>
          </w:p>
          <w:bookmarkEnd w:id="3"/>
          <w:bookmarkEnd w:id="4"/>
          <w:p>
            <w:pPr>
              <w:spacing w:line="360" w:lineRule="auto"/>
              <w:rPr>
                <w:b/>
                <w:bCs/>
                <w:sz w:val="24"/>
              </w:rPr>
            </w:pPr>
            <w:r>
              <w:rPr>
                <w:b/>
                <w:bCs/>
                <w:sz w:val="24"/>
              </w:rPr>
              <w:t>3、项目建设与“三线一单”符合性分析</w:t>
            </w:r>
          </w:p>
          <w:p>
            <w:pPr>
              <w:spacing w:line="360" w:lineRule="auto"/>
              <w:ind w:firstLine="482" w:firstLineChars="200"/>
              <w:rPr>
                <w:b/>
                <w:bCs/>
                <w:sz w:val="24"/>
              </w:rPr>
            </w:pPr>
            <w:r>
              <w:rPr>
                <w:b/>
                <w:bCs/>
                <w:sz w:val="24"/>
              </w:rPr>
              <w:t>3.1生态红线</w:t>
            </w:r>
          </w:p>
          <w:p>
            <w:pPr>
              <w:spacing w:line="360" w:lineRule="auto"/>
              <w:ind w:firstLine="480" w:firstLineChars="200"/>
              <w:rPr>
                <w:sz w:val="24"/>
              </w:rPr>
            </w:pPr>
            <w:r>
              <w:rPr>
                <w:sz w:val="24"/>
              </w:rPr>
              <w:t>根据四川省人民政府《关于印发四川省生态保护红线方案的通知》（川府发〔2018〕24号）（以下简称《方案》），《方案》明确四川省生态保护红线总面积14.80万平方公里，其中遂宁市区域范围涉及的为：“盆中城市饮用水源—水土保持生态保护红线”。该区的生态保护红线主要以保障城市饮水安全的饮用水水源保护区为主，还有零散分布于四川盆地及成都平原区自然保护区、风景名胜区、湿地公园、地质公园等各类生态保护重要区域，它们在维护区域水土保持功能方面发挥着重要作用。</w:t>
            </w:r>
          </w:p>
          <w:p>
            <w:pPr>
              <w:spacing w:line="360" w:lineRule="auto"/>
              <w:ind w:firstLine="480" w:firstLineChars="200"/>
            </w:pPr>
            <w:r>
              <w:rPr>
                <w:sz w:val="24"/>
              </w:rPr>
              <w:t>本项目位于大英县蓬莱镇虎泉村8社，不涉及上述生态红线保护区（详见附图2）。</w:t>
            </w:r>
            <w:r>
              <w:rPr>
                <w:rFonts w:hint="eastAsia"/>
                <w:sz w:val="24"/>
              </w:rPr>
              <w:t xml:space="preserve"> </w:t>
            </w:r>
          </w:p>
          <w:p>
            <w:pPr>
              <w:spacing w:line="360" w:lineRule="auto"/>
              <w:ind w:firstLine="482" w:firstLineChars="200"/>
              <w:rPr>
                <w:b/>
                <w:bCs/>
                <w:sz w:val="24"/>
              </w:rPr>
            </w:pPr>
            <w:r>
              <w:rPr>
                <w:b/>
                <w:bCs/>
                <w:sz w:val="24"/>
              </w:rPr>
              <w:t>3.2环境质量底线</w:t>
            </w:r>
          </w:p>
          <w:p>
            <w:pPr>
              <w:spacing w:line="360" w:lineRule="auto"/>
              <w:ind w:firstLine="480" w:firstLineChars="200"/>
              <w:rPr>
                <w:sz w:val="24"/>
              </w:rPr>
            </w:pPr>
            <w:r>
              <w:rPr>
                <w:sz w:val="24"/>
              </w:rPr>
              <w:t>项目选址区域为环境空气功能区二类区，根据《2022年遂宁市环境质量公告》，区域环境空气质量达标。根据现状监测数据，项目区域TSP满足《环境空气质量标准》（GB3095-2012）二级标准。</w:t>
            </w:r>
          </w:p>
          <w:p>
            <w:pPr>
              <w:spacing w:line="360" w:lineRule="auto"/>
              <w:ind w:firstLine="480" w:firstLineChars="200"/>
              <w:rPr>
                <w:sz w:val="24"/>
              </w:rPr>
            </w:pPr>
            <w:r>
              <w:rPr>
                <w:sz w:val="24"/>
              </w:rPr>
              <w:t>项目所在区域为2类声环境功能区，根据环境噪声现状监测结果，项目区域声环境能够满足《声环境质量标准》2类标准要求。本项目营运期主要为设备噪声，采取相关降噪措施后不会改变区域的声环境功能。</w:t>
            </w:r>
          </w:p>
          <w:p>
            <w:pPr>
              <w:spacing w:line="360" w:lineRule="auto"/>
              <w:ind w:firstLine="480" w:firstLineChars="200"/>
              <w:rPr>
                <w:sz w:val="24"/>
              </w:rPr>
            </w:pPr>
            <w:r>
              <w:rPr>
                <w:sz w:val="24"/>
              </w:rPr>
              <w:t>项目运营期产生的粉尘、噪声等污染物在采取相应的措施后均能做到达标排放，项目建设不会对周围环境造成较大影响，不会降低周围的环境质量，能够满足环境功能区要求，符合环境质量底线要求。</w:t>
            </w:r>
          </w:p>
          <w:p>
            <w:pPr>
              <w:spacing w:line="360" w:lineRule="auto"/>
              <w:ind w:firstLine="482" w:firstLineChars="200"/>
              <w:rPr>
                <w:b/>
                <w:bCs/>
                <w:sz w:val="24"/>
              </w:rPr>
            </w:pPr>
            <w:r>
              <w:rPr>
                <w:b/>
                <w:bCs/>
                <w:sz w:val="24"/>
              </w:rPr>
              <w:t>3.3资源利用上线</w:t>
            </w:r>
          </w:p>
          <w:p>
            <w:pPr>
              <w:spacing w:line="360" w:lineRule="auto"/>
              <w:ind w:firstLine="480" w:firstLineChars="200"/>
              <w:rPr>
                <w:rFonts w:eastAsiaTheme="minorEastAsia"/>
                <w:sz w:val="24"/>
              </w:rPr>
            </w:pPr>
            <w:r>
              <w:rPr>
                <w:rFonts w:eastAsiaTheme="minorEastAsia"/>
                <w:sz w:val="24"/>
              </w:rPr>
              <w:t>本项目用地利用虎林砖厂内部空地进行建设，不新增国有建设用地。项目使用的原材料主要为一般工业固体废物，不仅能解决废弃物的处置问题，又能带来集体经济，具有较好的环境效益和社会效益。项目废水经沉淀处理后回用生产，且不属于高耗水产业；项目年用电量约8万kw•h，由区域供电电网统一提供，用电量较少，不属于高耗能产业。</w:t>
            </w:r>
          </w:p>
          <w:p>
            <w:pPr>
              <w:spacing w:line="360" w:lineRule="auto"/>
              <w:ind w:firstLine="480" w:firstLineChars="200"/>
              <w:rPr>
                <w:rFonts w:eastAsiaTheme="minorEastAsia"/>
                <w:sz w:val="24"/>
              </w:rPr>
            </w:pPr>
            <w:r>
              <w:rPr>
                <w:rFonts w:eastAsiaTheme="minorEastAsia"/>
                <w:sz w:val="24"/>
              </w:rPr>
              <w:t>因此，本项目不突破地区能源、水、土地等资源消耗的上限。</w:t>
            </w:r>
          </w:p>
          <w:p>
            <w:pPr>
              <w:spacing w:line="360" w:lineRule="auto"/>
              <w:ind w:firstLine="482" w:firstLineChars="200"/>
              <w:rPr>
                <w:rFonts w:eastAsiaTheme="minorEastAsia"/>
                <w:b/>
                <w:bCs/>
                <w:sz w:val="24"/>
              </w:rPr>
            </w:pPr>
            <w:r>
              <w:rPr>
                <w:rFonts w:eastAsiaTheme="minorEastAsia"/>
                <w:b/>
                <w:bCs/>
                <w:sz w:val="24"/>
              </w:rPr>
              <w:t>3.4环境准入负面清单</w:t>
            </w:r>
          </w:p>
          <w:p>
            <w:pPr>
              <w:spacing w:line="360" w:lineRule="auto"/>
              <w:ind w:firstLine="480" w:firstLineChars="200"/>
              <w:rPr>
                <w:rFonts w:eastAsiaTheme="minorEastAsia"/>
                <w:sz w:val="24"/>
              </w:rPr>
            </w:pPr>
            <w:r>
              <w:rPr>
                <w:rFonts w:eastAsiaTheme="minorEastAsia"/>
                <w:sz w:val="24"/>
              </w:rPr>
              <w:t>环境准入负面清单是基于生态保护红线、环境质量底线和资源利用上线，以清单方式列出的禁止、限制等差别化环境准入条件和要求。查阅《四川省国家重点生态功能区产业准入负面清单（第一批）（试行）》及《四川省国家重点生态功能区产业准入负面清单（第二批）（试行）》本项目不属于其中的限制类和禁止类，本项目所在地不属于国家重点生态功能区，不属于《四川省、重庆市长江经济带发展负面清单实施细则（试行，2022年版）》禁止或限制发展的项目。</w:t>
            </w:r>
          </w:p>
          <w:p>
            <w:pPr>
              <w:spacing w:line="360" w:lineRule="auto"/>
              <w:ind w:firstLine="480" w:firstLineChars="200"/>
              <w:rPr>
                <w:rFonts w:eastAsiaTheme="minorEastAsia"/>
                <w:sz w:val="24"/>
              </w:rPr>
            </w:pPr>
            <w:r>
              <w:rPr>
                <w:rFonts w:eastAsiaTheme="minorEastAsia"/>
                <w:sz w:val="24"/>
              </w:rPr>
              <w:t>2022年8月28日，四川省推动长江经济带发展领导小组办公室、重庆市推动长江经济带发展领导小组办公室联合发布了《关于印发&lt;四川省、重庆市长江经济带发展负面清单实施细则（试行，2022年版）&gt;的通知》（川长江办〔2022〕17号），本项目与该通知符合性分析见下表所示：</w:t>
            </w:r>
          </w:p>
          <w:p>
            <w:pPr>
              <w:spacing w:line="360" w:lineRule="auto"/>
              <w:ind w:firstLine="482" w:firstLineChars="200"/>
              <w:jc w:val="center"/>
              <w:rPr>
                <w:rFonts w:eastAsiaTheme="minorEastAsia"/>
                <w:b/>
                <w:bCs/>
                <w:sz w:val="24"/>
              </w:rPr>
            </w:pPr>
            <w:r>
              <w:rPr>
                <w:rFonts w:eastAsiaTheme="minorEastAsia"/>
                <w:b/>
                <w:bCs/>
                <w:sz w:val="24"/>
              </w:rPr>
              <w:t>表1-4项目与川长江办〔2022〕17号符合性分析</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5246"/>
              <w:gridCol w:w="900"/>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noWrap/>
                  <w:vAlign w:val="center"/>
                </w:tcPr>
                <w:p>
                  <w:pPr>
                    <w:jc w:val="center"/>
                    <w:rPr>
                      <w:b/>
                      <w:bCs/>
                      <w:szCs w:val="21"/>
                    </w:rPr>
                  </w:pPr>
                  <w:r>
                    <w:rPr>
                      <w:b/>
                      <w:bCs/>
                      <w:szCs w:val="21"/>
                    </w:rPr>
                    <w:t>序号</w:t>
                  </w:r>
                </w:p>
              </w:tc>
              <w:tc>
                <w:tcPr>
                  <w:tcW w:w="3480" w:type="pct"/>
                  <w:shd w:val="clear" w:color="auto" w:fill="auto"/>
                  <w:vAlign w:val="center"/>
                </w:tcPr>
                <w:p>
                  <w:pPr>
                    <w:rPr>
                      <w:b/>
                      <w:bCs/>
                      <w:szCs w:val="21"/>
                    </w:rPr>
                  </w:pPr>
                  <w:r>
                    <w:rPr>
                      <w:b/>
                      <w:bCs/>
                      <w:szCs w:val="21"/>
                    </w:rPr>
                    <w:t>四川省、重庆市长江经济带发展负面清单要求</w:t>
                  </w:r>
                </w:p>
              </w:tc>
              <w:tc>
                <w:tcPr>
                  <w:tcW w:w="597" w:type="pct"/>
                  <w:shd w:val="clear" w:color="auto" w:fill="auto"/>
                  <w:vAlign w:val="center"/>
                </w:tcPr>
                <w:p>
                  <w:pPr>
                    <w:rPr>
                      <w:b/>
                      <w:bCs/>
                      <w:szCs w:val="21"/>
                    </w:rPr>
                  </w:pPr>
                  <w:r>
                    <w:rPr>
                      <w:b/>
                      <w:bCs/>
                      <w:szCs w:val="21"/>
                    </w:rPr>
                    <w:t>本项目情况</w:t>
                  </w:r>
                </w:p>
              </w:tc>
              <w:tc>
                <w:tcPr>
                  <w:tcW w:w="460" w:type="pct"/>
                  <w:shd w:val="clear" w:color="auto" w:fill="auto"/>
                  <w:vAlign w:val="center"/>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w:t>
                  </w:r>
                </w:p>
              </w:tc>
              <w:tc>
                <w:tcPr>
                  <w:tcW w:w="3480" w:type="pct"/>
                  <w:vMerge w:val="restart"/>
                  <w:shd w:val="clear" w:color="auto" w:fill="auto"/>
                  <w:vAlign w:val="center"/>
                </w:tcPr>
                <w:p>
                  <w:pPr>
                    <w:rPr>
                      <w:szCs w:val="21"/>
                    </w:rPr>
                  </w:pPr>
                  <w:r>
                    <w:rPr>
                      <w:szCs w:val="21"/>
                    </w:rPr>
                    <w:t>禁止新建、改建和扩建不符合全国港口布局规划，以及《四川省内河水运发展规划》《遂宁-宜宾-乐山港口群布局规划》《重庆港总体规划（2035年）》等省级港口布局规划及市级港口总体规划的码头项目。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63" w:type="pct"/>
                  <w:vMerge w:val="restart"/>
                  <w:shd w:val="clear" w:color="auto" w:fill="auto"/>
                  <w:vAlign w:val="center"/>
                </w:tcPr>
                <w:p>
                  <w:pPr>
                    <w:jc w:val="center"/>
                    <w:rPr>
                      <w:szCs w:val="21"/>
                    </w:rPr>
                  </w:pPr>
                  <w:r>
                    <w:rPr>
                      <w:szCs w:val="21"/>
                    </w:rPr>
                    <w:t>2</w:t>
                  </w:r>
                </w:p>
              </w:tc>
              <w:tc>
                <w:tcPr>
                  <w:tcW w:w="3480" w:type="pct"/>
                  <w:vMerge w:val="restart"/>
                  <w:shd w:val="clear" w:color="auto" w:fill="auto"/>
                  <w:vAlign w:val="center"/>
                </w:tcPr>
                <w:p>
                  <w:pPr>
                    <w:rPr>
                      <w:szCs w:val="21"/>
                    </w:rPr>
                  </w:pPr>
                  <w:r>
                    <w:rPr>
                      <w:szCs w:val="21"/>
                    </w:rPr>
                    <w:t>禁止新建、改建和扩建不符合《长江干线过江通道布局规划（2020-2035年）》的过长江通道项目（含桥梁、隧道），国家发展改革委同意过长江通道线位调整的除外。</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3</w:t>
                  </w:r>
                </w:p>
              </w:tc>
              <w:tc>
                <w:tcPr>
                  <w:tcW w:w="3480" w:type="pct"/>
                  <w:vMerge w:val="restart"/>
                  <w:shd w:val="clear" w:color="auto" w:fill="auto"/>
                  <w:vAlign w:val="center"/>
                </w:tcPr>
                <w:p>
                  <w:pPr>
                    <w:rPr>
                      <w:szCs w:val="21"/>
                    </w:rPr>
                  </w:pPr>
                  <w:r>
                    <w:rPr>
                      <w:szCs w:val="21"/>
                    </w:rPr>
                    <w:t>禁止在自然保护区核心区、缓冲区的岸线和河段范围内投资建设旅游和生产经营项目。自然保护区的内部未分区的，依照核心区和缓冲区的规定管控。</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4</w:t>
                  </w:r>
                </w:p>
              </w:tc>
              <w:tc>
                <w:tcPr>
                  <w:tcW w:w="3480" w:type="pct"/>
                  <w:vMerge w:val="restart"/>
                  <w:shd w:val="clear" w:color="auto" w:fill="auto"/>
                  <w:vAlign w:val="center"/>
                </w:tcPr>
                <w:p>
                  <w:pPr>
                    <w:rPr>
                      <w:szCs w:val="21"/>
                    </w:rPr>
                  </w:pPr>
                  <w:r>
                    <w:rPr>
                      <w:szCs w:val="21"/>
                    </w:rPr>
                    <w:t>禁止违反风景名胜区规划，在风景名胜区内设立各类开发区。禁止在风景名胜区核心景区的岸线和河段范围内建设宾馆、招待所、培训中心、疗养院以及与风景名胜资源保护无关的项目。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5</w:t>
                  </w:r>
                </w:p>
              </w:tc>
              <w:tc>
                <w:tcPr>
                  <w:tcW w:w="3480" w:type="pct"/>
                  <w:vMerge w:val="restart"/>
                  <w:shd w:val="clear" w:color="auto" w:fill="auto"/>
                  <w:vAlign w:val="center"/>
                </w:tcPr>
                <w:p>
                  <w:pPr>
                    <w:rPr>
                      <w:szCs w:val="21"/>
                    </w:rPr>
                  </w:pPr>
                  <w:r>
                    <w:rPr>
                      <w:szCs w:val="21"/>
                    </w:rPr>
                    <w:t>禁止在饮用水水源</w:t>
                  </w:r>
                  <w:r>
                    <w:rPr>
                      <w:rFonts w:hint="eastAsia"/>
                      <w:szCs w:val="21"/>
                      <w:lang w:eastAsia="zh-CN"/>
                    </w:rPr>
                    <w:t>标</w:t>
                  </w:r>
                  <w:r>
                    <w:rPr>
                      <w:szCs w:val="21"/>
                    </w:rPr>
                    <w:t>准保护区的岸线和河段范围内新建、扩建对水体污染严重的建设项目，禁止改建增加排污量的建设项目。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6</w:t>
                  </w:r>
                </w:p>
              </w:tc>
              <w:tc>
                <w:tcPr>
                  <w:tcW w:w="3480" w:type="pct"/>
                  <w:vMerge w:val="restart"/>
                  <w:shd w:val="clear" w:color="auto" w:fill="auto"/>
                  <w:vAlign w:val="center"/>
                </w:tcPr>
                <w:p>
                  <w:pPr>
                    <w:rPr>
                      <w:szCs w:val="21"/>
                    </w:rPr>
                  </w:pPr>
                  <w:r>
                    <w:rPr>
                      <w:szCs w:val="21"/>
                    </w:rPr>
                    <w:t>饮用水水源二级保护区的岸线和河段范围内，除遵守准保护区规定外，禁止新建、改建、扩建排放污染物的投资建设项目；禁止从事对水体有污染的水产养殖等活动。</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7</w:t>
                  </w:r>
                </w:p>
              </w:tc>
              <w:tc>
                <w:tcPr>
                  <w:tcW w:w="3480" w:type="pct"/>
                  <w:vMerge w:val="restart"/>
                  <w:shd w:val="clear" w:color="auto" w:fill="auto"/>
                  <w:vAlign w:val="center"/>
                </w:tcPr>
                <w:p>
                  <w:pPr>
                    <w:rPr>
                      <w:szCs w:val="21"/>
                    </w:rPr>
                  </w:pPr>
                  <w:r>
                    <w:rPr>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8</w:t>
                  </w:r>
                </w:p>
              </w:tc>
              <w:tc>
                <w:tcPr>
                  <w:tcW w:w="3480" w:type="pct"/>
                  <w:vMerge w:val="restart"/>
                  <w:shd w:val="clear" w:color="auto" w:fill="auto"/>
                  <w:vAlign w:val="center"/>
                </w:tcPr>
                <w:p>
                  <w:pPr>
                    <w:rPr>
                      <w:szCs w:val="21"/>
                    </w:rPr>
                  </w:pPr>
                  <w:r>
                    <w:rPr>
                      <w:szCs w:val="21"/>
                    </w:rPr>
                    <w:t>禁止在水产种质资源保护区岸线和河段范围内新建围湖造田、围湖造地或挖沙采石等投资建设项目。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9</w:t>
                  </w:r>
                </w:p>
              </w:tc>
              <w:tc>
                <w:tcPr>
                  <w:tcW w:w="3480" w:type="pct"/>
                  <w:vMerge w:val="restart"/>
                  <w:shd w:val="clear" w:color="auto" w:fill="auto"/>
                  <w:vAlign w:val="center"/>
                </w:tcPr>
                <w:p>
                  <w:pPr>
                    <w:rPr>
                      <w:szCs w:val="21"/>
                    </w:rPr>
                  </w:pPr>
                  <w:r>
                    <w:rPr>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463" w:type="pct"/>
                  <w:shd w:val="clear" w:color="auto" w:fill="auto"/>
                  <w:vAlign w:val="center"/>
                </w:tcPr>
                <w:p>
                  <w:pPr>
                    <w:jc w:val="center"/>
                    <w:rPr>
                      <w:szCs w:val="21"/>
                    </w:rPr>
                  </w:pPr>
                  <w:r>
                    <w:rPr>
                      <w:szCs w:val="21"/>
                    </w:rPr>
                    <w:t>10</w:t>
                  </w:r>
                </w:p>
              </w:tc>
              <w:tc>
                <w:tcPr>
                  <w:tcW w:w="3480" w:type="pct"/>
                  <w:shd w:val="clear" w:color="auto" w:fill="auto"/>
                  <w:vAlign w:val="center"/>
                </w:tcPr>
                <w:p>
                  <w:pPr>
                    <w:rPr>
                      <w:szCs w:val="21"/>
                    </w:rPr>
                  </w:pPr>
                  <w:r>
                    <w:rPr>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11</w:t>
                  </w:r>
                </w:p>
              </w:tc>
              <w:tc>
                <w:tcPr>
                  <w:tcW w:w="3480" w:type="pct"/>
                  <w:vMerge w:val="restart"/>
                  <w:shd w:val="clear" w:color="auto" w:fill="auto"/>
                  <w:vAlign w:val="center"/>
                </w:tcPr>
                <w:p>
                  <w:pPr>
                    <w:rPr>
                      <w:szCs w:val="21"/>
                    </w:rPr>
                  </w:pPr>
                  <w:r>
                    <w:rPr>
                      <w:szCs w:val="21"/>
                    </w:rPr>
                    <w:t>禁止在《全国重要江河湖泊水功能区划》划定的河段及湖泊保护区、保留区内投资建设不利于水资源及自然生态保护的项目。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12</w:t>
                  </w:r>
                </w:p>
              </w:tc>
              <w:tc>
                <w:tcPr>
                  <w:tcW w:w="3480" w:type="pct"/>
                  <w:vMerge w:val="restart"/>
                  <w:shd w:val="clear" w:color="auto" w:fill="auto"/>
                  <w:vAlign w:val="center"/>
                </w:tcPr>
                <w:p>
                  <w:pPr>
                    <w:rPr>
                      <w:szCs w:val="21"/>
                    </w:rPr>
                  </w:pPr>
                  <w:r>
                    <w:rPr>
                      <w:szCs w:val="21"/>
                    </w:rPr>
                    <w:t>禁止在长江流域江河、湖泊新设、改设或者扩大排污口，经有管辖权的生态环境主管部门或者长江流域生态环境监督管理机构同意的除外。</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13</w:t>
                  </w:r>
                </w:p>
              </w:tc>
              <w:tc>
                <w:tcPr>
                  <w:tcW w:w="3480" w:type="pct"/>
                  <w:vMerge w:val="restart"/>
                  <w:shd w:val="clear" w:color="auto" w:fill="auto"/>
                  <w:vAlign w:val="center"/>
                </w:tcPr>
                <w:p>
                  <w:pPr>
                    <w:rPr>
                      <w:szCs w:val="21"/>
                    </w:rPr>
                  </w:pPr>
                  <w:r>
                    <w:rPr>
                      <w:szCs w:val="21"/>
                    </w:rPr>
                    <w:t>禁止在长江干流、大渡河、山民江、赤水河、沱江、嘉陵江、乌江、汉江和51个（四川省45个、重庆市6个）水生生物保护区开展生产性捕捞。</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pPr>
                    <w:jc w:val="center"/>
                    <w:rPr>
                      <w:szCs w:val="21"/>
                    </w:rPr>
                  </w:pPr>
                  <w:r>
                    <w:rPr>
                      <w:szCs w:val="21"/>
                    </w:rPr>
                    <w:t>14</w:t>
                  </w:r>
                </w:p>
              </w:tc>
              <w:tc>
                <w:tcPr>
                  <w:tcW w:w="3480" w:type="pct"/>
                  <w:shd w:val="clear" w:color="auto" w:fill="auto"/>
                  <w:vAlign w:val="center"/>
                </w:tcPr>
                <w:p>
                  <w:pPr>
                    <w:rPr>
                      <w:szCs w:val="21"/>
                    </w:rPr>
                  </w:pPr>
                  <w:r>
                    <w:rPr>
                      <w:szCs w:val="21"/>
                    </w:rPr>
                    <w:t>禁止在长江干支流、重要湖泊岸线一公里范围内新建、扩建化工园区和化工项目。</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15</w:t>
                  </w:r>
                </w:p>
              </w:tc>
              <w:tc>
                <w:tcPr>
                  <w:tcW w:w="3480" w:type="pct"/>
                  <w:vMerge w:val="restart"/>
                  <w:shd w:val="clear" w:color="auto" w:fill="auto"/>
                  <w:vAlign w:val="center"/>
                </w:tcPr>
                <w:p>
                  <w:pPr>
                    <w:rPr>
                      <w:szCs w:val="21"/>
                    </w:rPr>
                  </w:pPr>
                  <w:r>
                    <w:rPr>
                      <w:szCs w:val="21"/>
                    </w:rPr>
                    <w:t>禁止在长江干流岸线三公里范围内和重要支流岸线一公里范围内新建、改建、扩建尾矿库、冶炼渣库、磷石膏库，以提升安全、生态环境保护水平为目的的改建除外。</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16</w:t>
                  </w:r>
                </w:p>
              </w:tc>
              <w:tc>
                <w:tcPr>
                  <w:tcW w:w="3480" w:type="pct"/>
                  <w:vMerge w:val="restart"/>
                  <w:shd w:val="clear" w:color="auto" w:fill="auto"/>
                  <w:vAlign w:val="center"/>
                </w:tcPr>
                <w:p>
                  <w:pPr>
                    <w:rPr>
                      <w:szCs w:val="21"/>
                    </w:rPr>
                  </w:pPr>
                  <w:r>
                    <w:rPr>
                      <w:szCs w:val="21"/>
                    </w:rPr>
                    <w:t>禁止在生态保护红线区域、永久基本农田集中区域和其他需要特别保护的区域内选址建设尾矿库、冶炼渣库、磷石膏库。</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17</w:t>
                  </w:r>
                </w:p>
              </w:tc>
              <w:tc>
                <w:tcPr>
                  <w:tcW w:w="3480" w:type="pct"/>
                  <w:vMerge w:val="restart"/>
                  <w:shd w:val="clear" w:color="auto" w:fill="auto"/>
                  <w:vAlign w:val="center"/>
                </w:tcPr>
                <w:p>
                  <w:pPr>
                    <w:rPr>
                      <w:szCs w:val="21"/>
                    </w:rPr>
                  </w:pPr>
                  <w:r>
                    <w:rPr>
                      <w:szCs w:val="21"/>
                    </w:rPr>
                    <w:t>禁止在合规园区外新建、扩建钢铁、石化、化工、焦化、建材、有色、制浆造纸等高污染项目。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3" w:type="pct"/>
                  <w:vMerge w:val="restart"/>
                  <w:shd w:val="clear" w:color="auto" w:fill="auto"/>
                  <w:vAlign w:val="center"/>
                </w:tcPr>
                <w:p>
                  <w:pPr>
                    <w:jc w:val="center"/>
                    <w:rPr>
                      <w:szCs w:val="21"/>
                    </w:rPr>
                  </w:pPr>
                  <w:r>
                    <w:rPr>
                      <w:szCs w:val="21"/>
                    </w:rPr>
                    <w:t>18</w:t>
                  </w:r>
                </w:p>
              </w:tc>
              <w:tc>
                <w:tcPr>
                  <w:tcW w:w="3480" w:type="pct"/>
                  <w:vMerge w:val="restart"/>
                  <w:shd w:val="clear" w:color="auto" w:fill="auto"/>
                  <w:vAlign w:val="center"/>
                </w:tcPr>
                <w:p>
                  <w:pPr>
                    <w:rPr>
                      <w:szCs w:val="21"/>
                    </w:rPr>
                  </w:pPr>
                  <w:r>
                    <w:rPr>
                      <w:szCs w:val="21"/>
                    </w:rPr>
                    <w:t>禁止新建、扩建不符合国家石化、现代煤化工等产业布局规划的项目。</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（一）严格控制新增炼油产能，未列入《石化产业规划布局方案（修订版）》的新增炼油产能一律不得建设。</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（二）新建煤制烯烃、煤制芳烃项目必须列入《现代煤化工产业创新发展布局方案》，必须符合《现代煤化工建设项目环境准入条件（试行）》要求。</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pPr>
                    <w:jc w:val="center"/>
                    <w:rPr>
                      <w:szCs w:val="21"/>
                    </w:rPr>
                  </w:pPr>
                  <w:r>
                    <w:rPr>
                      <w:szCs w:val="21"/>
                    </w:rPr>
                    <w:t>19</w:t>
                  </w:r>
                </w:p>
              </w:tc>
              <w:tc>
                <w:tcPr>
                  <w:tcW w:w="3480" w:type="pct"/>
                  <w:shd w:val="clear" w:color="auto" w:fill="auto"/>
                  <w:vAlign w:val="center"/>
                </w:tcPr>
                <w:p>
                  <w:pPr>
                    <w:rPr>
                      <w:szCs w:val="21"/>
                    </w:rPr>
                  </w:pPr>
                  <w:r>
                    <w:rPr>
                      <w:szCs w:val="21"/>
                    </w:rPr>
                    <w:t>禁止未经许可在长江干支流及湖泊新设、改设或扩大排污口。</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pPr>
                    <w:jc w:val="center"/>
                    <w:rPr>
                      <w:szCs w:val="21"/>
                    </w:rPr>
                  </w:pPr>
                  <w:r>
                    <w:rPr>
                      <w:szCs w:val="21"/>
                    </w:rPr>
                    <w:t>20</w:t>
                  </w:r>
                </w:p>
              </w:tc>
              <w:tc>
                <w:tcPr>
                  <w:tcW w:w="3480" w:type="pct"/>
                  <w:shd w:val="clear" w:color="auto" w:fill="auto"/>
                  <w:vAlign w:val="center"/>
                </w:tcPr>
                <w:p>
                  <w:pPr>
                    <w:rPr>
                      <w:szCs w:val="21"/>
                    </w:rPr>
                  </w:pPr>
                  <w:r>
                    <w:rPr>
                      <w:szCs w:val="21"/>
                    </w:rPr>
                    <w:t>禁止在“一江一口两湖七河”和332个水生生物保护区开展生产性捕捞。</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21</w:t>
                  </w:r>
                </w:p>
              </w:tc>
              <w:tc>
                <w:tcPr>
                  <w:tcW w:w="3480" w:type="pct"/>
                  <w:vMerge w:val="restart"/>
                  <w:shd w:val="clear" w:color="auto" w:fill="auto"/>
                  <w:vAlign w:val="center"/>
                </w:tcPr>
                <w:p>
                  <w:pPr>
                    <w:rPr>
                      <w:szCs w:val="21"/>
                    </w:rPr>
                  </w:pPr>
                  <w:r>
                    <w:rPr>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22</w:t>
                  </w:r>
                </w:p>
              </w:tc>
              <w:tc>
                <w:tcPr>
                  <w:tcW w:w="3480" w:type="pct"/>
                  <w:vMerge w:val="restart"/>
                  <w:shd w:val="clear" w:color="auto" w:fill="auto"/>
                  <w:vAlign w:val="center"/>
                </w:tcPr>
                <w:p>
                  <w:pPr>
                    <w:rPr>
                      <w:szCs w:val="21"/>
                    </w:rPr>
                  </w:pPr>
                  <w:r>
                    <w:rPr>
                      <w:szCs w:val="21"/>
                    </w:rPr>
                    <w:t>禁止新建、扩建法律法规和相关政策明令禁止的落后产能项目。对目录中淘汰类项目，禁止投资；限制类的新建项目，禁止投资，对属于限制类的现有生产能力，允许企业在一定期限内采取措施改造升级。</w:t>
                  </w:r>
                </w:p>
              </w:tc>
              <w:tc>
                <w:tcPr>
                  <w:tcW w:w="597" w:type="pct"/>
                  <w:vMerge w:val="restart"/>
                  <w:shd w:val="clear" w:color="auto" w:fill="auto"/>
                  <w:vAlign w:val="center"/>
                </w:tcPr>
                <w:p>
                  <w:pPr>
                    <w:rPr>
                      <w:szCs w:val="21"/>
                    </w:rPr>
                  </w:pPr>
                  <w:r>
                    <w:rPr>
                      <w:szCs w:val="21"/>
                    </w:rPr>
                    <w:t>项目属于鼓励类项目</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3" w:type="pct"/>
                  <w:vMerge w:val="continue"/>
                  <w:vAlign w:val="center"/>
                </w:tcPr>
                <w:p>
                  <w:pPr>
                    <w:jc w:val="center"/>
                    <w:rPr>
                      <w:szCs w:val="21"/>
                    </w:rPr>
                  </w:pPr>
                </w:p>
              </w:tc>
              <w:tc>
                <w:tcPr>
                  <w:tcW w:w="3480" w:type="pct"/>
                  <w:vMerge w:val="continue"/>
                  <w:vAlign w:val="center"/>
                </w:tcPr>
                <w:p>
                  <w:pPr>
                    <w:rPr>
                      <w:szCs w:val="21"/>
                    </w:rPr>
                  </w:pP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63" w:type="pct"/>
                  <w:shd w:val="clear" w:color="auto" w:fill="auto"/>
                  <w:vAlign w:val="center"/>
                </w:tcPr>
                <w:p>
                  <w:pPr>
                    <w:jc w:val="center"/>
                    <w:rPr>
                      <w:szCs w:val="21"/>
                    </w:rPr>
                  </w:pPr>
                  <w:r>
                    <w:rPr>
                      <w:szCs w:val="21"/>
                    </w:rPr>
                    <w:t>23</w:t>
                  </w:r>
                </w:p>
              </w:tc>
              <w:tc>
                <w:tcPr>
                  <w:tcW w:w="3480" w:type="pct"/>
                  <w:shd w:val="clear" w:color="auto" w:fill="auto"/>
                  <w:vAlign w:val="center"/>
                </w:tcPr>
                <w:p>
                  <w:pPr>
                    <w:rPr>
                      <w:szCs w:val="21"/>
                    </w:rPr>
                  </w:pPr>
                  <w:r>
                    <w:rPr>
                      <w:szCs w:val="21"/>
                    </w:rPr>
                    <w:t>禁止新建、扩建不符合国家产能置换要求的严重过剩产能行业的项目。对于不符合国家产能置换要求的严重过剩产能行业，不得以其他任何名义、任何方式备案新增产能项目。</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pPr>
                    <w:jc w:val="center"/>
                    <w:rPr>
                      <w:szCs w:val="21"/>
                    </w:rPr>
                  </w:pPr>
                  <w:r>
                    <w:rPr>
                      <w:szCs w:val="21"/>
                    </w:rPr>
                    <w:t>24</w:t>
                  </w:r>
                </w:p>
              </w:tc>
              <w:tc>
                <w:tcPr>
                  <w:tcW w:w="3480" w:type="pct"/>
                  <w:shd w:val="clear" w:color="auto" w:fill="auto"/>
                  <w:vAlign w:val="center"/>
                </w:tcPr>
                <w:p>
                  <w:pPr>
                    <w:rPr>
                      <w:szCs w:val="21"/>
                    </w:rPr>
                  </w:pPr>
                  <w:r>
                    <w:rPr>
                      <w:szCs w:val="21"/>
                    </w:rPr>
                    <w:t>禁止建设以下燃油汽车投资项目（不在中国境内销售产品的投资项目除外）：</w:t>
                  </w:r>
                </w:p>
              </w:tc>
              <w:tc>
                <w:tcPr>
                  <w:tcW w:w="597" w:type="pct"/>
                  <w:vMerge w:val="restart"/>
                  <w:shd w:val="clear" w:color="auto" w:fill="auto"/>
                  <w:vAlign w:val="center"/>
                </w:tcPr>
                <w:p>
                  <w:pPr>
                    <w:rPr>
                      <w:szCs w:val="21"/>
                    </w:rPr>
                  </w:pPr>
                  <w:r>
                    <w:rPr>
                      <w:szCs w:val="21"/>
                    </w:rPr>
                    <w:t>本项目不涉及</w:t>
                  </w:r>
                </w:p>
              </w:tc>
              <w:tc>
                <w:tcPr>
                  <w:tcW w:w="460" w:type="pct"/>
                  <w:vMerge w:val="restart"/>
                  <w:shd w:val="clear" w:color="auto" w:fill="auto"/>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（一）新建独立燃油汽车企业；</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（二）现有汽车企业跨乘用车、商用车类别建设燃油汽车生产能力；</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（三）外省现有燃油汽车企业整体搬迁至本省（列入国家级区域发展规划或不改变企业股权结构的项目除外）；</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（四）对行业管理部门特别公示的燃油汽车企业进行投资</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pPr>
                    <w:jc w:val="center"/>
                    <w:rPr>
                      <w:szCs w:val="21"/>
                    </w:rPr>
                  </w:pPr>
                </w:p>
              </w:tc>
              <w:tc>
                <w:tcPr>
                  <w:tcW w:w="3480" w:type="pct"/>
                  <w:shd w:val="clear" w:color="auto" w:fill="auto"/>
                  <w:vAlign w:val="center"/>
                </w:tcPr>
                <w:p>
                  <w:pPr>
                    <w:rPr>
                      <w:szCs w:val="21"/>
                    </w:rPr>
                  </w:pPr>
                  <w:r>
                    <w:rPr>
                      <w:szCs w:val="21"/>
                    </w:rPr>
                    <w:t>（企业原有股东投资或将该企业转为非独立法人的投资项目除外）。</w:t>
                  </w:r>
                </w:p>
              </w:tc>
              <w:tc>
                <w:tcPr>
                  <w:tcW w:w="597" w:type="pct"/>
                  <w:vMerge w:val="continue"/>
                  <w:vAlign w:val="center"/>
                </w:tcPr>
                <w:p>
                  <w:pPr>
                    <w:rPr>
                      <w:szCs w:val="21"/>
                    </w:rPr>
                  </w:pPr>
                </w:p>
              </w:tc>
              <w:tc>
                <w:tcPr>
                  <w:tcW w:w="460" w:type="pct"/>
                  <w:vMerge w:val="continue"/>
                  <w:vAlign w:val="center"/>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pPr>
                    <w:jc w:val="center"/>
                    <w:rPr>
                      <w:szCs w:val="21"/>
                    </w:rPr>
                  </w:pPr>
                  <w:r>
                    <w:rPr>
                      <w:szCs w:val="21"/>
                    </w:rPr>
                    <w:t>25</w:t>
                  </w:r>
                </w:p>
              </w:tc>
              <w:tc>
                <w:tcPr>
                  <w:tcW w:w="3480" w:type="pct"/>
                  <w:shd w:val="clear" w:color="auto" w:fill="auto"/>
                  <w:vAlign w:val="center"/>
                </w:tcPr>
                <w:p>
                  <w:pPr>
                    <w:rPr>
                      <w:szCs w:val="21"/>
                    </w:rPr>
                  </w:pPr>
                  <w:r>
                    <w:rPr>
                      <w:szCs w:val="21"/>
                    </w:rPr>
                    <w:t>禁止新建、扩建不符合要求的高耗能、高排放、低水平项目。</w:t>
                  </w:r>
                </w:p>
              </w:tc>
              <w:tc>
                <w:tcPr>
                  <w:tcW w:w="597" w:type="pct"/>
                  <w:shd w:val="clear" w:color="auto" w:fill="auto"/>
                  <w:vAlign w:val="center"/>
                </w:tcPr>
                <w:p>
                  <w:pPr>
                    <w:rPr>
                      <w:szCs w:val="21"/>
                    </w:rPr>
                  </w:pPr>
                  <w:r>
                    <w:rPr>
                      <w:szCs w:val="21"/>
                    </w:rPr>
                    <w:t>本项目不涉及</w:t>
                  </w:r>
                </w:p>
              </w:tc>
              <w:tc>
                <w:tcPr>
                  <w:tcW w:w="460" w:type="pct"/>
                  <w:shd w:val="clear" w:color="auto" w:fill="auto"/>
                  <w:vAlign w:val="center"/>
                </w:tcPr>
                <w:p>
                  <w:pPr>
                    <w:rPr>
                      <w:b/>
                      <w:bCs/>
                      <w:szCs w:val="21"/>
                    </w:rPr>
                  </w:pPr>
                  <w:r>
                    <w:rPr>
                      <w:b/>
                      <w:bCs/>
                      <w:szCs w:val="21"/>
                    </w:rPr>
                    <w:t>符合</w:t>
                  </w:r>
                </w:p>
              </w:tc>
            </w:tr>
          </w:tbl>
          <w:p>
            <w:pPr>
              <w:spacing w:before="120" w:beforeLines="50" w:line="360" w:lineRule="auto"/>
              <w:ind w:firstLine="480" w:firstLineChars="200"/>
              <w:rPr>
                <w:sz w:val="24"/>
              </w:rPr>
            </w:pPr>
            <w:r>
              <w:rPr>
                <w:sz w:val="24"/>
              </w:rPr>
              <w:t>根据上表，本项目不属于上述四川省、重庆市长江经济带发展负面清单中的类别。本项目未列入环境准入负面清单内，符合相关要求。</w:t>
            </w:r>
          </w:p>
          <w:p>
            <w:pPr>
              <w:spacing w:line="360" w:lineRule="auto"/>
              <w:ind w:firstLine="482" w:firstLineChars="200"/>
              <w:rPr>
                <w:b/>
                <w:bCs/>
                <w:sz w:val="24"/>
              </w:rPr>
            </w:pPr>
            <w:r>
              <w:rPr>
                <w:b/>
                <w:bCs/>
                <w:sz w:val="24"/>
              </w:rPr>
              <w:t>综上，经过与“三线一单”进行对照后，项目不在生态保护红线内、未超出环境质量底线及资源利用上线，未列入环境准入负面清单，项目建设满足国家“三线一单”</w:t>
            </w:r>
            <w:r>
              <w:rPr>
                <w:rFonts w:hint="eastAsia"/>
                <w:b/>
                <w:bCs/>
                <w:sz w:val="24"/>
              </w:rPr>
              <w:t>等</w:t>
            </w:r>
            <w:r>
              <w:rPr>
                <w:b/>
                <w:bCs/>
                <w:sz w:val="24"/>
              </w:rPr>
              <w:t>的相关要求。</w:t>
            </w:r>
          </w:p>
          <w:p>
            <w:pPr>
              <w:spacing w:line="360" w:lineRule="auto"/>
              <w:ind w:firstLine="482" w:firstLineChars="200"/>
              <w:rPr>
                <w:b/>
                <w:bCs/>
                <w:sz w:val="24"/>
              </w:rPr>
            </w:pPr>
            <w:r>
              <w:rPr>
                <w:b/>
                <w:bCs/>
                <w:sz w:val="24"/>
              </w:rPr>
              <w:t>3.5本项目与《遂宁市人民政府关于落实生态保护红线、环境质量底线、资源利用上线和生态环境准入清单实施生态环境分区管控的通知》遂府函〔2021〕74号文件的符合性分析</w:t>
            </w:r>
          </w:p>
          <w:p>
            <w:pPr>
              <w:spacing w:line="360" w:lineRule="auto"/>
              <w:rPr>
                <w:sz w:val="24"/>
              </w:rPr>
            </w:pPr>
            <w:r>
              <w:rPr>
                <w:sz w:val="24"/>
              </w:rPr>
              <w:drawing>
                <wp:inline distT="0" distB="0" distL="0" distR="0">
                  <wp:extent cx="4686935" cy="3343275"/>
                  <wp:effectExtent l="19050" t="19050" r="18415" b="9525"/>
                  <wp:docPr id="837846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4656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03899" cy="3355066"/>
                          </a:xfrm>
                          <a:prstGeom prst="rect">
                            <a:avLst/>
                          </a:prstGeom>
                          <a:noFill/>
                          <a:ln w="9525">
                            <a:solidFill>
                              <a:schemeClr val="tx1"/>
                            </a:solidFill>
                          </a:ln>
                        </pic:spPr>
                      </pic:pic>
                    </a:graphicData>
                  </a:graphic>
                </wp:inline>
              </w:drawing>
            </w:r>
          </w:p>
          <w:p>
            <w:pPr>
              <w:jc w:val="center"/>
              <w:rPr>
                <w:b/>
                <w:bCs/>
                <w:sz w:val="24"/>
              </w:rPr>
            </w:pPr>
            <w:r>
              <w:rPr>
                <w:b/>
                <w:bCs/>
                <w:sz w:val="24"/>
              </w:rPr>
              <w:t>图1-1项目与遂宁市综合环境管控单元关系</w:t>
            </w:r>
          </w:p>
          <w:p>
            <w:pPr>
              <w:spacing w:before="120" w:beforeLines="50" w:line="360" w:lineRule="auto"/>
              <w:ind w:firstLine="480" w:firstLineChars="200"/>
              <w:rPr>
                <w:sz w:val="24"/>
              </w:rPr>
            </w:pPr>
            <w:r>
              <w:rPr>
                <w:sz w:val="24"/>
              </w:rPr>
              <w:t>本项目与遂宁市的总体生态环境管控要求的符合性分析如下：</w:t>
            </w:r>
          </w:p>
          <w:p>
            <w:pPr>
              <w:spacing w:line="360" w:lineRule="auto"/>
              <w:ind w:firstLine="482" w:firstLineChars="200"/>
              <w:rPr>
                <w:b/>
                <w:bCs/>
                <w:sz w:val="24"/>
              </w:rPr>
            </w:pPr>
            <w:r>
              <w:rPr>
                <w:b/>
                <w:bCs/>
                <w:sz w:val="24"/>
              </w:rPr>
              <w:t>表1-5本项目与遂宁市的总体生态环境管控要求的符合性</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719"/>
              <w:gridCol w:w="4457"/>
              <w:gridCol w:w="1180"/>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pPr>
                    <w:rPr>
                      <w:b/>
                      <w:bCs/>
                      <w:szCs w:val="21"/>
                    </w:rPr>
                  </w:pPr>
                  <w:r>
                    <w:rPr>
                      <w:b/>
                      <w:bCs/>
                      <w:szCs w:val="21"/>
                    </w:rPr>
                    <w:t>序号</w:t>
                  </w:r>
                </w:p>
              </w:tc>
              <w:tc>
                <w:tcPr>
                  <w:tcW w:w="477" w:type="pct"/>
                  <w:shd w:val="clear" w:color="auto" w:fill="auto"/>
                </w:tcPr>
                <w:p>
                  <w:pPr>
                    <w:rPr>
                      <w:b/>
                      <w:bCs/>
                      <w:szCs w:val="21"/>
                    </w:rPr>
                  </w:pPr>
                  <w:r>
                    <w:rPr>
                      <w:b/>
                      <w:bCs/>
                      <w:szCs w:val="21"/>
                    </w:rPr>
                    <w:t>行政区划</w:t>
                  </w:r>
                </w:p>
              </w:tc>
              <w:tc>
                <w:tcPr>
                  <w:tcW w:w="2957" w:type="pct"/>
                  <w:shd w:val="clear" w:color="auto" w:fill="auto"/>
                </w:tcPr>
                <w:p>
                  <w:pPr>
                    <w:rPr>
                      <w:b/>
                      <w:bCs/>
                      <w:szCs w:val="21"/>
                    </w:rPr>
                  </w:pPr>
                  <w:r>
                    <w:rPr>
                      <w:b/>
                      <w:bCs/>
                      <w:szCs w:val="21"/>
                    </w:rPr>
                    <w:t>全市及各县（市、区）总体生态环境管控要求</w:t>
                  </w:r>
                </w:p>
              </w:tc>
              <w:tc>
                <w:tcPr>
                  <w:tcW w:w="783" w:type="pct"/>
                  <w:shd w:val="clear" w:color="auto" w:fill="auto"/>
                </w:tcPr>
                <w:p>
                  <w:pPr>
                    <w:rPr>
                      <w:b/>
                      <w:bCs/>
                      <w:szCs w:val="21"/>
                    </w:rPr>
                  </w:pPr>
                  <w:r>
                    <w:rPr>
                      <w:b/>
                      <w:bCs/>
                      <w:szCs w:val="21"/>
                    </w:rPr>
                    <w:t>本项目情况</w:t>
                  </w:r>
                </w:p>
              </w:tc>
              <w:tc>
                <w:tcPr>
                  <w:tcW w:w="489" w:type="pct"/>
                  <w:shd w:val="clear" w:color="auto" w:fill="auto"/>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pPr>
                    <w:rPr>
                      <w:szCs w:val="21"/>
                    </w:rPr>
                  </w:pPr>
                </w:p>
              </w:tc>
              <w:tc>
                <w:tcPr>
                  <w:tcW w:w="477" w:type="pct"/>
                  <w:shd w:val="clear" w:color="auto" w:fill="auto"/>
                </w:tcPr>
                <w:p>
                  <w:pPr>
                    <w:rPr>
                      <w:szCs w:val="21"/>
                    </w:rPr>
                  </w:pPr>
                  <w:r>
                    <w:rPr>
                      <w:szCs w:val="21"/>
                    </w:rPr>
                    <w:t>遂宁市</w:t>
                  </w:r>
                </w:p>
              </w:tc>
              <w:tc>
                <w:tcPr>
                  <w:tcW w:w="2957" w:type="pct"/>
                  <w:shd w:val="clear" w:color="auto" w:fill="auto"/>
                </w:tcPr>
                <w:p>
                  <w:pPr>
                    <w:rPr>
                      <w:szCs w:val="21"/>
                    </w:rPr>
                  </w:pPr>
                  <w:r>
                    <w:rPr>
                      <w:szCs w:val="21"/>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rPr>
                      <w:szCs w:val="21"/>
                    </w:rPr>
                  </w:pPr>
                  <w:r>
                    <w:rPr>
                      <w:szCs w:val="21"/>
                    </w:rPr>
                    <w:t>（2）锂电产业中锂离子电池行业引入，严格执行其行业资源环境绩效指标准入要求；</w:t>
                  </w:r>
                </w:p>
                <w:p>
                  <w:pPr>
                    <w:rPr>
                      <w:szCs w:val="21"/>
                    </w:rPr>
                  </w:pPr>
                  <w:r>
                    <w:rPr>
                      <w:szCs w:val="21"/>
                    </w:rPr>
                    <w:t>（3）全市大气污染物排放执行《四川省生态环境厅关于执行大气污染物特别排放限值的公告》相关要求；</w:t>
                  </w:r>
                </w:p>
                <w:p>
                  <w:pPr>
                    <w:rPr>
                      <w:szCs w:val="21"/>
                    </w:rPr>
                  </w:pPr>
                  <w:r>
                    <w:rPr>
                      <w:szCs w:val="21"/>
                    </w:rPr>
                    <w:t>（4）强化沿江化工企业与园区的污染治理与风险管控，细化突发环境事件风险管控措施，严控流域型环境风险；严格落实《生态环境部水利部关于建立跨省流域上下游突发水污染事件联防联控机制的指导意见》；</w:t>
                  </w:r>
                </w:p>
                <w:p>
                  <w:pPr>
                    <w:rPr>
                      <w:szCs w:val="21"/>
                    </w:rPr>
                  </w:pPr>
                  <w:r>
                    <w:rPr>
                      <w:szCs w:val="21"/>
                    </w:rPr>
                    <w:t>（5）优化中心城区园区布局。</w:t>
                  </w:r>
                </w:p>
              </w:tc>
              <w:tc>
                <w:tcPr>
                  <w:tcW w:w="783" w:type="pct"/>
                  <w:vMerge w:val="restart"/>
                  <w:shd w:val="clear" w:color="auto" w:fill="auto"/>
                </w:tcPr>
                <w:p>
                  <w:pPr>
                    <w:rPr>
                      <w:szCs w:val="21"/>
                    </w:rPr>
                  </w:pPr>
                  <w:r>
                    <w:rPr>
                      <w:b/>
                      <w:bCs/>
                      <w:szCs w:val="21"/>
                    </w:rPr>
                    <w:t>本项目为固废综合利用项目，大气污染物排放执行《四川省生态环境厅关于执行大气污染物特别排放限值的公告》相关要求</w:t>
                  </w:r>
                </w:p>
              </w:tc>
              <w:tc>
                <w:tcPr>
                  <w:tcW w:w="489" w:type="pct"/>
                  <w:vMerge w:val="restart"/>
                  <w:shd w:val="clear" w:color="auto" w:fill="auto"/>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pPr>
                    <w:rPr>
                      <w:szCs w:val="21"/>
                    </w:rPr>
                  </w:pPr>
                  <w:r>
                    <w:rPr>
                      <w:szCs w:val="21"/>
                    </w:rPr>
                    <w:t>1</w:t>
                  </w:r>
                </w:p>
              </w:tc>
              <w:tc>
                <w:tcPr>
                  <w:tcW w:w="477" w:type="pct"/>
                  <w:shd w:val="clear" w:color="auto" w:fill="auto"/>
                </w:tcPr>
                <w:p>
                  <w:pPr>
                    <w:rPr>
                      <w:szCs w:val="21"/>
                    </w:rPr>
                  </w:pPr>
                  <w:r>
                    <w:rPr>
                      <w:szCs w:val="21"/>
                    </w:rPr>
                    <w:t>大英县</w:t>
                  </w:r>
                </w:p>
              </w:tc>
              <w:tc>
                <w:tcPr>
                  <w:tcW w:w="2957" w:type="pct"/>
                  <w:shd w:val="clear" w:color="auto" w:fill="auto"/>
                </w:tcPr>
                <w:p>
                  <w:pPr>
                    <w:rPr>
                      <w:szCs w:val="21"/>
                    </w:rPr>
                  </w:pPr>
                  <w:r>
                    <w:rPr>
                      <w:szCs w:val="21"/>
                    </w:rPr>
                    <w:t>（1）加强郪江流域污染治理、农业面源污染治理，严格控制化肥农药使用量，科学划定禁养区，积极推广畜禽清洁养殖和畜禽粪污无害化、资源化处理技术；</w:t>
                  </w:r>
                </w:p>
                <w:p>
                  <w:pPr>
                    <w:rPr>
                      <w:szCs w:val="21"/>
                    </w:rPr>
                  </w:pPr>
                  <w:r>
                    <w:rPr>
                      <w:szCs w:val="21"/>
                    </w:rPr>
                    <w:t>（2）现有涉及五类重金属排放的企业，严控污染物排放；</w:t>
                  </w:r>
                </w:p>
                <w:p>
                  <w:pPr>
                    <w:rPr>
                      <w:szCs w:val="21"/>
                    </w:rPr>
                  </w:pPr>
                  <w:r>
                    <w:rPr>
                      <w:szCs w:val="21"/>
                    </w:rPr>
                    <w:t>（3）加强污染地块环境风险防控管理。</w:t>
                  </w:r>
                </w:p>
              </w:tc>
              <w:tc>
                <w:tcPr>
                  <w:tcW w:w="783" w:type="pct"/>
                  <w:vMerge w:val="continue"/>
                  <w:shd w:val="clear" w:color="auto" w:fill="auto"/>
                </w:tcPr>
                <w:p>
                  <w:pPr>
                    <w:rPr>
                      <w:szCs w:val="21"/>
                    </w:rPr>
                  </w:pPr>
                </w:p>
              </w:tc>
              <w:tc>
                <w:tcPr>
                  <w:tcW w:w="489" w:type="pct"/>
                  <w:vMerge w:val="continue"/>
                  <w:shd w:val="clear" w:color="auto" w:fill="auto"/>
                </w:tcPr>
                <w:p>
                  <w:pPr>
                    <w:rPr>
                      <w:szCs w:val="21"/>
                    </w:rPr>
                  </w:pPr>
                </w:p>
              </w:tc>
            </w:tr>
          </w:tbl>
          <w:p>
            <w:pPr>
              <w:pStyle w:val="2"/>
              <w:spacing w:before="120" w:beforeLines="50" w:after="0" w:line="360" w:lineRule="auto"/>
              <w:ind w:left="0" w:leftChars="0" w:firstLine="480"/>
              <w:rPr>
                <w:rFonts w:asciiTheme="minorEastAsia" w:hAnsiTheme="minorEastAsia" w:eastAsiaTheme="minorEastAsia"/>
                <w:sz w:val="24"/>
              </w:rPr>
            </w:pPr>
            <w:r>
              <w:rPr>
                <w:rFonts w:hint="eastAsia" w:asciiTheme="minorEastAsia" w:hAnsiTheme="minorEastAsia" w:eastAsiaTheme="minorEastAsia"/>
                <w:sz w:val="24"/>
              </w:rPr>
              <w:t>根据四川省生态环境厅办公室《关于印发</w:t>
            </w:r>
            <w:r>
              <w:rPr>
                <w:rFonts w:asciiTheme="minorEastAsia" w:hAnsiTheme="minorEastAsia" w:eastAsiaTheme="minorEastAsia"/>
                <w:sz w:val="24"/>
              </w:rPr>
              <w:t>&lt;</w:t>
            </w:r>
            <w:r>
              <w:rPr>
                <w:rFonts w:hint="eastAsia" w:asciiTheme="minorEastAsia" w:hAnsiTheme="minorEastAsia" w:eastAsiaTheme="minorEastAsia"/>
                <w:sz w:val="24"/>
              </w:rPr>
              <w:t>产业园区规划环评“三线一单”符合性分析技术要点（试行）</w:t>
            </w:r>
            <w:r>
              <w:rPr>
                <w:rFonts w:asciiTheme="minorEastAsia" w:hAnsiTheme="minorEastAsia" w:eastAsiaTheme="minorEastAsia"/>
                <w:sz w:val="24"/>
              </w:rPr>
              <w:t>&gt;</w:t>
            </w:r>
            <w:r>
              <w:rPr>
                <w:rFonts w:hint="eastAsia" w:asciiTheme="minorEastAsia" w:hAnsiTheme="minorEastAsia" w:eastAsiaTheme="minorEastAsia"/>
                <w:sz w:val="24"/>
              </w:rPr>
              <w:t>和</w:t>
            </w:r>
            <w:r>
              <w:rPr>
                <w:rFonts w:asciiTheme="minorEastAsia" w:hAnsiTheme="minorEastAsia" w:eastAsiaTheme="minorEastAsia"/>
                <w:sz w:val="24"/>
              </w:rPr>
              <w:t>&lt;</w:t>
            </w:r>
            <w:r>
              <w:rPr>
                <w:rFonts w:hint="eastAsia" w:asciiTheme="minorEastAsia" w:hAnsiTheme="minorEastAsia" w:eastAsiaTheme="minorEastAsia"/>
                <w:sz w:val="24"/>
              </w:rPr>
              <w:t>项目环评“三线一单”符合性分析技术要点（试行）</w:t>
            </w:r>
            <w:r>
              <w:rPr>
                <w:rFonts w:asciiTheme="minorEastAsia" w:hAnsiTheme="minorEastAsia" w:eastAsiaTheme="minorEastAsia"/>
                <w:sz w:val="24"/>
              </w:rPr>
              <w:t>&gt;</w:t>
            </w:r>
            <w:r>
              <w:rPr>
                <w:rFonts w:hint="eastAsia" w:asciiTheme="minorEastAsia" w:hAnsiTheme="minorEastAsia" w:eastAsiaTheme="minorEastAsia"/>
                <w:sz w:val="24"/>
              </w:rPr>
              <w:t>的通知》(川环办函[</w:t>
            </w:r>
            <w:r>
              <w:rPr>
                <w:rFonts w:hint="eastAsia" w:eastAsiaTheme="minorEastAsia"/>
                <w:sz w:val="24"/>
              </w:rPr>
              <w:t>2021</w:t>
            </w:r>
            <w:r>
              <w:rPr>
                <w:rFonts w:hint="eastAsia" w:asciiTheme="minorEastAsia" w:hAnsiTheme="minorEastAsia" w:eastAsiaTheme="minorEastAsia"/>
                <w:sz w:val="24"/>
              </w:rPr>
              <w:t>]</w:t>
            </w:r>
            <w:r>
              <w:rPr>
                <w:rFonts w:hint="eastAsia" w:eastAsiaTheme="minorEastAsia"/>
                <w:sz w:val="24"/>
              </w:rPr>
              <w:t>469</w:t>
            </w:r>
            <w:r>
              <w:rPr>
                <w:rFonts w:hint="eastAsia" w:asciiTheme="minorEastAsia" w:hAnsiTheme="minorEastAsia" w:eastAsiaTheme="minorEastAsia"/>
                <w:sz w:val="24"/>
              </w:rPr>
              <w:t>号)，建设项目环境影响评价中“三线一单”符合性分析结构示意图见下图:</w:t>
            </w:r>
          </w:p>
          <w:p>
            <w:pPr>
              <w:pStyle w:val="2"/>
              <w:spacing w:before="120" w:beforeLines="50" w:after="0" w:line="360" w:lineRule="auto"/>
              <w:ind w:left="0" w:leftChars="0" w:firstLine="0" w:firstLineChars="0"/>
              <w:rPr>
                <w:rFonts w:asciiTheme="minorEastAsia" w:hAnsiTheme="minorEastAsia" w:eastAsiaTheme="minorEastAsia"/>
                <w:sz w:val="24"/>
              </w:rPr>
            </w:pPr>
            <w:r>
              <w:drawing>
                <wp:inline distT="0" distB="0" distL="0" distR="0">
                  <wp:extent cx="4581525" cy="3202940"/>
                  <wp:effectExtent l="0" t="0" r="9525" b="0"/>
                  <wp:docPr id="94509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9190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2937" cy="3217786"/>
                          </a:xfrm>
                          <a:prstGeom prst="rect">
                            <a:avLst/>
                          </a:prstGeom>
                          <a:noFill/>
                          <a:ln>
                            <a:noFill/>
                          </a:ln>
                        </pic:spPr>
                      </pic:pic>
                    </a:graphicData>
                  </a:graphic>
                </wp:inline>
              </w:drawing>
            </w:r>
          </w:p>
          <w:p>
            <w:pPr>
              <w:spacing w:before="120" w:beforeLines="50" w:line="360" w:lineRule="auto"/>
              <w:rPr>
                <w:b/>
                <w:bCs/>
                <w:kern w:val="0"/>
                <w:sz w:val="24"/>
              </w:rPr>
            </w:pPr>
            <w:r>
              <w:rPr>
                <w:rFonts w:hint="eastAsia"/>
                <w:b/>
                <w:bCs/>
                <w:kern w:val="0"/>
                <w:sz w:val="24"/>
              </w:rPr>
              <w:t>图 1-</w:t>
            </w:r>
            <w:r>
              <w:rPr>
                <w:b/>
                <w:bCs/>
                <w:kern w:val="0"/>
                <w:sz w:val="24"/>
              </w:rPr>
              <w:t>2</w:t>
            </w:r>
            <w:r>
              <w:rPr>
                <w:rFonts w:hint="eastAsia"/>
                <w:b/>
                <w:bCs/>
                <w:kern w:val="0"/>
                <w:sz w:val="24"/>
              </w:rPr>
              <w:t xml:space="preserve"> 建设项目环境影响评价中“三线一单”符合性分析结构示意图</w:t>
            </w:r>
          </w:p>
          <w:p>
            <w:pPr>
              <w:spacing w:before="120" w:beforeLines="50" w:line="360" w:lineRule="auto"/>
              <w:ind w:firstLine="480" w:firstLineChars="200"/>
              <w:rPr>
                <w:sz w:val="24"/>
              </w:rPr>
            </w:pPr>
            <w:r>
              <w:rPr>
                <w:rFonts w:hint="eastAsia"/>
                <w:kern w:val="0"/>
                <w:sz w:val="24"/>
              </w:rPr>
              <w:t>项目位于</w:t>
            </w:r>
            <w:r>
              <w:rPr>
                <w:rFonts w:hint="eastAsia"/>
                <w:sz w:val="24"/>
              </w:rPr>
              <w:t>四川省遂宁市</w:t>
            </w:r>
            <w:r>
              <w:rPr>
                <w:sz w:val="24"/>
              </w:rPr>
              <w:t>大英县蓬莱镇虎泉村8社</w:t>
            </w:r>
            <w:r>
              <w:rPr>
                <w:rFonts w:hint="eastAsia"/>
                <w:sz w:val="24"/>
              </w:rPr>
              <w:t>，</w:t>
            </w:r>
            <w:r>
              <w:rPr>
                <w:rFonts w:hint="eastAsia"/>
                <w:kern w:val="0"/>
                <w:sz w:val="24"/>
              </w:rPr>
              <w:t>从四川政务服务网查询“三线一单”符合性分析结果</w:t>
            </w:r>
            <w:r>
              <w:rPr>
                <w:rFonts w:hint="eastAsia"/>
                <w:sz w:val="24"/>
              </w:rPr>
              <w:t>：</w:t>
            </w:r>
            <w:r>
              <w:rPr>
                <w:rFonts w:ascii="Helvetica" w:hAnsi="Helvetica" w:cs="Helvetica"/>
                <w:sz w:val="24"/>
              </w:rPr>
              <w:t>四川鸿乔再生资源利用有限公司再生资源综合利用升级改造项目位于遂宁市大英县环境综合管控单元要素重点管控单元（管控单元名称：大英县要素重点管控单元，管控单元编号：</w:t>
            </w:r>
            <w:r>
              <w:rPr>
                <w:rFonts w:cs="Helvetica"/>
                <w:sz w:val="24"/>
              </w:rPr>
              <w:t>ZH51092320005</w:t>
            </w:r>
            <w:r>
              <w:rPr>
                <w:rFonts w:ascii="Helvetica" w:hAnsi="Helvetica" w:cs="Helvetica"/>
                <w:sz w:val="24"/>
              </w:rPr>
              <w:t>）</w:t>
            </w:r>
            <w:r>
              <w:rPr>
                <w:sz w:val="24"/>
              </w:rPr>
              <w:t>，</w:t>
            </w:r>
            <w:r>
              <w:rPr>
                <w:rFonts w:hint="eastAsia"/>
                <w:sz w:val="24"/>
                <w:lang w:eastAsia="zh-CN"/>
              </w:rPr>
              <w:t>涉及</w:t>
            </w:r>
            <w:r>
              <w:rPr>
                <w:sz w:val="24"/>
              </w:rPr>
              <w:t>管控单元见下表。</w:t>
            </w:r>
          </w:p>
          <w:p>
            <w:pPr>
              <w:pStyle w:val="2"/>
              <w:spacing w:after="0"/>
              <w:ind w:left="0" w:leftChars="0" w:firstLine="0" w:firstLineChars="0"/>
            </w:pPr>
            <w:r>
              <w:drawing>
                <wp:inline distT="0" distB="0" distL="0" distR="0">
                  <wp:extent cx="4671060" cy="3369945"/>
                  <wp:effectExtent l="0" t="0" r="0" b="1905"/>
                  <wp:docPr id="1267790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90469" name="图片 1"/>
                          <pic:cNvPicPr>
                            <a:picLocks noChangeAspect="1"/>
                          </pic:cNvPicPr>
                        </pic:nvPicPr>
                        <pic:blipFill>
                          <a:blip r:embed="rId10"/>
                          <a:stretch>
                            <a:fillRect/>
                          </a:stretch>
                        </pic:blipFill>
                        <pic:spPr>
                          <a:xfrm>
                            <a:off x="0" y="0"/>
                            <a:ext cx="4685863" cy="3380978"/>
                          </a:xfrm>
                          <a:prstGeom prst="rect">
                            <a:avLst/>
                          </a:prstGeom>
                        </pic:spPr>
                      </pic:pic>
                    </a:graphicData>
                  </a:graphic>
                </wp:inline>
              </w:drawing>
            </w:r>
          </w:p>
          <w:p>
            <w:pPr>
              <w:pStyle w:val="2"/>
              <w:ind w:left="29" w:leftChars="14" w:firstLine="0" w:firstLineChars="0"/>
              <w:jc w:val="center"/>
              <w:rPr>
                <w:b/>
                <w:bCs/>
              </w:rPr>
            </w:pPr>
            <w:r>
              <w:rPr>
                <w:rFonts w:hint="eastAsia"/>
                <w:b/>
                <w:bCs/>
              </w:rPr>
              <w:t>图1-</w:t>
            </w:r>
            <w:r>
              <w:rPr>
                <w:b/>
                <w:bCs/>
              </w:rPr>
              <w:t>3</w:t>
            </w:r>
            <w:r>
              <w:rPr>
                <w:rFonts w:hint="eastAsia"/>
                <w:b/>
                <w:bCs/>
              </w:rPr>
              <w:t>项目与三线一单分析结果查询截图</w:t>
            </w:r>
          </w:p>
          <w:p>
            <w:pPr>
              <w:spacing w:line="360" w:lineRule="auto"/>
              <w:jc w:val="center"/>
              <w:rPr>
                <w:b/>
                <w:bCs/>
                <w:sz w:val="24"/>
              </w:rPr>
            </w:pPr>
            <w:r>
              <w:rPr>
                <w:rFonts w:ascii="Helvetica" w:hAnsi="Helvetica" w:cs="Helvetica"/>
                <w:sz w:val="28"/>
                <w:szCs w:val="28"/>
              </w:rPr>
              <w:drawing>
                <wp:inline distT="0" distB="0" distL="0" distR="0">
                  <wp:extent cx="4718685" cy="2829560"/>
                  <wp:effectExtent l="0" t="0" r="5715" b="8890"/>
                  <wp:docPr id="1118513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3093"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18685" cy="2829560"/>
                          </a:xfrm>
                          <a:prstGeom prst="rect">
                            <a:avLst/>
                          </a:prstGeom>
                          <a:noFill/>
                          <a:ln>
                            <a:noFill/>
                          </a:ln>
                        </pic:spPr>
                      </pic:pic>
                    </a:graphicData>
                  </a:graphic>
                </wp:inline>
              </w:drawing>
            </w:r>
          </w:p>
          <w:p>
            <w:pPr>
              <w:spacing w:line="360" w:lineRule="auto"/>
              <w:ind w:firstLine="482" w:firstLineChars="200"/>
              <w:jc w:val="center"/>
              <w:rPr>
                <w:b/>
                <w:bCs/>
                <w:sz w:val="24"/>
              </w:rPr>
            </w:pPr>
            <w:r>
              <w:rPr>
                <w:b/>
                <w:bCs/>
                <w:sz w:val="24"/>
              </w:rPr>
              <w:t>图1-4</w:t>
            </w:r>
            <w:r>
              <w:rPr>
                <w:rFonts w:hint="eastAsia"/>
                <w:b/>
                <w:bCs/>
                <w:sz w:val="24"/>
              </w:rPr>
              <w:t>项目与</w:t>
            </w:r>
            <w:r>
              <w:rPr>
                <w:b/>
                <w:bCs/>
                <w:sz w:val="24"/>
              </w:rPr>
              <w:t xml:space="preserve"> </w:t>
            </w:r>
            <w:r>
              <w:rPr>
                <w:rFonts w:hint="eastAsia"/>
                <w:b/>
                <w:bCs/>
                <w:sz w:val="24"/>
              </w:rPr>
              <w:t>四川省“三线一单”符合性分析查询截图</w:t>
            </w:r>
          </w:p>
          <w:p>
            <w:pPr>
              <w:pStyle w:val="2"/>
            </w:pPr>
          </w:p>
          <w:p>
            <w:pPr>
              <w:spacing w:line="360" w:lineRule="auto"/>
              <w:ind w:firstLine="482" w:firstLineChars="200"/>
              <w:jc w:val="center"/>
              <w:rPr>
                <w:b/>
                <w:bCs/>
                <w:sz w:val="24"/>
              </w:rPr>
            </w:pPr>
            <w:r>
              <w:rPr>
                <w:b/>
                <w:bCs/>
                <w:sz w:val="24"/>
              </w:rPr>
              <w:t>表1-6本项目涉及的环境管控单元</w:t>
            </w:r>
          </w:p>
          <w:tbl>
            <w:tblPr>
              <w:tblStyle w:val="25"/>
              <w:tblW w:w="7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34"/>
              <w:gridCol w:w="849"/>
              <w:gridCol w:w="776"/>
              <w:gridCol w:w="993"/>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35" w:type="pct"/>
                  <w:tcBorders>
                    <w:top w:val="single" w:color="auto" w:sz="4" w:space="0"/>
                    <w:left w:val="single" w:color="auto" w:sz="4" w:space="0"/>
                    <w:bottom w:val="single" w:color="auto" w:sz="4" w:space="0"/>
                    <w:right w:val="single" w:color="auto" w:sz="4" w:space="0"/>
                  </w:tcBorders>
                  <w:vAlign w:val="center"/>
                </w:tcPr>
                <w:p>
                  <w:pPr>
                    <w:rPr>
                      <w:b/>
                      <w:bCs/>
                      <w:szCs w:val="21"/>
                    </w:rPr>
                  </w:pPr>
                  <w:r>
                    <w:rPr>
                      <w:b/>
                      <w:bCs/>
                      <w:szCs w:val="21"/>
                    </w:rPr>
                    <w:t>环境管控单元编码</w:t>
                  </w:r>
                </w:p>
              </w:tc>
              <w:tc>
                <w:tcPr>
                  <w:tcW w:w="1024" w:type="pct"/>
                  <w:tcBorders>
                    <w:top w:val="single" w:color="auto" w:sz="4" w:space="0"/>
                    <w:left w:val="single" w:color="auto" w:sz="4" w:space="0"/>
                    <w:bottom w:val="single" w:color="auto" w:sz="4" w:space="0"/>
                    <w:right w:val="single" w:color="auto" w:sz="4" w:space="0"/>
                  </w:tcBorders>
                  <w:vAlign w:val="center"/>
                </w:tcPr>
                <w:p>
                  <w:pPr>
                    <w:rPr>
                      <w:b/>
                      <w:bCs/>
                      <w:szCs w:val="21"/>
                    </w:rPr>
                  </w:pPr>
                  <w:r>
                    <w:rPr>
                      <w:b/>
                      <w:bCs/>
                      <w:szCs w:val="21"/>
                    </w:rPr>
                    <w:t>环境管控单元名称</w:t>
                  </w:r>
                </w:p>
              </w:tc>
              <w:tc>
                <w:tcPr>
                  <w:tcW w:w="567" w:type="pct"/>
                  <w:tcBorders>
                    <w:top w:val="single" w:color="auto" w:sz="4" w:space="0"/>
                    <w:left w:val="single" w:color="auto" w:sz="4" w:space="0"/>
                    <w:bottom w:val="single" w:color="auto" w:sz="4" w:space="0"/>
                    <w:right w:val="single" w:color="auto" w:sz="4" w:space="0"/>
                  </w:tcBorders>
                </w:tcPr>
                <w:p>
                  <w:pPr>
                    <w:rPr>
                      <w:b/>
                      <w:bCs/>
                      <w:szCs w:val="21"/>
                    </w:rPr>
                  </w:pPr>
                  <w:r>
                    <w:rPr>
                      <w:b/>
                      <w:bCs/>
                      <w:szCs w:val="21"/>
                    </w:rPr>
                    <w:t>所属市（州）</w:t>
                  </w:r>
                </w:p>
              </w:tc>
              <w:tc>
                <w:tcPr>
                  <w:tcW w:w="518" w:type="pct"/>
                  <w:tcBorders>
                    <w:top w:val="single" w:color="auto" w:sz="4" w:space="0"/>
                    <w:left w:val="single" w:color="auto" w:sz="4" w:space="0"/>
                    <w:bottom w:val="single" w:color="auto" w:sz="4" w:space="0"/>
                    <w:right w:val="single" w:color="auto" w:sz="4" w:space="0"/>
                  </w:tcBorders>
                </w:tcPr>
                <w:p>
                  <w:pPr>
                    <w:rPr>
                      <w:b/>
                      <w:bCs/>
                      <w:szCs w:val="21"/>
                    </w:rPr>
                  </w:pPr>
                  <w:r>
                    <w:rPr>
                      <w:b/>
                      <w:bCs/>
                      <w:szCs w:val="21"/>
                    </w:rPr>
                    <w:t>所属区县</w:t>
                  </w:r>
                </w:p>
              </w:tc>
              <w:tc>
                <w:tcPr>
                  <w:tcW w:w="663" w:type="pct"/>
                  <w:tcBorders>
                    <w:top w:val="single" w:color="auto" w:sz="4" w:space="0"/>
                    <w:left w:val="single" w:color="auto" w:sz="4" w:space="0"/>
                    <w:bottom w:val="single" w:color="auto" w:sz="4" w:space="0"/>
                    <w:right w:val="single" w:color="auto" w:sz="4" w:space="0"/>
                  </w:tcBorders>
                  <w:vAlign w:val="center"/>
                </w:tcPr>
                <w:p>
                  <w:pPr>
                    <w:rPr>
                      <w:b/>
                      <w:bCs/>
                      <w:szCs w:val="21"/>
                    </w:rPr>
                  </w:pPr>
                  <w:r>
                    <w:rPr>
                      <w:b/>
                      <w:bCs/>
                      <w:szCs w:val="21"/>
                    </w:rPr>
                    <w:t>准入清单类型</w:t>
                  </w:r>
                </w:p>
              </w:tc>
              <w:tc>
                <w:tcPr>
                  <w:tcW w:w="993" w:type="pct"/>
                  <w:tcBorders>
                    <w:top w:val="single" w:color="auto" w:sz="4" w:space="0"/>
                    <w:left w:val="single" w:color="auto" w:sz="4" w:space="0"/>
                    <w:bottom w:val="single" w:color="auto" w:sz="4" w:space="0"/>
                    <w:right w:val="single" w:color="auto" w:sz="4" w:space="0"/>
                  </w:tcBorders>
                  <w:vAlign w:val="center"/>
                </w:tcPr>
                <w:p>
                  <w:pPr>
                    <w:rPr>
                      <w:b/>
                      <w:bCs/>
                      <w:szCs w:val="21"/>
                    </w:rPr>
                  </w:pPr>
                  <w:r>
                    <w:rPr>
                      <w:b/>
                      <w:bCs/>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3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ZH51092320005</w:t>
                  </w:r>
                </w:p>
              </w:tc>
              <w:tc>
                <w:tcPr>
                  <w:tcW w:w="102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大英县要素重点管控单元</w:t>
                  </w:r>
                </w:p>
              </w:tc>
              <w:tc>
                <w:tcPr>
                  <w:tcW w:w="5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遂宁市</w:t>
                  </w:r>
                </w:p>
              </w:tc>
              <w:tc>
                <w:tcPr>
                  <w:tcW w:w="51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大英县</w:t>
                  </w: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环境管控单元</w:t>
                  </w:r>
                </w:p>
              </w:tc>
              <w:tc>
                <w:tcPr>
                  <w:tcW w:w="993"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3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YS5109232230001</w:t>
                  </w:r>
                </w:p>
              </w:tc>
              <w:tc>
                <w:tcPr>
                  <w:tcW w:w="102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郪江大英县郪江口控制单元</w:t>
                  </w:r>
                </w:p>
              </w:tc>
              <w:tc>
                <w:tcPr>
                  <w:tcW w:w="5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遂宁市</w:t>
                  </w:r>
                </w:p>
              </w:tc>
              <w:tc>
                <w:tcPr>
                  <w:tcW w:w="51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大英县</w:t>
                  </w: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水环境管控分区</w:t>
                  </w:r>
                </w:p>
              </w:tc>
              <w:tc>
                <w:tcPr>
                  <w:tcW w:w="993"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3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YS5109233310001</w:t>
                  </w:r>
                </w:p>
              </w:tc>
              <w:tc>
                <w:tcPr>
                  <w:tcW w:w="102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大英县大气环境一般管控区</w:t>
                  </w:r>
                </w:p>
              </w:tc>
              <w:tc>
                <w:tcPr>
                  <w:tcW w:w="5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遂宁市</w:t>
                  </w:r>
                </w:p>
              </w:tc>
              <w:tc>
                <w:tcPr>
                  <w:tcW w:w="51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大英县</w:t>
                  </w: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大气环境管控分区</w:t>
                  </w:r>
                </w:p>
              </w:tc>
              <w:tc>
                <w:tcPr>
                  <w:tcW w:w="993"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3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YS5109231410005</w:t>
                  </w:r>
                </w:p>
              </w:tc>
              <w:tc>
                <w:tcPr>
                  <w:tcW w:w="102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大英县土壤优先保护区</w:t>
                  </w:r>
                </w:p>
              </w:tc>
              <w:tc>
                <w:tcPr>
                  <w:tcW w:w="5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遂宁市</w:t>
                  </w:r>
                </w:p>
              </w:tc>
              <w:tc>
                <w:tcPr>
                  <w:tcW w:w="51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大英县</w:t>
                  </w: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土壤污染风险管控分区</w:t>
                  </w:r>
                </w:p>
              </w:tc>
              <w:tc>
                <w:tcPr>
                  <w:tcW w:w="993"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农用地优先保护区</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tc>
      </w:tr>
    </w:tbl>
    <w:p>
      <w:pPr>
        <w:sectPr>
          <w:footerReference r:id="rId5" w:type="default"/>
          <w:pgSz w:w="11906" w:h="16838"/>
          <w:pgMar w:top="1701" w:right="1531" w:bottom="1701" w:left="1531" w:header="851" w:footer="1077" w:gutter="0"/>
          <w:pgNumType w:start="1"/>
          <w:cols w:space="720" w:num="1"/>
          <w:docGrid w:linePitch="312" w:charSpace="0"/>
        </w:sectPr>
      </w:pPr>
    </w:p>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2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Align w:val="center"/>
          </w:tcPr>
          <w:p>
            <w:pPr>
              <w:rPr>
                <w:sz w:val="24"/>
              </w:rPr>
            </w:pPr>
            <w:r>
              <w:rPr>
                <w:sz w:val="24"/>
              </w:rPr>
              <w:t>其他符合性分析</w:t>
            </w:r>
          </w:p>
        </w:tc>
        <w:tc>
          <w:tcPr>
            <w:tcW w:w="4634" w:type="pct"/>
            <w:vAlign w:val="center"/>
          </w:tcPr>
          <w:p>
            <w:pPr>
              <w:spacing w:before="120" w:beforeLines="50"/>
              <w:jc w:val="center"/>
              <w:rPr>
                <w:b/>
                <w:bCs/>
                <w:sz w:val="24"/>
              </w:rPr>
            </w:pPr>
            <w:r>
              <w:rPr>
                <w:b/>
                <w:bCs/>
                <w:sz w:val="24"/>
              </w:rPr>
              <w:t>表1-7项目与遂宁市管控单元总体生态环境准入清单普适性管控要求的符合性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24"/>
              <w:gridCol w:w="8656"/>
              <w:gridCol w:w="130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pPr>
                    <w:jc w:val="center"/>
                    <w:rPr>
                      <w:b/>
                      <w:bCs/>
                      <w:szCs w:val="21"/>
                    </w:rPr>
                  </w:pPr>
                  <w:r>
                    <w:rPr>
                      <w:b/>
                      <w:bCs/>
                      <w:szCs w:val="21"/>
                    </w:rPr>
                    <w:t>序号</w:t>
                  </w:r>
                </w:p>
              </w:tc>
              <w:tc>
                <w:tcPr>
                  <w:tcW w:w="3774" w:type="pct"/>
                  <w:gridSpan w:val="2"/>
                  <w:vAlign w:val="center"/>
                </w:tcPr>
                <w:p>
                  <w:pPr>
                    <w:rPr>
                      <w:b/>
                      <w:bCs/>
                      <w:szCs w:val="21"/>
                    </w:rPr>
                  </w:pPr>
                  <w:r>
                    <w:rPr>
                      <w:b/>
                      <w:bCs/>
                      <w:szCs w:val="21"/>
                    </w:rPr>
                    <w:t>普适性管控要求</w:t>
                  </w:r>
                </w:p>
              </w:tc>
              <w:tc>
                <w:tcPr>
                  <w:tcW w:w="523" w:type="pct"/>
                  <w:vAlign w:val="center"/>
                </w:tcPr>
                <w:p>
                  <w:pPr>
                    <w:rPr>
                      <w:b/>
                      <w:bCs/>
                      <w:szCs w:val="21"/>
                    </w:rPr>
                  </w:pPr>
                  <w:r>
                    <w:rPr>
                      <w:b/>
                      <w:bCs/>
                      <w:szCs w:val="21"/>
                    </w:rPr>
                    <w:t>本项目情况</w:t>
                  </w:r>
                </w:p>
              </w:tc>
              <w:tc>
                <w:tcPr>
                  <w:tcW w:w="401" w:type="pct"/>
                  <w:vAlign w:val="center"/>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pPr>
                    <w:jc w:val="center"/>
                    <w:rPr>
                      <w:szCs w:val="21"/>
                    </w:rPr>
                  </w:pPr>
                  <w:r>
                    <w:rPr>
                      <w:szCs w:val="21"/>
                    </w:rPr>
                    <w:t>1</w:t>
                  </w:r>
                </w:p>
              </w:tc>
              <w:tc>
                <w:tcPr>
                  <w:tcW w:w="291" w:type="pct"/>
                  <w:vAlign w:val="center"/>
                </w:tcPr>
                <w:p>
                  <w:pPr>
                    <w:rPr>
                      <w:b/>
                      <w:bCs/>
                      <w:szCs w:val="21"/>
                    </w:rPr>
                  </w:pPr>
                  <w:r>
                    <w:rPr>
                      <w:b/>
                      <w:bCs/>
                      <w:szCs w:val="21"/>
                    </w:rPr>
                    <w:t>空间布局约束</w:t>
                  </w:r>
                </w:p>
              </w:tc>
              <w:tc>
                <w:tcPr>
                  <w:tcW w:w="3483" w:type="pct"/>
                  <w:vAlign w:val="center"/>
                </w:tcPr>
                <w:p>
                  <w:pPr>
                    <w:rPr>
                      <w:szCs w:val="21"/>
                    </w:rPr>
                  </w:pPr>
                  <w:r>
                    <w:rPr>
                      <w:szCs w:val="21"/>
                    </w:rPr>
                    <w:t>禁止开发建设活动的要求</w:t>
                  </w:r>
                </w:p>
                <w:p>
                  <w:pPr>
                    <w:rPr>
                      <w:szCs w:val="21"/>
                    </w:rPr>
                  </w:pPr>
                  <w:r>
                    <w:rPr>
                      <w:szCs w:val="21"/>
                    </w:rPr>
                    <w:t>1.禁止在法律法规规定的禁采区内新建矿山；禁止土法采、选、冶严重污染环境的矿产资源。</w:t>
                  </w:r>
                </w:p>
                <w:p>
                  <w:pPr>
                    <w:rPr>
                      <w:szCs w:val="21"/>
                    </w:rPr>
                  </w:pPr>
                  <w:r>
                    <w:rPr>
                      <w:szCs w:val="21"/>
                    </w:rPr>
                    <w:t>2.涉及永久基本农田的区域，除法律规定的重点建设项目选址确实无法避让外，其他任何建设不得占用。</w:t>
                  </w:r>
                </w:p>
                <w:p>
                  <w:pPr>
                    <w:rPr>
                      <w:szCs w:val="21"/>
                    </w:rPr>
                  </w:pPr>
                  <w:r>
                    <w:rPr>
                      <w:szCs w:val="21"/>
                    </w:rPr>
                    <w:t>3.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rPr>
                      <w:szCs w:val="21"/>
                    </w:rPr>
                  </w:pPr>
                  <w:r>
                    <w:rPr>
                      <w:szCs w:val="21"/>
                    </w:rPr>
                    <w:t>限制开发建设活动的要求</w:t>
                  </w:r>
                </w:p>
                <w:p>
                  <w:pPr>
                    <w:rPr>
                      <w:szCs w:val="21"/>
                    </w:rPr>
                  </w:pPr>
                  <w:r>
                    <w:rPr>
                      <w:szCs w:val="21"/>
                    </w:rPr>
                    <w:t>1.单元内如新布局工业园区，应充分论证选址的环境合理性。</w:t>
                  </w:r>
                </w:p>
                <w:p>
                  <w:pPr>
                    <w:rPr>
                      <w:szCs w:val="21"/>
                    </w:rPr>
                  </w:pPr>
                  <w:r>
                    <w:rPr>
                      <w:szCs w:val="21"/>
                    </w:rPr>
                    <w:t>2.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rPr>
                      <w:szCs w:val="21"/>
                    </w:rPr>
                  </w:pPr>
                  <w:r>
                    <w:rPr>
                      <w:szCs w:val="21"/>
                    </w:rPr>
                    <w:t>3.严控在长江及主要支流岸线1公里范围内新建石油化工、煤化工、涉磷、造纸、印染、制革等项目。</w:t>
                  </w:r>
                </w:p>
                <w:p>
                  <w:pPr>
                    <w:rPr>
                      <w:szCs w:val="21"/>
                    </w:rPr>
                  </w:pPr>
                  <w:r>
                    <w:rPr>
                      <w:szCs w:val="21"/>
                    </w:rPr>
                    <w:t>不符合空间布局要求活动的退出要求</w:t>
                  </w:r>
                </w:p>
                <w:p>
                  <w:pPr>
                    <w:rPr>
                      <w:szCs w:val="21"/>
                    </w:rPr>
                  </w:pPr>
                  <w:r>
                    <w:rPr>
                      <w:szCs w:val="21"/>
                    </w:rPr>
                    <w:t>1.全面取缔禁养区内规模化畜禽养殖场。</w:t>
                  </w:r>
                </w:p>
                <w:p>
                  <w:pPr>
                    <w:rPr>
                      <w:szCs w:val="21"/>
                    </w:rPr>
                  </w:pPr>
                  <w:r>
                    <w:rPr>
                      <w:szCs w:val="21"/>
                    </w:rPr>
                    <w:t>2.完成全域内“散乱污”企业整治工作。</w:t>
                  </w:r>
                </w:p>
                <w:p>
                  <w:pPr>
                    <w:rPr>
                      <w:szCs w:val="21"/>
                    </w:rPr>
                  </w:pPr>
                  <w:r>
                    <w:rPr>
                      <w:szCs w:val="21"/>
                    </w:rPr>
                    <w:t>其他空间布局约束要求</w:t>
                  </w:r>
                </w:p>
                <w:p>
                  <w:pPr>
                    <w:rPr>
                      <w:szCs w:val="21"/>
                    </w:rPr>
                  </w:pPr>
                  <w:r>
                    <w:rPr>
                      <w:szCs w:val="21"/>
                    </w:rPr>
                    <w:t>暂无</w:t>
                  </w:r>
                </w:p>
              </w:tc>
              <w:tc>
                <w:tcPr>
                  <w:tcW w:w="523" w:type="pct"/>
                  <w:vAlign w:val="center"/>
                </w:tcPr>
                <w:p>
                  <w:pPr>
                    <w:rPr>
                      <w:b/>
                      <w:bCs/>
                      <w:szCs w:val="21"/>
                    </w:rPr>
                  </w:pPr>
                  <w:r>
                    <w:rPr>
                      <w:b/>
                      <w:bCs/>
                      <w:szCs w:val="21"/>
                    </w:rPr>
                    <w:t>本项目不涉及基本农田，本项目不属于高污染，高耗水行业</w:t>
                  </w:r>
                </w:p>
              </w:tc>
              <w:tc>
                <w:tcPr>
                  <w:tcW w:w="401"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pPr>
                    <w:jc w:val="center"/>
                    <w:rPr>
                      <w:szCs w:val="21"/>
                    </w:rPr>
                  </w:pPr>
                  <w:r>
                    <w:rPr>
                      <w:szCs w:val="21"/>
                    </w:rPr>
                    <w:t>2</w:t>
                  </w:r>
                </w:p>
              </w:tc>
              <w:tc>
                <w:tcPr>
                  <w:tcW w:w="291" w:type="pct"/>
                  <w:vAlign w:val="center"/>
                </w:tcPr>
                <w:p>
                  <w:pPr>
                    <w:rPr>
                      <w:b/>
                      <w:bCs/>
                      <w:szCs w:val="21"/>
                    </w:rPr>
                  </w:pPr>
                  <w:r>
                    <w:rPr>
                      <w:b/>
                      <w:bCs/>
                      <w:szCs w:val="21"/>
                    </w:rPr>
                    <w:t>污染物排放管控</w:t>
                  </w:r>
                </w:p>
              </w:tc>
              <w:tc>
                <w:tcPr>
                  <w:tcW w:w="3483" w:type="pct"/>
                  <w:vAlign w:val="center"/>
                </w:tcPr>
                <w:p>
                  <w:pPr>
                    <w:rPr>
                      <w:szCs w:val="21"/>
                    </w:rPr>
                  </w:pPr>
                  <w:r>
                    <w:rPr>
                      <w:szCs w:val="21"/>
                    </w:rPr>
                    <w:t>允许排放量要求</w:t>
                  </w:r>
                </w:p>
                <w:p>
                  <w:pPr>
                    <w:rPr>
                      <w:szCs w:val="21"/>
                    </w:rPr>
                  </w:pPr>
                  <w:r>
                    <w:rPr>
                      <w:szCs w:val="21"/>
                    </w:rPr>
                    <w:t>暂无</w:t>
                  </w:r>
                </w:p>
                <w:p>
                  <w:pPr>
                    <w:rPr>
                      <w:szCs w:val="21"/>
                    </w:rPr>
                  </w:pPr>
                  <w:r>
                    <w:rPr>
                      <w:szCs w:val="21"/>
                    </w:rPr>
                    <w:t>现有源提标升级改造</w:t>
                  </w:r>
                </w:p>
                <w:p>
                  <w:pPr>
                    <w:rPr>
                      <w:szCs w:val="21"/>
                    </w:rPr>
                  </w:pPr>
                  <w:r>
                    <w:rPr>
                      <w:szCs w:val="21"/>
                    </w:rPr>
                    <w:t>1.水环境：</w:t>
                  </w:r>
                </w:p>
                <w:p>
                  <w:pPr>
                    <w:rPr>
                      <w:szCs w:val="21"/>
                    </w:rPr>
                  </w:pPr>
                  <w:r>
                    <w:rPr>
                      <w:szCs w:val="21"/>
                    </w:rPr>
                    <w:t>加快现有乡镇污水处理设施升级改造，按要求达《城镇污水处理厂污染物排放标准》一级A标后排放。</w:t>
                  </w:r>
                </w:p>
                <w:p>
                  <w:pPr>
                    <w:rPr>
                      <w:szCs w:val="21"/>
                    </w:rPr>
                  </w:pPr>
                  <w:r>
                    <w:rPr>
                      <w:szCs w:val="21"/>
                    </w:rPr>
                    <w:t>2.大气环境：</w:t>
                  </w:r>
                </w:p>
                <w:p>
                  <w:pPr>
                    <w:rPr>
                      <w:szCs w:val="21"/>
                    </w:rPr>
                  </w:pPr>
                  <w:r>
                    <w:rPr>
                      <w:szCs w:val="21"/>
                    </w:rPr>
                    <w:t>（1）火电、水泥等行业按相关要求推进大气污染物超低排放和深度治理。（2）砖瓦行业实施脱硫、除尘升级改造，污染物排放达到《砖瓦工业大气污染物排放标准》。</w:t>
                  </w:r>
                </w:p>
                <w:p>
                  <w:pPr>
                    <w:rPr>
                      <w:szCs w:val="21"/>
                    </w:rPr>
                  </w:pPr>
                  <w:r>
                    <w:rPr>
                      <w:szCs w:val="21"/>
                    </w:rPr>
                    <w:t>（3）对污染防治设施不完备、但有升级改造价值的，一律停产整顿、限期治理，逾期仍不能达标排放的坚决关停。（4）对达标治理无望、偷排直排的工业摊点和小作坊、按照“两断三清”标准，一律关停取缔，由相关部门依法予以查处。</w:t>
                  </w:r>
                </w:p>
                <w:p>
                  <w:pPr>
                    <w:rPr>
                      <w:szCs w:val="21"/>
                    </w:rPr>
                  </w:pPr>
                  <w:r>
                    <w:rPr>
                      <w:szCs w:val="21"/>
                    </w:rPr>
                    <w:t>其他污染物排放管控要求</w:t>
                  </w:r>
                </w:p>
                <w:p>
                  <w:pPr>
                    <w:rPr>
                      <w:szCs w:val="21"/>
                    </w:rPr>
                  </w:pPr>
                  <w:r>
                    <w:rPr>
                      <w:szCs w:val="21"/>
                    </w:rPr>
                    <w:t>1.新增源等量或倍量替代：上一年度水环境质量未完成目标的，新建排放水污染</w:t>
                  </w:r>
                  <w:r>
                    <w:rPr>
                      <w:rFonts w:hint="eastAsia"/>
                      <w:szCs w:val="21"/>
                      <w:lang w:eastAsia="zh-CN"/>
                    </w:rPr>
                    <w:t>物</w:t>
                  </w:r>
                  <w:r>
                    <w:rPr>
                      <w:szCs w:val="21"/>
                    </w:rPr>
                    <w:t>的建设项目按照总量管控要求进行倍量削减替代。上一年度空气质量年平均浓度不达标的城市，建设项目新增相关污染物按照总量管控要求进行倍量削减替代。</w:t>
                  </w:r>
                </w:p>
                <w:p>
                  <w:pPr>
                    <w:rPr>
                      <w:szCs w:val="21"/>
                    </w:rPr>
                  </w:pPr>
                  <w:r>
                    <w:rPr>
                      <w:szCs w:val="21"/>
                    </w:rPr>
                    <w:t>2.污染物排放绩效水平准入要求：（1）秋冬季节，水泥（含特种水泥，不含粉磨站、粉磨工序和协同处置城市垃圾或危险废物生产线）严格实施停产50天；砖瓦窑（不含以粉煤灰为主要原料的砖瓦企业）全面停产。对2018年10月底前稳定达到特别排放限值的水泥企业和燃烧锅炉，原则上可不再实施错峰生产，但要按当地重污染天气应急预案要求参加污染管控。（2）实现乡镇污水处理设施全覆盖，配套建设污水收集管网，乡镇污水处理率达到50%。（3）大中型矿山达到绿色矿山标准，引导小型矿山按照绿色矿山标准规范发展；加强矿山采选废水的处理和综合利用工作，选矿废水全部综合利用，不外排，采矿废水应尽量回用。（4）新、改扩建规模化畜禽养殖场（小区）要实施雨污分流、粪便污水资源化利用；大型规模养殖场粪污处理设施装备配套率达到100%，畜禽粪污基本实现资源化利用；散养密集区要实行畜禽粪便污水分户收集、集中处理利用。（5）到2025年，畜禽粪污综合利用率达到80%。（6）屠宰项目必须配套污水处理设施或进入城市污水管网。（7）主要农作物化肥、农药使用量实现零增长，利用率提高到40%以上，测土配方施肥技术推广覆盖率提高到90%以上，控制农村面源污染，采取灌排分离等措施控制农田氮磷流失。（8）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9）到2025年，废旧农膜回收利用率达到85%以上。</w:t>
                  </w:r>
                </w:p>
              </w:tc>
              <w:tc>
                <w:tcPr>
                  <w:tcW w:w="523" w:type="pct"/>
                  <w:vAlign w:val="center"/>
                </w:tcPr>
                <w:p>
                  <w:pPr>
                    <w:rPr>
                      <w:b/>
                      <w:bCs/>
                      <w:szCs w:val="21"/>
                    </w:rPr>
                  </w:pPr>
                  <w:r>
                    <w:rPr>
                      <w:b/>
                      <w:bCs/>
                      <w:szCs w:val="21"/>
                    </w:rPr>
                    <w:t>本项目区域上一年度空气质量达标，废水排放满足相应标准要求</w:t>
                  </w:r>
                  <w:r>
                    <w:rPr>
                      <w:rFonts w:hint="eastAsia"/>
                      <w:b/>
                      <w:bCs/>
                      <w:szCs w:val="21"/>
                    </w:rPr>
                    <w:t>，</w:t>
                  </w:r>
                  <w:r>
                    <w:rPr>
                      <w:b/>
                      <w:bCs/>
                      <w:szCs w:val="21"/>
                    </w:rPr>
                    <w:t>项目无窑炉烧结废气，污染物排放能达到《砖瓦工业大气污染物排放标准》</w:t>
                  </w:r>
                  <w:r>
                    <w:rPr>
                      <w:rFonts w:hint="eastAsia"/>
                      <w:b/>
                      <w:bCs/>
                      <w:szCs w:val="21"/>
                    </w:rPr>
                    <w:t>，秋冬季节按照要求采取限产停产措施</w:t>
                  </w:r>
                </w:p>
              </w:tc>
              <w:tc>
                <w:tcPr>
                  <w:tcW w:w="401"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 w:type="pct"/>
                  <w:vAlign w:val="center"/>
                </w:tcPr>
                <w:p>
                  <w:pPr>
                    <w:jc w:val="center"/>
                    <w:rPr>
                      <w:szCs w:val="21"/>
                    </w:rPr>
                  </w:pPr>
                  <w:r>
                    <w:rPr>
                      <w:szCs w:val="21"/>
                    </w:rPr>
                    <w:t>3</w:t>
                  </w:r>
                </w:p>
              </w:tc>
              <w:tc>
                <w:tcPr>
                  <w:tcW w:w="291" w:type="pct"/>
                  <w:vAlign w:val="center"/>
                </w:tcPr>
                <w:p>
                  <w:pPr>
                    <w:rPr>
                      <w:b/>
                      <w:bCs/>
                      <w:szCs w:val="21"/>
                    </w:rPr>
                  </w:pPr>
                  <w:r>
                    <w:rPr>
                      <w:b/>
                      <w:bCs/>
                      <w:szCs w:val="21"/>
                    </w:rPr>
                    <w:t>环境风险防控</w:t>
                  </w:r>
                </w:p>
              </w:tc>
              <w:tc>
                <w:tcPr>
                  <w:tcW w:w="3483" w:type="pct"/>
                  <w:vAlign w:val="center"/>
                </w:tcPr>
                <w:p>
                  <w:pPr>
                    <w:rPr>
                      <w:szCs w:val="21"/>
                    </w:rPr>
                  </w:pPr>
                  <w:r>
                    <w:rPr>
                      <w:szCs w:val="21"/>
                    </w:rPr>
                    <w:t>联防联控要求</w:t>
                  </w:r>
                </w:p>
                <w:p>
                  <w:pPr>
                    <w:rPr>
                      <w:szCs w:val="21"/>
                    </w:rPr>
                  </w:pPr>
                  <w:r>
                    <w:rPr>
                      <w:szCs w:val="21"/>
                    </w:rPr>
                    <w:t>加强成都平原经济区信息共享和联动合作，协力推进产业和能源结构优化调整，加强大气污染源头防控，加强潼遂合作。</w:t>
                  </w:r>
                </w:p>
                <w:p>
                  <w:pPr>
                    <w:rPr>
                      <w:szCs w:val="21"/>
                    </w:rPr>
                  </w:pPr>
                  <w:r>
                    <w:rPr>
                      <w:szCs w:val="21"/>
                    </w:rPr>
                    <w:t>其他环境风险防控要求</w:t>
                  </w:r>
                </w:p>
                <w:p>
                  <w:pPr>
                    <w:rPr>
                      <w:szCs w:val="21"/>
                    </w:rPr>
                  </w:pPr>
                  <w:r>
                    <w:rPr>
                      <w:szCs w:val="21"/>
                    </w:rPr>
                    <w:t>1.企业环境风险防控要求：（1）工业企业退出用地，应按相关要求进行评估、修复，满足相应用地功能后，方可改变用途。（2）加强“散乱污”企业环境风险防控。（3）列入建设用地土壤污染风险管控和修复名录的地块，不得作为住宅、公共管理与公共服务用地。</w:t>
                  </w:r>
                </w:p>
                <w:p>
                  <w:pPr>
                    <w:rPr>
                      <w:szCs w:val="21"/>
                    </w:rPr>
                  </w:pPr>
                  <w:r>
                    <w:rPr>
                      <w:szCs w:val="21"/>
                    </w:rPr>
                    <w:t>2.用地环境风险防控要求：（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tc>
              <w:tc>
                <w:tcPr>
                  <w:tcW w:w="523" w:type="pct"/>
                  <w:vAlign w:val="center"/>
                </w:tcPr>
                <w:p>
                  <w:pPr>
                    <w:rPr>
                      <w:b/>
                      <w:bCs/>
                      <w:szCs w:val="21"/>
                    </w:rPr>
                  </w:pPr>
                  <w:r>
                    <w:rPr>
                      <w:b/>
                      <w:bCs/>
                      <w:szCs w:val="21"/>
                    </w:rPr>
                    <w:t>本项目固废均合理处置，去向明确，不会对周边外环境产生影响。</w:t>
                  </w:r>
                </w:p>
              </w:tc>
              <w:tc>
                <w:tcPr>
                  <w:tcW w:w="401"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pPr>
                    <w:jc w:val="center"/>
                    <w:rPr>
                      <w:szCs w:val="21"/>
                    </w:rPr>
                  </w:pPr>
                  <w:r>
                    <w:rPr>
                      <w:szCs w:val="21"/>
                    </w:rPr>
                    <w:t>4</w:t>
                  </w:r>
                </w:p>
              </w:tc>
              <w:tc>
                <w:tcPr>
                  <w:tcW w:w="291" w:type="pct"/>
                  <w:vAlign w:val="center"/>
                </w:tcPr>
                <w:p>
                  <w:pPr>
                    <w:rPr>
                      <w:b/>
                      <w:bCs/>
                      <w:szCs w:val="21"/>
                    </w:rPr>
                  </w:pPr>
                  <w:r>
                    <w:rPr>
                      <w:b/>
                      <w:bCs/>
                      <w:szCs w:val="21"/>
                    </w:rPr>
                    <w:t>资源开发效率要求</w:t>
                  </w:r>
                </w:p>
              </w:tc>
              <w:tc>
                <w:tcPr>
                  <w:tcW w:w="3483" w:type="pct"/>
                  <w:vAlign w:val="center"/>
                </w:tcPr>
                <w:p>
                  <w:pPr>
                    <w:rPr>
                      <w:szCs w:val="21"/>
                    </w:rPr>
                  </w:pPr>
                  <w:r>
                    <w:rPr>
                      <w:szCs w:val="21"/>
                    </w:rPr>
                    <w:t>2025年，农田灌溉</w:t>
                  </w:r>
                  <w:r>
                    <w:rPr>
                      <w:rFonts w:hint="eastAsia"/>
                      <w:szCs w:val="21"/>
                      <w:lang w:eastAsia="zh-CN"/>
                    </w:rPr>
                    <w:t>水</w:t>
                  </w:r>
                  <w:r>
                    <w:rPr>
                      <w:szCs w:val="21"/>
                    </w:rPr>
                    <w:t>有效利用系数提高到0.554；</w:t>
                  </w:r>
                </w:p>
                <w:p>
                  <w:pPr>
                    <w:rPr>
                      <w:szCs w:val="21"/>
                    </w:rPr>
                  </w:pPr>
                  <w:r>
                    <w:rPr>
                      <w:szCs w:val="21"/>
                    </w:rPr>
                    <w:t>2.2030年，农田灌溉水有效利用系数提高到0.6。</w:t>
                  </w:r>
                </w:p>
                <w:p>
                  <w:pPr>
                    <w:rPr>
                      <w:szCs w:val="21"/>
                    </w:rPr>
                  </w:pPr>
                  <w:r>
                    <w:rPr>
                      <w:szCs w:val="21"/>
                    </w:rPr>
                    <w:t>地下水开采要求</w:t>
                  </w:r>
                </w:p>
                <w:p>
                  <w:pPr>
                    <w:rPr>
                      <w:szCs w:val="21"/>
                    </w:rPr>
                  </w:pPr>
                  <w:r>
                    <w:rPr>
                      <w:szCs w:val="21"/>
                    </w:rPr>
                    <w:t>全面建设节水型社会，达到合理高效用水。</w:t>
                  </w:r>
                </w:p>
                <w:p>
                  <w:pPr>
                    <w:rPr>
                      <w:szCs w:val="21"/>
                    </w:rPr>
                  </w:pPr>
                  <w:r>
                    <w:rPr>
                      <w:szCs w:val="21"/>
                    </w:rPr>
                    <w:t>能源利用总量及效率要求</w:t>
                  </w:r>
                </w:p>
                <w:p>
                  <w:pPr>
                    <w:rPr>
                      <w:szCs w:val="21"/>
                    </w:rPr>
                  </w:pPr>
                  <w:r>
                    <w:rPr>
                      <w:szCs w:val="21"/>
                    </w:rPr>
                    <w:t>1.推进清洁能源的推广使用，全面推进散煤清洁化整治；禁止新建每小时10蒸吨以下的燃煤锅炉及其他燃煤设施。</w:t>
                  </w:r>
                </w:p>
                <w:p>
                  <w:pPr>
                    <w:rPr>
                      <w:szCs w:val="21"/>
                    </w:rPr>
                  </w:pPr>
                  <w:r>
                    <w:rPr>
                      <w:szCs w:val="21"/>
                    </w:rPr>
                    <w:t>2.禁止焚烧秸秆和垃圾。全市秸秆综合利用率达到92%以上。</w:t>
                  </w:r>
                </w:p>
                <w:p>
                  <w:pPr>
                    <w:rPr>
                      <w:szCs w:val="21"/>
                    </w:rPr>
                  </w:pPr>
                  <w:r>
                    <w:rPr>
                      <w:szCs w:val="21"/>
                    </w:rPr>
                    <w:t>3.现有储油库、油罐车、加油站应全部配置油气回收设施，对已安装的油气回收设施加强运行监管，回收率要达到80%以上。</w:t>
                  </w:r>
                </w:p>
                <w:p>
                  <w:pPr>
                    <w:rPr>
                      <w:szCs w:val="21"/>
                    </w:rPr>
                  </w:pPr>
                  <w:r>
                    <w:rPr>
                      <w:szCs w:val="21"/>
                    </w:rPr>
                    <w:t>禁燃区要求</w:t>
                  </w:r>
                </w:p>
                <w:p>
                  <w:pPr>
                    <w:rPr>
                      <w:szCs w:val="21"/>
                    </w:rPr>
                  </w:pPr>
                  <w:r>
                    <w:rPr>
                      <w:szCs w:val="21"/>
                    </w:rPr>
                    <w:t>1.禁燃区内禁止燃烧以下高污染燃料：</w:t>
                  </w:r>
                </w:p>
                <w:p>
                  <w:pPr>
                    <w:rPr>
                      <w:szCs w:val="21"/>
                    </w:rPr>
                  </w:pPr>
                  <w:r>
                    <w:rPr>
                      <w:szCs w:val="21"/>
                    </w:rPr>
                    <w:t>（1）煤炭及其制品（包括原煤、散煤、煤矸石、煤泥、煤粉、水浆煤、型煤、焦炭、兰炭、油类等常规燃料）。</w:t>
                  </w:r>
                </w:p>
                <w:p>
                  <w:pPr>
                    <w:rPr>
                      <w:szCs w:val="21"/>
                    </w:rPr>
                  </w:pPr>
                  <w:r>
                    <w:rPr>
                      <w:szCs w:val="21"/>
                    </w:rPr>
                    <w:t>（2）石油焦、油页岩、原油、重油、渣油、煤焦油。</w:t>
                  </w:r>
                </w:p>
                <w:p>
                  <w:pPr>
                    <w:rPr>
                      <w:szCs w:val="21"/>
                    </w:rPr>
                  </w:pPr>
                  <w:r>
                    <w:rPr>
                      <w:szCs w:val="21"/>
                    </w:rPr>
                    <w:t>（3）非专用锅炉或未配置高效除尘设施的专用锅炉燃用的生物质成型燃料。</w:t>
                  </w:r>
                </w:p>
                <w:p>
                  <w:pPr>
                    <w:rPr>
                      <w:szCs w:val="21"/>
                    </w:rPr>
                  </w:pPr>
                  <w:r>
                    <w:rPr>
                      <w:szCs w:val="21"/>
                    </w:rPr>
                    <w:t>2.禁燃区内禁止新建、扩建燃用高污染燃料的锅炉、炉窑、炉灶等燃烧设施（集中供热、电厂锅炉除外）。</w:t>
                  </w:r>
                </w:p>
                <w:p>
                  <w:pPr>
                    <w:rPr>
                      <w:szCs w:val="21"/>
                    </w:rPr>
                  </w:pPr>
                  <w:r>
                    <w:rPr>
                      <w:szCs w:val="21"/>
                    </w:rPr>
                    <w:t>3.自2020年1月1日起，禁燃区内禁止销售高污染燃料。</w:t>
                  </w:r>
                </w:p>
                <w:p>
                  <w:pPr>
                    <w:rPr>
                      <w:szCs w:val="21"/>
                    </w:rPr>
                  </w:pPr>
                  <w:r>
                    <w:rPr>
                      <w:szCs w:val="21"/>
                    </w:rPr>
                    <w:t>4.加强对集中供热、电厂锅炉、10蒸吨时以上的在用燃煤锅炉以及改用清洁能源前的在用锅炉等燃烧设施的监管，确保达标排放。</w:t>
                  </w:r>
                </w:p>
                <w:p>
                  <w:pPr>
                    <w:rPr>
                      <w:szCs w:val="21"/>
                    </w:rPr>
                  </w:pPr>
                  <w:r>
                    <w:rPr>
                      <w:szCs w:val="21"/>
                    </w:rPr>
                    <w:t>其他资源利用效率要求</w:t>
                  </w:r>
                </w:p>
                <w:p>
                  <w:pPr>
                    <w:rPr>
                      <w:szCs w:val="21"/>
                    </w:rPr>
                  </w:pPr>
                  <w:r>
                    <w:rPr>
                      <w:szCs w:val="21"/>
                    </w:rPr>
                    <w:t>暂无</w:t>
                  </w:r>
                </w:p>
              </w:tc>
              <w:tc>
                <w:tcPr>
                  <w:tcW w:w="523" w:type="pct"/>
                  <w:vAlign w:val="center"/>
                </w:tcPr>
                <w:p>
                  <w:pPr>
                    <w:rPr>
                      <w:b/>
                      <w:bCs/>
                      <w:szCs w:val="21"/>
                    </w:rPr>
                  </w:pPr>
                  <w:r>
                    <w:rPr>
                      <w:b/>
                      <w:bCs/>
                      <w:szCs w:val="21"/>
                    </w:rPr>
                    <w:t>本项目利用原4蒸吨的燃气锅炉，采用低氮燃烧后达标排放。</w:t>
                  </w:r>
                </w:p>
              </w:tc>
              <w:tc>
                <w:tcPr>
                  <w:tcW w:w="401" w:type="pct"/>
                  <w:vAlign w:val="center"/>
                </w:tcPr>
                <w:p>
                  <w:pPr>
                    <w:rPr>
                      <w:b/>
                      <w:bCs/>
                      <w:szCs w:val="21"/>
                    </w:rPr>
                  </w:pPr>
                  <w:r>
                    <w:rPr>
                      <w:b/>
                      <w:bCs/>
                      <w:szCs w:val="21"/>
                    </w:rPr>
                    <w:t>符合</w:t>
                  </w:r>
                </w:p>
              </w:tc>
            </w:tr>
          </w:tbl>
          <w:p>
            <w:pPr>
              <w:spacing w:before="120" w:beforeLines="50"/>
              <w:jc w:val="center"/>
              <w:rPr>
                <w:b/>
                <w:bCs/>
                <w:sz w:val="24"/>
              </w:rPr>
            </w:pPr>
          </w:p>
          <w:p>
            <w:pPr>
              <w:spacing w:before="120" w:beforeLines="50"/>
              <w:jc w:val="center"/>
              <w:rPr>
                <w:b/>
                <w:bCs/>
                <w:sz w:val="24"/>
              </w:rPr>
            </w:pPr>
          </w:p>
          <w:p>
            <w:pPr>
              <w:spacing w:before="120" w:beforeLines="50"/>
              <w:jc w:val="center"/>
              <w:rPr>
                <w:b/>
                <w:bCs/>
                <w:sz w:val="24"/>
              </w:rPr>
            </w:pPr>
            <w:r>
              <w:rPr>
                <w:b/>
                <w:bCs/>
                <w:sz w:val="24"/>
              </w:rPr>
              <w:t>表1-8项目与遂宁市要素重点管控单元的特性管控要求符合性分析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47"/>
              <w:gridCol w:w="1526"/>
              <w:gridCol w:w="6128"/>
              <w:gridCol w:w="1762"/>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rPr>
                      <w:b/>
                      <w:bCs/>
                      <w:szCs w:val="21"/>
                    </w:rPr>
                  </w:pPr>
                  <w:r>
                    <w:rPr>
                      <w:b/>
                      <w:bCs/>
                      <w:szCs w:val="21"/>
                    </w:rPr>
                    <w:t>序号</w:t>
                  </w:r>
                </w:p>
              </w:tc>
              <w:tc>
                <w:tcPr>
                  <w:tcW w:w="1247" w:type="dxa"/>
                  <w:vAlign w:val="center"/>
                </w:tcPr>
                <w:p>
                  <w:pPr>
                    <w:jc w:val="center"/>
                    <w:rPr>
                      <w:b/>
                      <w:bCs/>
                      <w:szCs w:val="21"/>
                    </w:rPr>
                  </w:pPr>
                  <w:r>
                    <w:rPr>
                      <w:b/>
                      <w:bCs/>
                      <w:szCs w:val="21"/>
                    </w:rPr>
                    <w:t>环境管控单元名称</w:t>
                  </w:r>
                </w:p>
              </w:tc>
              <w:tc>
                <w:tcPr>
                  <w:tcW w:w="1526" w:type="dxa"/>
                  <w:vAlign w:val="center"/>
                </w:tcPr>
                <w:p>
                  <w:pPr>
                    <w:rPr>
                      <w:b/>
                      <w:bCs/>
                      <w:szCs w:val="21"/>
                    </w:rPr>
                  </w:pPr>
                  <w:r>
                    <w:rPr>
                      <w:b/>
                      <w:bCs/>
                      <w:szCs w:val="21"/>
                    </w:rPr>
                    <w:t>管控类别</w:t>
                  </w:r>
                </w:p>
              </w:tc>
              <w:tc>
                <w:tcPr>
                  <w:tcW w:w="6128" w:type="dxa"/>
                  <w:vAlign w:val="center"/>
                </w:tcPr>
                <w:p>
                  <w:pPr>
                    <w:rPr>
                      <w:b/>
                      <w:bCs/>
                      <w:szCs w:val="21"/>
                    </w:rPr>
                  </w:pPr>
                  <w:r>
                    <w:rPr>
                      <w:b/>
                      <w:bCs/>
                      <w:szCs w:val="21"/>
                    </w:rPr>
                    <w:t>单元特性管控要求</w:t>
                  </w:r>
                </w:p>
              </w:tc>
              <w:tc>
                <w:tcPr>
                  <w:tcW w:w="1762" w:type="dxa"/>
                  <w:vAlign w:val="center"/>
                </w:tcPr>
                <w:p>
                  <w:pPr>
                    <w:rPr>
                      <w:b/>
                      <w:bCs/>
                      <w:szCs w:val="21"/>
                    </w:rPr>
                  </w:pPr>
                  <w:r>
                    <w:rPr>
                      <w:b/>
                      <w:bCs/>
                      <w:szCs w:val="21"/>
                    </w:rPr>
                    <w:t>本项目情况</w:t>
                  </w:r>
                </w:p>
              </w:tc>
              <w:tc>
                <w:tcPr>
                  <w:tcW w:w="648" w:type="dxa"/>
                  <w:vAlign w:val="center"/>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rPr>
                      <w:szCs w:val="21"/>
                    </w:rPr>
                  </w:pPr>
                  <w:r>
                    <w:rPr>
                      <w:szCs w:val="21"/>
                    </w:rPr>
                    <w:t>1</w:t>
                  </w:r>
                </w:p>
              </w:tc>
              <w:tc>
                <w:tcPr>
                  <w:tcW w:w="1247" w:type="dxa"/>
                  <w:vMerge w:val="restart"/>
                  <w:vAlign w:val="center"/>
                </w:tcPr>
                <w:p>
                  <w:pPr>
                    <w:jc w:val="center"/>
                    <w:rPr>
                      <w:b/>
                      <w:bCs/>
                      <w:szCs w:val="21"/>
                    </w:rPr>
                  </w:pPr>
                  <w:r>
                    <w:rPr>
                      <w:b/>
                      <w:bCs/>
                      <w:szCs w:val="21"/>
                    </w:rPr>
                    <w:t>ZH51092320005</w:t>
                  </w:r>
                </w:p>
                <w:p>
                  <w:pPr>
                    <w:jc w:val="center"/>
                    <w:rPr>
                      <w:b/>
                      <w:bCs/>
                      <w:szCs w:val="21"/>
                    </w:rPr>
                  </w:pPr>
                  <w:r>
                    <w:rPr>
                      <w:b/>
                      <w:bCs/>
                      <w:szCs w:val="21"/>
                    </w:rPr>
                    <w:t>大英县要素重点管控单元</w:t>
                  </w:r>
                </w:p>
              </w:tc>
              <w:tc>
                <w:tcPr>
                  <w:tcW w:w="1526" w:type="dxa"/>
                  <w:vAlign w:val="center"/>
                </w:tcPr>
                <w:p>
                  <w:pPr>
                    <w:rPr>
                      <w:b/>
                      <w:bCs/>
                      <w:szCs w:val="21"/>
                    </w:rPr>
                  </w:pPr>
                  <w:r>
                    <w:rPr>
                      <w:b/>
                      <w:bCs/>
                      <w:szCs w:val="21"/>
                    </w:rPr>
                    <w:t>空间布局约束</w:t>
                  </w:r>
                </w:p>
              </w:tc>
              <w:tc>
                <w:tcPr>
                  <w:tcW w:w="6128" w:type="dxa"/>
                  <w:vAlign w:val="center"/>
                </w:tcPr>
                <w:p>
                  <w:pPr>
                    <w:rPr>
                      <w:szCs w:val="21"/>
                    </w:rPr>
                  </w:pPr>
                  <w:r>
                    <w:rPr>
                      <w:szCs w:val="21"/>
                    </w:rPr>
                    <w:t>禁止开发建设活动的要求</w:t>
                  </w:r>
                </w:p>
                <w:p>
                  <w:pPr>
                    <w:rPr>
                      <w:szCs w:val="21"/>
                    </w:rPr>
                  </w:pPr>
                  <w:r>
                    <w:rPr>
                      <w:szCs w:val="21"/>
                    </w:rPr>
                    <w:t>参照遂宁市总体准入要求-要素重点管控单元</w:t>
                  </w:r>
                </w:p>
                <w:p>
                  <w:pPr>
                    <w:rPr>
                      <w:szCs w:val="21"/>
                    </w:rPr>
                  </w:pPr>
                  <w:r>
                    <w:rPr>
                      <w:szCs w:val="21"/>
                    </w:rPr>
                    <w:t>限制开发建设活动的要求</w:t>
                  </w:r>
                </w:p>
                <w:p>
                  <w:pPr>
                    <w:rPr>
                      <w:szCs w:val="21"/>
                    </w:rPr>
                  </w:pPr>
                  <w:r>
                    <w:rPr>
                      <w:szCs w:val="21"/>
                    </w:rPr>
                    <w:t>参照遂宁市总体准入要求-要素重点管控单元</w:t>
                  </w:r>
                </w:p>
                <w:p>
                  <w:pPr>
                    <w:rPr>
                      <w:szCs w:val="21"/>
                    </w:rPr>
                  </w:pPr>
                  <w:r>
                    <w:rPr>
                      <w:szCs w:val="21"/>
                    </w:rPr>
                    <w:t>允许开发建设活动的要求</w:t>
                  </w:r>
                </w:p>
                <w:p>
                  <w:pPr>
                    <w:rPr>
                      <w:szCs w:val="21"/>
                    </w:rPr>
                  </w:pPr>
                  <w:r>
                    <w:rPr>
                      <w:szCs w:val="21"/>
                    </w:rPr>
                    <w:t>不符合空间布局要求活动的退出要求</w:t>
                  </w:r>
                </w:p>
                <w:p>
                  <w:pPr>
                    <w:rPr>
                      <w:szCs w:val="21"/>
                    </w:rPr>
                  </w:pPr>
                  <w:r>
                    <w:rPr>
                      <w:szCs w:val="21"/>
                    </w:rPr>
                    <w:t>1.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2.其他参照遂宁市总体准入要求-要素重点管控单元</w:t>
                  </w:r>
                </w:p>
                <w:p>
                  <w:pPr>
                    <w:rPr>
                      <w:szCs w:val="21"/>
                    </w:rPr>
                  </w:pPr>
                  <w:r>
                    <w:rPr>
                      <w:szCs w:val="21"/>
                    </w:rPr>
                    <w:t>其他空间布局约束要求</w:t>
                  </w:r>
                </w:p>
              </w:tc>
              <w:tc>
                <w:tcPr>
                  <w:tcW w:w="1762" w:type="dxa"/>
                  <w:vMerge w:val="restart"/>
                  <w:vAlign w:val="center"/>
                </w:tcPr>
                <w:p>
                  <w:pPr>
                    <w:rPr>
                      <w:b/>
                      <w:bCs/>
                      <w:szCs w:val="21"/>
                    </w:rPr>
                  </w:pPr>
                  <w:r>
                    <w:rPr>
                      <w:b/>
                      <w:bCs/>
                      <w:szCs w:val="21"/>
                    </w:rPr>
                    <w:t>本项目建设单位</w:t>
                  </w:r>
                  <w:r>
                    <w:rPr>
                      <w:rFonts w:hint="eastAsia"/>
                      <w:b/>
                      <w:bCs/>
                      <w:szCs w:val="21"/>
                    </w:rPr>
                    <w:t>为已有</w:t>
                  </w:r>
                  <w:r>
                    <w:rPr>
                      <w:b/>
                      <w:bCs/>
                      <w:szCs w:val="21"/>
                    </w:rPr>
                    <w:t>合法</w:t>
                  </w:r>
                  <w:r>
                    <w:rPr>
                      <w:rFonts w:hint="eastAsia"/>
                      <w:b/>
                      <w:bCs/>
                      <w:szCs w:val="21"/>
                    </w:rPr>
                    <w:t>企业</w:t>
                  </w:r>
                  <w:r>
                    <w:rPr>
                      <w:b/>
                      <w:bCs/>
                      <w:szCs w:val="21"/>
                    </w:rPr>
                    <w:t>，改建后污染物</w:t>
                  </w:r>
                  <w:r>
                    <w:rPr>
                      <w:rFonts w:hint="eastAsia"/>
                      <w:b/>
                      <w:bCs/>
                      <w:szCs w:val="21"/>
                    </w:rPr>
                    <w:t>能做到</w:t>
                  </w:r>
                  <w:r>
                    <w:rPr>
                      <w:b/>
                      <w:bCs/>
                      <w:szCs w:val="21"/>
                    </w:rPr>
                    <w:t>只降不增，项目环境风险可控，污染物达标排放</w:t>
                  </w:r>
                </w:p>
              </w:tc>
              <w:tc>
                <w:tcPr>
                  <w:tcW w:w="648" w:type="dxa"/>
                  <w:vMerge w:val="restar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b/>
                      <w:bCs/>
                      <w:szCs w:val="21"/>
                    </w:rPr>
                  </w:pPr>
                </w:p>
              </w:tc>
              <w:tc>
                <w:tcPr>
                  <w:tcW w:w="1526" w:type="dxa"/>
                  <w:vAlign w:val="center"/>
                </w:tcPr>
                <w:p>
                  <w:pPr>
                    <w:rPr>
                      <w:b/>
                      <w:bCs/>
                      <w:szCs w:val="21"/>
                    </w:rPr>
                  </w:pPr>
                  <w:r>
                    <w:rPr>
                      <w:b/>
                      <w:bCs/>
                      <w:szCs w:val="21"/>
                    </w:rPr>
                    <w:t>污染物排放管控</w:t>
                  </w:r>
                </w:p>
              </w:tc>
              <w:tc>
                <w:tcPr>
                  <w:tcW w:w="6128" w:type="dxa"/>
                  <w:vAlign w:val="center"/>
                </w:tcPr>
                <w:p>
                  <w:pPr>
                    <w:rPr>
                      <w:szCs w:val="21"/>
                    </w:rPr>
                  </w:pPr>
                  <w:r>
                    <w:rPr>
                      <w:szCs w:val="21"/>
                    </w:rPr>
                    <w:t>现有源提标升级改造</w:t>
                  </w:r>
                </w:p>
                <w:p>
                  <w:pPr>
                    <w:rPr>
                      <w:szCs w:val="21"/>
                    </w:rPr>
                  </w:pPr>
                  <w:r>
                    <w:rPr>
                      <w:szCs w:val="21"/>
                    </w:rPr>
                    <w:t>参照遂宁市总体准入要求-要素重点管控单元</w:t>
                  </w:r>
                </w:p>
                <w:p>
                  <w:pPr>
                    <w:rPr>
                      <w:szCs w:val="21"/>
                    </w:rPr>
                  </w:pPr>
                  <w:r>
                    <w:rPr>
                      <w:szCs w:val="21"/>
                    </w:rPr>
                    <w:t>新增源等量或倍量替代</w:t>
                  </w:r>
                </w:p>
                <w:p>
                  <w:pPr>
                    <w:rPr>
                      <w:szCs w:val="21"/>
                    </w:rPr>
                  </w:pPr>
                  <w:r>
                    <w:rPr>
                      <w:szCs w:val="21"/>
                    </w:rPr>
                    <w:t>参照遂宁市总体准入要求-要素重点管控单元</w:t>
                  </w:r>
                </w:p>
                <w:p>
                  <w:pPr>
                    <w:rPr>
                      <w:szCs w:val="21"/>
                    </w:rPr>
                  </w:pPr>
                  <w:r>
                    <w:rPr>
                      <w:szCs w:val="21"/>
                    </w:rPr>
                    <w:t>新增源排放标准限值</w:t>
                  </w:r>
                </w:p>
                <w:p>
                  <w:pPr>
                    <w:rPr>
                      <w:szCs w:val="21"/>
                    </w:rPr>
                  </w:pPr>
                  <w:r>
                    <w:rPr>
                      <w:szCs w:val="21"/>
                    </w:rPr>
                    <w:t>污染物排放绩效水平准入要求</w:t>
                  </w:r>
                </w:p>
                <w:p>
                  <w:pPr>
                    <w:rPr>
                      <w:szCs w:val="21"/>
                    </w:rPr>
                  </w:pPr>
                  <w:r>
                    <w:rPr>
                      <w:szCs w:val="21"/>
                    </w:rPr>
                    <w:t>参照遂宁市总体准入要求-要素重点管控单元</w:t>
                  </w:r>
                </w:p>
                <w:p>
                  <w:pPr>
                    <w:rPr>
                      <w:szCs w:val="21"/>
                    </w:rPr>
                  </w:pPr>
                  <w:r>
                    <w:rPr>
                      <w:szCs w:val="21"/>
                    </w:rPr>
                    <w:t>其他污染物排放管控要求</w:t>
                  </w:r>
                </w:p>
              </w:tc>
              <w:tc>
                <w:tcPr>
                  <w:tcW w:w="1762" w:type="dxa"/>
                  <w:vMerge w:val="continue"/>
                  <w:vAlign w:val="center"/>
                </w:tcPr>
                <w:p>
                  <w:pPr>
                    <w:rPr>
                      <w:szCs w:val="21"/>
                    </w:rPr>
                  </w:pPr>
                </w:p>
              </w:tc>
              <w:tc>
                <w:tcPr>
                  <w:tcW w:w="648"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环境风险防控</w:t>
                  </w:r>
                </w:p>
              </w:tc>
              <w:tc>
                <w:tcPr>
                  <w:tcW w:w="6128" w:type="dxa"/>
                  <w:vAlign w:val="center"/>
                </w:tcPr>
                <w:p>
                  <w:pPr>
                    <w:rPr>
                      <w:szCs w:val="21"/>
                    </w:rPr>
                  </w:pPr>
                  <w:r>
                    <w:rPr>
                      <w:szCs w:val="21"/>
                    </w:rPr>
                    <w:t>严格管控类农用地管控要求</w:t>
                  </w:r>
                </w:p>
                <w:p>
                  <w:pPr>
                    <w:rPr>
                      <w:szCs w:val="21"/>
                    </w:rPr>
                  </w:pPr>
                  <w:r>
                    <w:rPr>
                      <w:szCs w:val="21"/>
                    </w:rPr>
                    <w:t>参照遂宁市总体准入要求-要素重点管控单元</w:t>
                  </w:r>
                </w:p>
                <w:p>
                  <w:pPr>
                    <w:rPr>
                      <w:szCs w:val="21"/>
                    </w:rPr>
                  </w:pPr>
                  <w:r>
                    <w:rPr>
                      <w:szCs w:val="21"/>
                    </w:rPr>
                    <w:t>安全利用类农用地管控要求</w:t>
                  </w:r>
                </w:p>
                <w:p>
                  <w:pPr>
                    <w:rPr>
                      <w:szCs w:val="21"/>
                    </w:rPr>
                  </w:pPr>
                  <w:r>
                    <w:rPr>
                      <w:szCs w:val="21"/>
                    </w:rPr>
                    <w:t>参照遂宁市总体准入要求-要素重点管控单元</w:t>
                  </w:r>
                </w:p>
                <w:p>
                  <w:pPr>
                    <w:rPr>
                      <w:szCs w:val="21"/>
                    </w:rPr>
                  </w:pPr>
                  <w:r>
                    <w:rPr>
                      <w:szCs w:val="21"/>
                    </w:rPr>
                    <w:t>污染地块管控要求</w:t>
                  </w:r>
                </w:p>
                <w:p>
                  <w:pPr>
                    <w:rPr>
                      <w:szCs w:val="21"/>
                    </w:rPr>
                  </w:pPr>
                  <w:r>
                    <w:rPr>
                      <w:szCs w:val="21"/>
                    </w:rPr>
                    <w:t>参照遂宁市总体准入要求-要素重点管控单元</w:t>
                  </w:r>
                </w:p>
                <w:p>
                  <w:pPr>
                    <w:rPr>
                      <w:szCs w:val="21"/>
                    </w:rPr>
                  </w:pPr>
                  <w:r>
                    <w:rPr>
                      <w:szCs w:val="21"/>
                    </w:rPr>
                    <w:t>园区环境风险防控要求</w:t>
                  </w:r>
                </w:p>
                <w:p>
                  <w:pPr>
                    <w:rPr>
                      <w:szCs w:val="21"/>
                    </w:rPr>
                  </w:pPr>
                  <w:r>
                    <w:rPr>
                      <w:szCs w:val="21"/>
                    </w:rPr>
                    <w:t>企业环境风险防控要求</w:t>
                  </w:r>
                </w:p>
                <w:p>
                  <w:pPr>
                    <w:rPr>
                      <w:szCs w:val="21"/>
                    </w:rPr>
                  </w:pPr>
                  <w:r>
                    <w:rPr>
                      <w:szCs w:val="21"/>
                    </w:rPr>
                    <w:t>参照遂宁市总体准入要求-要素重点管控单元</w:t>
                  </w:r>
                </w:p>
                <w:p>
                  <w:pPr>
                    <w:rPr>
                      <w:szCs w:val="21"/>
                    </w:rPr>
                  </w:pPr>
                  <w:r>
                    <w:rPr>
                      <w:szCs w:val="21"/>
                    </w:rPr>
                    <w:t>其他环境风险防控要求</w:t>
                  </w:r>
                </w:p>
              </w:tc>
              <w:tc>
                <w:tcPr>
                  <w:tcW w:w="1762" w:type="dxa"/>
                  <w:vMerge w:val="continue"/>
                  <w:vAlign w:val="center"/>
                </w:tcPr>
                <w:p>
                  <w:pPr>
                    <w:rPr>
                      <w:szCs w:val="21"/>
                    </w:rPr>
                  </w:pP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资源开发效率要求</w:t>
                  </w:r>
                </w:p>
              </w:tc>
              <w:tc>
                <w:tcPr>
                  <w:tcW w:w="6128" w:type="dxa"/>
                  <w:vAlign w:val="center"/>
                </w:tcPr>
                <w:p>
                  <w:pPr>
                    <w:rPr>
                      <w:szCs w:val="21"/>
                    </w:rPr>
                  </w:pPr>
                  <w:r>
                    <w:rPr>
                      <w:szCs w:val="21"/>
                    </w:rPr>
                    <w:t>水资源利用效率要求</w:t>
                  </w:r>
                </w:p>
                <w:p>
                  <w:pPr>
                    <w:rPr>
                      <w:szCs w:val="21"/>
                    </w:rPr>
                  </w:pPr>
                  <w:r>
                    <w:rPr>
                      <w:szCs w:val="21"/>
                    </w:rPr>
                    <w:t>参照遂宁市总体准入要求-要素重点管控单元</w:t>
                  </w:r>
                </w:p>
                <w:p>
                  <w:pPr>
                    <w:rPr>
                      <w:szCs w:val="21"/>
                    </w:rPr>
                  </w:pPr>
                  <w:r>
                    <w:rPr>
                      <w:szCs w:val="21"/>
                    </w:rPr>
                    <w:t>地下水开采要求</w:t>
                  </w:r>
                </w:p>
                <w:p>
                  <w:pPr>
                    <w:rPr>
                      <w:szCs w:val="21"/>
                    </w:rPr>
                  </w:pPr>
                  <w:r>
                    <w:rPr>
                      <w:szCs w:val="21"/>
                    </w:rPr>
                    <w:t>（1）大英县2030年地下水开采控制量保持在0.06亿m3以内。（2）全面建设节水型社会，达到合理高效用水。</w:t>
                  </w:r>
                </w:p>
                <w:p>
                  <w:pPr>
                    <w:rPr>
                      <w:szCs w:val="21"/>
                    </w:rPr>
                  </w:pPr>
                  <w:r>
                    <w:rPr>
                      <w:szCs w:val="21"/>
                    </w:rPr>
                    <w:t>能源利用效率要求</w:t>
                  </w:r>
                </w:p>
                <w:p>
                  <w:pPr>
                    <w:rPr>
                      <w:szCs w:val="21"/>
                    </w:rPr>
                  </w:pPr>
                  <w:r>
                    <w:rPr>
                      <w:szCs w:val="21"/>
                    </w:rPr>
                    <w:t>参照遂宁市总体准入要求-要素重点管控单元</w:t>
                  </w:r>
                </w:p>
                <w:p>
                  <w:pPr>
                    <w:rPr>
                      <w:szCs w:val="21"/>
                    </w:rPr>
                  </w:pPr>
                  <w:r>
                    <w:rPr>
                      <w:szCs w:val="21"/>
                    </w:rPr>
                    <w:t>其他资源利用效率要求</w:t>
                  </w:r>
                </w:p>
              </w:tc>
              <w:tc>
                <w:tcPr>
                  <w:tcW w:w="1762" w:type="dxa"/>
                  <w:vMerge w:val="continue"/>
                  <w:vAlign w:val="center"/>
                </w:tcPr>
                <w:p>
                  <w:pPr>
                    <w:rPr>
                      <w:szCs w:val="21"/>
                    </w:rPr>
                  </w:pP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rPr>
                      <w:szCs w:val="21"/>
                    </w:rPr>
                  </w:pPr>
                  <w:r>
                    <w:rPr>
                      <w:szCs w:val="21"/>
                    </w:rPr>
                    <w:t>2</w:t>
                  </w:r>
                </w:p>
              </w:tc>
              <w:tc>
                <w:tcPr>
                  <w:tcW w:w="1247" w:type="dxa"/>
                  <w:vMerge w:val="restart"/>
                  <w:vAlign w:val="center"/>
                </w:tcPr>
                <w:p>
                  <w:pPr>
                    <w:jc w:val="center"/>
                    <w:rPr>
                      <w:szCs w:val="21"/>
                    </w:rPr>
                  </w:pPr>
                  <w:r>
                    <w:rPr>
                      <w:szCs w:val="21"/>
                    </w:rPr>
                    <w:t>YS5109232230001</w:t>
                  </w:r>
                </w:p>
                <w:p>
                  <w:pPr>
                    <w:jc w:val="center"/>
                    <w:rPr>
                      <w:b/>
                      <w:bCs/>
                      <w:szCs w:val="21"/>
                    </w:rPr>
                  </w:pPr>
                  <w:r>
                    <w:rPr>
                      <w:b/>
                      <w:bCs/>
                      <w:szCs w:val="21"/>
                    </w:rPr>
                    <w:t>郪江大英县郪江口控制单元</w:t>
                  </w:r>
                </w:p>
              </w:tc>
              <w:tc>
                <w:tcPr>
                  <w:tcW w:w="1526" w:type="dxa"/>
                  <w:vAlign w:val="center"/>
                </w:tcPr>
                <w:p>
                  <w:pPr>
                    <w:rPr>
                      <w:b/>
                      <w:bCs/>
                      <w:szCs w:val="21"/>
                    </w:rPr>
                  </w:pPr>
                  <w:r>
                    <w:rPr>
                      <w:b/>
                      <w:bCs/>
                      <w:szCs w:val="21"/>
                    </w:rPr>
                    <w:t>空间布局约束</w:t>
                  </w:r>
                </w:p>
              </w:tc>
              <w:tc>
                <w:tcPr>
                  <w:tcW w:w="6128" w:type="dxa"/>
                  <w:vAlign w:val="center"/>
                </w:tcPr>
                <w:p>
                  <w:pPr>
                    <w:rPr>
                      <w:szCs w:val="21"/>
                    </w:rPr>
                  </w:pPr>
                  <w:r>
                    <w:rPr>
                      <w:szCs w:val="21"/>
                    </w:rPr>
                    <w:t>禁止开发建设活动的要求</w:t>
                  </w:r>
                </w:p>
                <w:p>
                  <w:pPr>
                    <w:rPr>
                      <w:szCs w:val="21"/>
                    </w:rPr>
                  </w:pPr>
                  <w:r>
                    <w:rPr>
                      <w:szCs w:val="21"/>
                    </w:rPr>
                    <w:t>限制开发建设活动的要求</w:t>
                  </w:r>
                </w:p>
                <w:p>
                  <w:pPr>
                    <w:rPr>
                      <w:szCs w:val="21"/>
                    </w:rPr>
                  </w:pPr>
                  <w:r>
                    <w:rPr>
                      <w:szCs w:val="21"/>
                    </w:rPr>
                    <w:t>允许开发建设活动的要求</w:t>
                  </w:r>
                </w:p>
                <w:p>
                  <w:pPr>
                    <w:rPr>
                      <w:szCs w:val="21"/>
                    </w:rPr>
                  </w:pPr>
                  <w:r>
                    <w:rPr>
                      <w:szCs w:val="21"/>
                    </w:rPr>
                    <w:t>不符合空间布局要求活动的退出要求</w:t>
                  </w:r>
                </w:p>
                <w:p>
                  <w:pPr>
                    <w:rPr>
                      <w:szCs w:val="21"/>
                    </w:rPr>
                  </w:pPr>
                  <w:r>
                    <w:rPr>
                      <w:szCs w:val="21"/>
                    </w:rPr>
                    <w:t>其他空间布局约束要求</w:t>
                  </w:r>
                </w:p>
              </w:tc>
              <w:tc>
                <w:tcPr>
                  <w:tcW w:w="1762" w:type="dxa"/>
                  <w:vAlign w:val="center"/>
                </w:tcPr>
                <w:p>
                  <w:pPr>
                    <w:rPr>
                      <w:b/>
                      <w:bCs/>
                      <w:szCs w:val="21"/>
                    </w:rPr>
                  </w:pPr>
                  <w:r>
                    <w:rPr>
                      <w:b/>
                      <w:bCs/>
                      <w:szCs w:val="21"/>
                    </w:rPr>
                    <w:t>本项目为鼓励类项目</w:t>
                  </w: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污染物排放管控</w:t>
                  </w:r>
                </w:p>
              </w:tc>
              <w:tc>
                <w:tcPr>
                  <w:tcW w:w="6128" w:type="dxa"/>
                  <w:vAlign w:val="center"/>
                </w:tcPr>
                <w:p>
                  <w:pPr>
                    <w:rPr>
                      <w:szCs w:val="21"/>
                    </w:rPr>
                  </w:pPr>
                  <w:r>
                    <w:rPr>
                      <w:szCs w:val="21"/>
                    </w:rPr>
                    <w:t>城镇污水污染控制措施要求</w:t>
                  </w:r>
                </w:p>
                <w:p>
                  <w:pPr>
                    <w:rPr>
                      <w:szCs w:val="21"/>
                    </w:rPr>
                  </w:pPr>
                  <w:r>
                    <w:rPr>
                      <w:szCs w:val="21"/>
                    </w:rPr>
                    <w:t>工业废水污染控制措施要求</w:t>
                  </w:r>
                </w:p>
                <w:p>
                  <w:pPr>
                    <w:rPr>
                      <w:szCs w:val="21"/>
                    </w:rPr>
                  </w:pPr>
                  <w:r>
                    <w:rPr>
                      <w:szCs w:val="21"/>
                    </w:rPr>
                    <w:t>农业面源水污染控制措施要求</w:t>
                  </w:r>
                </w:p>
                <w:p>
                  <w:pPr>
                    <w:rPr>
                      <w:szCs w:val="21"/>
                    </w:rPr>
                  </w:pPr>
                  <w:r>
                    <w:rPr>
                      <w:szCs w:val="21"/>
                    </w:rPr>
                    <w:t>控制畜禽养殖源污染，合理布局畜禽养殖规模，单位面积耕地的畜禽承载力不突破《四川省畜禽养殖污染防治技术指南》要求；强化畜禽养殖场污染治理，提高养殖粪污资源化利用率；开展高标准农田改造，减少水土流失，强化农业生产化肥农药施用管控。</w:t>
                  </w:r>
                </w:p>
                <w:p>
                  <w:pPr>
                    <w:rPr>
                      <w:szCs w:val="21"/>
                    </w:rPr>
                  </w:pPr>
                  <w:r>
                    <w:rPr>
                      <w:szCs w:val="21"/>
                    </w:rPr>
                    <w:t>船舶港口水污染控制措施要求</w:t>
                  </w:r>
                </w:p>
                <w:p>
                  <w:pPr>
                    <w:rPr>
                      <w:szCs w:val="21"/>
                    </w:rPr>
                  </w:pPr>
                  <w:r>
                    <w:rPr>
                      <w:szCs w:val="21"/>
                    </w:rPr>
                    <w:t>饮用水水源和其它特殊水体保护要求</w:t>
                  </w:r>
                </w:p>
              </w:tc>
              <w:tc>
                <w:tcPr>
                  <w:tcW w:w="1762" w:type="dxa"/>
                  <w:vAlign w:val="center"/>
                </w:tcPr>
                <w:p>
                  <w:pPr>
                    <w:rPr>
                      <w:b/>
                      <w:bCs/>
                      <w:szCs w:val="21"/>
                    </w:rPr>
                  </w:pPr>
                  <w:r>
                    <w:rPr>
                      <w:b/>
                      <w:bCs/>
                      <w:szCs w:val="21"/>
                    </w:rPr>
                    <w:t>项目污染物达标排放</w:t>
                  </w: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环境风险防控</w:t>
                  </w:r>
                </w:p>
              </w:tc>
              <w:tc>
                <w:tcPr>
                  <w:tcW w:w="6128" w:type="dxa"/>
                  <w:vAlign w:val="center"/>
                </w:tcPr>
                <w:p>
                  <w:pPr>
                    <w:rPr>
                      <w:szCs w:val="21"/>
                    </w:rPr>
                  </w:pPr>
                  <w:r>
                    <w:rPr>
                      <w:szCs w:val="21"/>
                    </w:rPr>
                    <w:t>/</w:t>
                  </w:r>
                </w:p>
              </w:tc>
              <w:tc>
                <w:tcPr>
                  <w:tcW w:w="1762" w:type="dxa"/>
                  <w:vAlign w:val="center"/>
                </w:tcPr>
                <w:p>
                  <w:pPr>
                    <w:rPr>
                      <w:szCs w:val="21"/>
                    </w:rPr>
                  </w:pPr>
                  <w:r>
                    <w:rPr>
                      <w:szCs w:val="21"/>
                    </w:rPr>
                    <w:t>/</w:t>
                  </w:r>
                </w:p>
              </w:tc>
              <w:tc>
                <w:tcPr>
                  <w:tcW w:w="648"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资源开发效率要求</w:t>
                  </w:r>
                </w:p>
              </w:tc>
              <w:tc>
                <w:tcPr>
                  <w:tcW w:w="6128" w:type="dxa"/>
                  <w:vAlign w:val="center"/>
                </w:tcPr>
                <w:p>
                  <w:pPr>
                    <w:rPr>
                      <w:szCs w:val="21"/>
                    </w:rPr>
                  </w:pPr>
                  <w:r>
                    <w:rPr>
                      <w:szCs w:val="21"/>
                    </w:rPr>
                    <w:t>/</w:t>
                  </w:r>
                </w:p>
              </w:tc>
              <w:tc>
                <w:tcPr>
                  <w:tcW w:w="1762" w:type="dxa"/>
                  <w:vAlign w:val="center"/>
                </w:tcPr>
                <w:p>
                  <w:pPr>
                    <w:rPr>
                      <w:szCs w:val="21"/>
                    </w:rPr>
                  </w:pPr>
                  <w:r>
                    <w:rPr>
                      <w:szCs w:val="21"/>
                    </w:rPr>
                    <w:t>/</w:t>
                  </w:r>
                </w:p>
              </w:tc>
              <w:tc>
                <w:tcPr>
                  <w:tcW w:w="648"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rPr>
                      <w:szCs w:val="21"/>
                    </w:rPr>
                  </w:pPr>
                  <w:r>
                    <w:rPr>
                      <w:szCs w:val="21"/>
                    </w:rPr>
                    <w:t>3</w:t>
                  </w:r>
                </w:p>
              </w:tc>
              <w:tc>
                <w:tcPr>
                  <w:tcW w:w="1247" w:type="dxa"/>
                  <w:vMerge w:val="restart"/>
                  <w:vAlign w:val="center"/>
                </w:tcPr>
                <w:p>
                  <w:pPr>
                    <w:jc w:val="center"/>
                    <w:rPr>
                      <w:szCs w:val="21"/>
                    </w:rPr>
                  </w:pPr>
                  <w:r>
                    <w:rPr>
                      <w:szCs w:val="21"/>
                    </w:rPr>
                    <w:t>YS5109233310001</w:t>
                  </w:r>
                </w:p>
                <w:p>
                  <w:pPr>
                    <w:jc w:val="center"/>
                    <w:rPr>
                      <w:b/>
                      <w:bCs/>
                      <w:szCs w:val="21"/>
                    </w:rPr>
                  </w:pPr>
                  <w:r>
                    <w:rPr>
                      <w:b/>
                      <w:bCs/>
                      <w:szCs w:val="21"/>
                    </w:rPr>
                    <w:t>大英县大气环境一般管控区</w:t>
                  </w:r>
                </w:p>
              </w:tc>
              <w:tc>
                <w:tcPr>
                  <w:tcW w:w="1526" w:type="dxa"/>
                  <w:vAlign w:val="center"/>
                </w:tcPr>
                <w:p>
                  <w:pPr>
                    <w:rPr>
                      <w:b/>
                      <w:bCs/>
                      <w:szCs w:val="21"/>
                    </w:rPr>
                  </w:pPr>
                  <w:r>
                    <w:rPr>
                      <w:b/>
                      <w:bCs/>
                      <w:szCs w:val="21"/>
                    </w:rPr>
                    <w:t>空间布局约束</w:t>
                  </w:r>
                </w:p>
              </w:tc>
              <w:tc>
                <w:tcPr>
                  <w:tcW w:w="6128" w:type="dxa"/>
                  <w:vAlign w:val="center"/>
                </w:tcPr>
                <w:p>
                  <w:pPr>
                    <w:rPr>
                      <w:szCs w:val="21"/>
                    </w:rPr>
                  </w:pPr>
                  <w:r>
                    <w:rPr>
                      <w:szCs w:val="21"/>
                    </w:rPr>
                    <w:t>禁止开发建设活动的要求</w:t>
                  </w:r>
                </w:p>
                <w:p>
                  <w:pPr>
                    <w:rPr>
                      <w:szCs w:val="21"/>
                    </w:rPr>
                  </w:pPr>
                  <w:r>
                    <w:rPr>
                      <w:szCs w:val="21"/>
                    </w:rPr>
                    <w:t>限制开发建设活动的要求</w:t>
                  </w:r>
                </w:p>
                <w:p>
                  <w:pPr>
                    <w:rPr>
                      <w:szCs w:val="21"/>
                    </w:rPr>
                  </w:pPr>
                  <w:r>
                    <w:rPr>
                      <w:szCs w:val="21"/>
                    </w:rPr>
                    <w:t>允许开发建设活动的要求</w:t>
                  </w:r>
                </w:p>
                <w:p>
                  <w:pPr>
                    <w:rPr>
                      <w:szCs w:val="21"/>
                    </w:rPr>
                  </w:pPr>
                  <w:r>
                    <w:rPr>
                      <w:szCs w:val="21"/>
                    </w:rPr>
                    <w:t>不符合空间布局要求活动的退出要求</w:t>
                  </w:r>
                </w:p>
                <w:p>
                  <w:pPr>
                    <w:rPr>
                      <w:szCs w:val="21"/>
                    </w:rPr>
                  </w:pPr>
                  <w:r>
                    <w:rPr>
                      <w:szCs w:val="21"/>
                    </w:rPr>
                    <w:t>其他空间布局约束要求</w:t>
                  </w:r>
                </w:p>
              </w:tc>
              <w:tc>
                <w:tcPr>
                  <w:tcW w:w="1762" w:type="dxa"/>
                  <w:vAlign w:val="center"/>
                </w:tcPr>
                <w:p>
                  <w:pPr>
                    <w:rPr>
                      <w:b/>
                      <w:bCs/>
                      <w:szCs w:val="21"/>
                    </w:rPr>
                  </w:pPr>
                  <w:r>
                    <w:rPr>
                      <w:b/>
                      <w:bCs/>
                      <w:szCs w:val="21"/>
                    </w:rPr>
                    <w:t>本项目为鼓励类项目</w:t>
                  </w: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污染物排放管控</w:t>
                  </w:r>
                </w:p>
              </w:tc>
              <w:tc>
                <w:tcPr>
                  <w:tcW w:w="6128" w:type="dxa"/>
                  <w:vAlign w:val="center"/>
                </w:tcPr>
                <w:p>
                  <w:pPr>
                    <w:rPr>
                      <w:szCs w:val="21"/>
                    </w:rPr>
                  </w:pPr>
                  <w:r>
                    <w:rPr>
                      <w:szCs w:val="21"/>
                    </w:rPr>
                    <w:t>大气环境质量执行标准</w:t>
                  </w:r>
                </w:p>
                <w:p>
                  <w:pPr>
                    <w:rPr>
                      <w:szCs w:val="21"/>
                    </w:rPr>
                  </w:pPr>
                  <w:r>
                    <w:rPr>
                      <w:szCs w:val="21"/>
                    </w:rPr>
                    <w:t>《环境空气质量标准》（GB3095-2012）：二级</w:t>
                  </w:r>
                </w:p>
                <w:p>
                  <w:pPr>
                    <w:rPr>
                      <w:szCs w:val="21"/>
                    </w:rPr>
                  </w:pPr>
                  <w:r>
                    <w:rPr>
                      <w:szCs w:val="21"/>
                    </w:rPr>
                    <w:t>区域大气污染物削减/替代要求</w:t>
                  </w:r>
                </w:p>
                <w:p>
                  <w:pPr>
                    <w:rPr>
                      <w:szCs w:val="21"/>
                    </w:rPr>
                  </w:pPr>
                  <w:r>
                    <w:rPr>
                      <w:szCs w:val="21"/>
                    </w:rPr>
                    <w:t>燃煤和其他能源大气污染控制要求</w:t>
                  </w:r>
                </w:p>
                <w:p>
                  <w:pPr>
                    <w:rPr>
                      <w:szCs w:val="21"/>
                    </w:rPr>
                  </w:pPr>
                  <w:r>
                    <w:rPr>
                      <w:szCs w:val="21"/>
                    </w:rPr>
                    <w:t>工业废气污染控制要求</w:t>
                  </w:r>
                </w:p>
                <w:p>
                  <w:pPr>
                    <w:rPr>
                      <w:szCs w:val="21"/>
                    </w:rPr>
                  </w:pPr>
                  <w:r>
                    <w:rPr>
                      <w:szCs w:val="21"/>
                    </w:rPr>
                    <w:t>机动车船大气污染控制要求</w:t>
                  </w:r>
                </w:p>
                <w:p>
                  <w:pPr>
                    <w:rPr>
                      <w:szCs w:val="21"/>
                    </w:rPr>
                  </w:pPr>
                  <w:r>
                    <w:rPr>
                      <w:szCs w:val="21"/>
                    </w:rPr>
                    <w:t>扬尘污染控制要求</w:t>
                  </w:r>
                </w:p>
                <w:p>
                  <w:pPr>
                    <w:rPr>
                      <w:szCs w:val="21"/>
                    </w:rPr>
                  </w:pPr>
                  <w:r>
                    <w:rPr>
                      <w:szCs w:val="21"/>
                    </w:rPr>
                    <w:t>农业生产经营活动大气污染控制要求</w:t>
                  </w:r>
                </w:p>
                <w:p>
                  <w:pPr>
                    <w:rPr>
                      <w:szCs w:val="21"/>
                    </w:rPr>
                  </w:pPr>
                  <w:r>
                    <w:rPr>
                      <w:szCs w:val="21"/>
                    </w:rPr>
                    <w:t>重点行业企业专项治理要求</w:t>
                  </w:r>
                </w:p>
                <w:p>
                  <w:pPr>
                    <w:rPr>
                      <w:szCs w:val="21"/>
                    </w:rPr>
                  </w:pPr>
                  <w:r>
                    <w:rPr>
                      <w:szCs w:val="21"/>
                    </w:rPr>
                    <w:t>其他大气污染物排放管控要求</w:t>
                  </w:r>
                </w:p>
              </w:tc>
              <w:tc>
                <w:tcPr>
                  <w:tcW w:w="1762" w:type="dxa"/>
                  <w:vAlign w:val="center"/>
                </w:tcPr>
                <w:p>
                  <w:pPr>
                    <w:rPr>
                      <w:b/>
                      <w:bCs/>
                      <w:szCs w:val="21"/>
                    </w:rPr>
                  </w:pPr>
                  <w:r>
                    <w:rPr>
                      <w:b/>
                      <w:bCs/>
                      <w:szCs w:val="21"/>
                    </w:rPr>
                    <w:t>项目污染物达标排放</w:t>
                  </w: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环境风险防控</w:t>
                  </w:r>
                </w:p>
              </w:tc>
              <w:tc>
                <w:tcPr>
                  <w:tcW w:w="6128" w:type="dxa"/>
                </w:tcPr>
                <w:p>
                  <w:pPr>
                    <w:rPr>
                      <w:szCs w:val="21"/>
                    </w:rPr>
                  </w:pPr>
                  <w:r>
                    <w:rPr>
                      <w:szCs w:val="21"/>
                    </w:rPr>
                    <w:t>/</w:t>
                  </w:r>
                </w:p>
              </w:tc>
              <w:tc>
                <w:tcPr>
                  <w:tcW w:w="1762" w:type="dxa"/>
                </w:tcPr>
                <w:p>
                  <w:pPr>
                    <w:rPr>
                      <w:szCs w:val="21"/>
                    </w:rPr>
                  </w:pPr>
                  <w:r>
                    <w:rPr>
                      <w:szCs w:val="21"/>
                    </w:rPr>
                    <w:t>/</w:t>
                  </w:r>
                </w:p>
              </w:tc>
              <w:tc>
                <w:tcPr>
                  <w:tcW w:w="648" w:type="dxa"/>
                </w:tcPr>
                <w:p>
                  <w:pP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资源开发效率要求</w:t>
                  </w:r>
                </w:p>
              </w:tc>
              <w:tc>
                <w:tcPr>
                  <w:tcW w:w="6128" w:type="dxa"/>
                </w:tcPr>
                <w:p>
                  <w:pPr>
                    <w:rPr>
                      <w:szCs w:val="21"/>
                    </w:rPr>
                  </w:pPr>
                  <w:r>
                    <w:rPr>
                      <w:szCs w:val="21"/>
                    </w:rPr>
                    <w:t>/</w:t>
                  </w:r>
                </w:p>
              </w:tc>
              <w:tc>
                <w:tcPr>
                  <w:tcW w:w="1762" w:type="dxa"/>
                </w:tcPr>
                <w:p>
                  <w:pPr>
                    <w:rPr>
                      <w:szCs w:val="21"/>
                    </w:rPr>
                  </w:pPr>
                  <w:r>
                    <w:rPr>
                      <w:szCs w:val="21"/>
                    </w:rPr>
                    <w:t>/</w:t>
                  </w:r>
                </w:p>
              </w:tc>
              <w:tc>
                <w:tcPr>
                  <w:tcW w:w="648" w:type="dxa"/>
                </w:tcPr>
                <w:p>
                  <w:pP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rPr>
                      <w:szCs w:val="21"/>
                    </w:rPr>
                  </w:pPr>
                  <w:r>
                    <w:rPr>
                      <w:szCs w:val="21"/>
                    </w:rPr>
                    <w:t>4</w:t>
                  </w:r>
                </w:p>
              </w:tc>
              <w:tc>
                <w:tcPr>
                  <w:tcW w:w="1247" w:type="dxa"/>
                  <w:vMerge w:val="restart"/>
                  <w:vAlign w:val="center"/>
                </w:tcPr>
                <w:p>
                  <w:pPr>
                    <w:jc w:val="center"/>
                    <w:rPr>
                      <w:b/>
                      <w:bCs/>
                      <w:szCs w:val="21"/>
                    </w:rPr>
                  </w:pPr>
                  <w:r>
                    <w:rPr>
                      <w:szCs w:val="21"/>
                    </w:rPr>
                    <w:t>YS5109231410005</w:t>
                  </w:r>
                  <w:r>
                    <w:rPr>
                      <w:b/>
                      <w:bCs/>
                      <w:szCs w:val="21"/>
                    </w:rPr>
                    <w:t>大英县土壤优先保护区</w:t>
                  </w:r>
                </w:p>
              </w:tc>
              <w:tc>
                <w:tcPr>
                  <w:tcW w:w="1526" w:type="dxa"/>
                  <w:vAlign w:val="center"/>
                </w:tcPr>
                <w:p>
                  <w:pPr>
                    <w:rPr>
                      <w:b/>
                      <w:bCs/>
                      <w:szCs w:val="21"/>
                    </w:rPr>
                  </w:pPr>
                  <w:r>
                    <w:rPr>
                      <w:b/>
                      <w:bCs/>
                      <w:szCs w:val="21"/>
                    </w:rPr>
                    <w:t>空间布局约束</w:t>
                  </w:r>
                </w:p>
              </w:tc>
              <w:tc>
                <w:tcPr>
                  <w:tcW w:w="6128" w:type="dxa"/>
                  <w:vAlign w:val="center"/>
                </w:tcPr>
                <w:p>
                  <w:pPr>
                    <w:rPr>
                      <w:szCs w:val="21"/>
                    </w:rPr>
                  </w:pPr>
                  <w:r>
                    <w:rPr>
                      <w:szCs w:val="21"/>
                    </w:rPr>
                    <w:t>禁止开发建设活动的要求</w:t>
                  </w:r>
                </w:p>
                <w:p>
                  <w:pPr>
                    <w:rPr>
                      <w:szCs w:val="21"/>
                    </w:rPr>
                  </w:pPr>
                  <w:r>
                    <w:rPr>
                      <w:szCs w:val="21"/>
                    </w:rPr>
                    <w:t>限制开发建设活动的要求</w:t>
                  </w:r>
                </w:p>
                <w:p>
                  <w:pPr>
                    <w:rPr>
                      <w:szCs w:val="21"/>
                    </w:rPr>
                  </w:pPr>
                  <w:r>
                    <w:rPr>
                      <w:szCs w:val="21"/>
                    </w:rPr>
                    <w:t>允许开发建设活动的要求</w:t>
                  </w:r>
                </w:p>
                <w:p>
                  <w:pPr>
                    <w:rPr>
                      <w:szCs w:val="21"/>
                    </w:rPr>
                  </w:pPr>
                  <w:r>
                    <w:rPr>
                      <w:szCs w:val="21"/>
                    </w:rPr>
                    <w:t>不符合空间布局要求活动的退出要求</w:t>
                  </w:r>
                </w:p>
                <w:p>
                  <w:pPr>
                    <w:rPr>
                      <w:szCs w:val="21"/>
                    </w:rPr>
                  </w:pPr>
                  <w:r>
                    <w:rPr>
                      <w:szCs w:val="21"/>
                    </w:rPr>
                    <w:t>其他空间布局约束要求</w:t>
                  </w:r>
                </w:p>
              </w:tc>
              <w:tc>
                <w:tcPr>
                  <w:tcW w:w="1762" w:type="dxa"/>
                  <w:vAlign w:val="center"/>
                </w:tcPr>
                <w:p>
                  <w:pPr>
                    <w:rPr>
                      <w:b/>
                      <w:bCs/>
                      <w:szCs w:val="21"/>
                    </w:rPr>
                  </w:pPr>
                  <w:r>
                    <w:rPr>
                      <w:b/>
                      <w:bCs/>
                      <w:szCs w:val="21"/>
                    </w:rPr>
                    <w:t>本项目为鼓励类项目</w:t>
                  </w:r>
                </w:p>
              </w:tc>
              <w:tc>
                <w:tcPr>
                  <w:tcW w:w="648" w:type="dxa"/>
                  <w:vAlign w:val="center"/>
                </w:tcPr>
                <w:p>
                  <w:pPr>
                    <w:rPr>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污染物排放管控</w:t>
                  </w:r>
                </w:p>
              </w:tc>
              <w:tc>
                <w:tcPr>
                  <w:tcW w:w="6128" w:type="dxa"/>
                </w:tcPr>
                <w:p>
                  <w:pPr>
                    <w:rPr>
                      <w:szCs w:val="21"/>
                    </w:rPr>
                  </w:pPr>
                  <w:r>
                    <w:rPr>
                      <w:szCs w:val="21"/>
                    </w:rPr>
                    <w:t>/</w:t>
                  </w:r>
                </w:p>
              </w:tc>
              <w:tc>
                <w:tcPr>
                  <w:tcW w:w="1762" w:type="dxa"/>
                </w:tcPr>
                <w:p>
                  <w:pPr>
                    <w:rPr>
                      <w:szCs w:val="21"/>
                    </w:rPr>
                  </w:pPr>
                  <w:r>
                    <w:rPr>
                      <w:szCs w:val="21"/>
                    </w:rPr>
                    <w:t>/</w:t>
                  </w:r>
                </w:p>
              </w:tc>
              <w:tc>
                <w:tcPr>
                  <w:tcW w:w="648" w:type="dxa"/>
                </w:tcPr>
                <w:p>
                  <w:pP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环境风险防控</w:t>
                  </w:r>
                </w:p>
              </w:tc>
              <w:tc>
                <w:tcPr>
                  <w:tcW w:w="6128" w:type="dxa"/>
                </w:tcPr>
                <w:p>
                  <w:pPr>
                    <w:rPr>
                      <w:szCs w:val="21"/>
                    </w:rPr>
                  </w:pPr>
                  <w:r>
                    <w:rPr>
                      <w:szCs w:val="21"/>
                    </w:rPr>
                    <w:t>/</w:t>
                  </w:r>
                </w:p>
              </w:tc>
              <w:tc>
                <w:tcPr>
                  <w:tcW w:w="1762" w:type="dxa"/>
                </w:tcPr>
                <w:p>
                  <w:pPr>
                    <w:rPr>
                      <w:szCs w:val="21"/>
                    </w:rPr>
                  </w:pPr>
                  <w:r>
                    <w:rPr>
                      <w:szCs w:val="21"/>
                    </w:rPr>
                    <w:t>/</w:t>
                  </w:r>
                </w:p>
              </w:tc>
              <w:tc>
                <w:tcPr>
                  <w:tcW w:w="648" w:type="dxa"/>
                </w:tcPr>
                <w:p>
                  <w:pP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rPr>
                      <w:szCs w:val="21"/>
                    </w:rPr>
                  </w:pPr>
                </w:p>
              </w:tc>
              <w:tc>
                <w:tcPr>
                  <w:tcW w:w="1247" w:type="dxa"/>
                  <w:vMerge w:val="continue"/>
                  <w:vAlign w:val="center"/>
                </w:tcPr>
                <w:p>
                  <w:pPr>
                    <w:jc w:val="center"/>
                    <w:rPr>
                      <w:szCs w:val="21"/>
                    </w:rPr>
                  </w:pPr>
                </w:p>
              </w:tc>
              <w:tc>
                <w:tcPr>
                  <w:tcW w:w="1526" w:type="dxa"/>
                  <w:vAlign w:val="center"/>
                </w:tcPr>
                <w:p>
                  <w:pPr>
                    <w:rPr>
                      <w:b/>
                      <w:bCs/>
                      <w:szCs w:val="21"/>
                    </w:rPr>
                  </w:pPr>
                  <w:r>
                    <w:rPr>
                      <w:b/>
                      <w:bCs/>
                      <w:szCs w:val="21"/>
                    </w:rPr>
                    <w:t>资源开发效率要求</w:t>
                  </w:r>
                </w:p>
              </w:tc>
              <w:tc>
                <w:tcPr>
                  <w:tcW w:w="6128" w:type="dxa"/>
                </w:tcPr>
                <w:p>
                  <w:pPr>
                    <w:rPr>
                      <w:szCs w:val="21"/>
                    </w:rPr>
                  </w:pPr>
                  <w:r>
                    <w:rPr>
                      <w:szCs w:val="21"/>
                    </w:rPr>
                    <w:t>/</w:t>
                  </w:r>
                </w:p>
              </w:tc>
              <w:tc>
                <w:tcPr>
                  <w:tcW w:w="1762" w:type="dxa"/>
                </w:tcPr>
                <w:p>
                  <w:pPr>
                    <w:rPr>
                      <w:szCs w:val="21"/>
                    </w:rPr>
                  </w:pPr>
                  <w:r>
                    <w:rPr>
                      <w:szCs w:val="21"/>
                    </w:rPr>
                    <w:t>/</w:t>
                  </w:r>
                </w:p>
              </w:tc>
              <w:tc>
                <w:tcPr>
                  <w:tcW w:w="648" w:type="dxa"/>
                </w:tcPr>
                <w:p>
                  <w:pPr>
                    <w:rPr>
                      <w:szCs w:val="21"/>
                    </w:rPr>
                  </w:pPr>
                  <w:r>
                    <w:rPr>
                      <w:szCs w:val="21"/>
                    </w:rPr>
                    <w:t>/</w:t>
                  </w:r>
                </w:p>
              </w:tc>
            </w:tr>
          </w:tbl>
          <w:p>
            <w:pPr>
              <w:spacing w:before="120" w:beforeLines="50" w:line="360" w:lineRule="auto"/>
              <w:ind w:firstLine="482" w:firstLineChars="200"/>
              <w:rPr>
                <w:b/>
                <w:bCs/>
                <w:sz w:val="24"/>
              </w:rPr>
            </w:pPr>
            <w:r>
              <w:rPr>
                <w:rFonts w:eastAsiaTheme="minorEastAsia"/>
                <w:b/>
                <w:bCs/>
                <w:sz w:val="24"/>
              </w:rPr>
              <w:t>综上，本项目与《遂宁市人民政府关于落实生态保护红线、环境质量底线、资源利用上线和生态环境准入清单实施生态环境分区管控的通知》遂府函〔2021〕74号文件的相符。</w:t>
            </w:r>
          </w:p>
        </w:tc>
      </w:tr>
    </w:tbl>
    <w:p>
      <w:pPr>
        <w:sectPr>
          <w:pgSz w:w="16838" w:h="11906" w:orient="landscape"/>
          <w:pgMar w:top="1531" w:right="1701" w:bottom="1531" w:left="1701" w:header="851" w:footer="1077" w:gutter="0"/>
          <w:cols w:space="720" w:num="1"/>
          <w:docGrid w:linePitch="312" w:charSpace="0"/>
        </w:sectPr>
      </w:pP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rPr>
                <w:sz w:val="24"/>
              </w:rPr>
            </w:pPr>
            <w:r>
              <w:rPr>
                <w:sz w:val="24"/>
              </w:rPr>
              <w:t>其他符合性分析</w:t>
            </w:r>
          </w:p>
        </w:tc>
        <w:tc>
          <w:tcPr>
            <w:tcW w:w="4604" w:type="pct"/>
            <w:vAlign w:val="center"/>
          </w:tcPr>
          <w:p>
            <w:pPr>
              <w:spacing w:line="360" w:lineRule="auto"/>
              <w:rPr>
                <w:b/>
                <w:bCs/>
                <w:sz w:val="24"/>
              </w:rPr>
            </w:pPr>
            <w:r>
              <w:rPr>
                <w:b/>
                <w:bCs/>
                <w:sz w:val="24"/>
              </w:rPr>
              <w:t>4、项目与相关行业要求符合性分析</w:t>
            </w:r>
          </w:p>
          <w:p>
            <w:pPr>
              <w:spacing w:line="360" w:lineRule="auto"/>
              <w:ind w:firstLine="482" w:firstLineChars="200"/>
              <w:rPr>
                <w:b/>
                <w:bCs/>
                <w:sz w:val="24"/>
              </w:rPr>
            </w:pPr>
            <w:r>
              <w:rPr>
                <w:b/>
                <w:bCs/>
                <w:sz w:val="24"/>
              </w:rPr>
              <w:t>4.1项目与《陆上石油天然气开采钻井废物处置污染控制技术要求》的符合性分析</w:t>
            </w:r>
          </w:p>
          <w:p>
            <w:pPr>
              <w:pStyle w:val="2"/>
              <w:ind w:left="0" w:leftChars="0" w:firstLine="0" w:firstLineChars="0"/>
              <w:jc w:val="center"/>
              <w:rPr>
                <w:b/>
                <w:bCs/>
                <w:sz w:val="24"/>
              </w:rPr>
            </w:pPr>
            <w:r>
              <w:rPr>
                <w:b/>
                <w:bCs/>
                <w:sz w:val="24"/>
              </w:rPr>
              <w:t>表1-9项目与《陆上石油天然气开采钻井废物处置污染控制技术要求》的符合性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701"/>
              <w:gridCol w:w="349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82" w:type="pct"/>
                  <w:vAlign w:val="center"/>
                </w:tcPr>
                <w:p>
                  <w:pPr>
                    <w:jc w:val="center"/>
                    <w:rPr>
                      <w:b/>
                      <w:bCs/>
                      <w:szCs w:val="21"/>
                    </w:rPr>
                  </w:pPr>
                  <w:r>
                    <w:rPr>
                      <w:b/>
                      <w:bCs/>
                      <w:szCs w:val="21"/>
                    </w:rPr>
                    <w:t>序号</w:t>
                  </w:r>
                </w:p>
              </w:tc>
              <w:tc>
                <w:tcPr>
                  <w:tcW w:w="1664" w:type="pct"/>
                  <w:vAlign w:val="center"/>
                </w:tcPr>
                <w:p>
                  <w:pPr>
                    <w:jc w:val="center"/>
                    <w:rPr>
                      <w:b/>
                      <w:bCs/>
                      <w:szCs w:val="21"/>
                    </w:rPr>
                  </w:pPr>
                  <w:r>
                    <w:rPr>
                      <w:b/>
                      <w:bCs/>
                      <w:szCs w:val="21"/>
                    </w:rPr>
                    <w:t>技术政策要求</w:t>
                  </w:r>
                </w:p>
              </w:tc>
              <w:tc>
                <w:tcPr>
                  <w:tcW w:w="2150" w:type="pct"/>
                  <w:vAlign w:val="center"/>
                </w:tcPr>
                <w:p>
                  <w:pPr>
                    <w:jc w:val="center"/>
                    <w:rPr>
                      <w:b/>
                      <w:bCs/>
                      <w:szCs w:val="21"/>
                    </w:rPr>
                  </w:pPr>
                  <w:r>
                    <w:rPr>
                      <w:b/>
                      <w:bCs/>
                      <w:szCs w:val="21"/>
                    </w:rPr>
                    <w:t>本项目</w:t>
                  </w:r>
                </w:p>
              </w:tc>
              <w:tc>
                <w:tcPr>
                  <w:tcW w:w="804" w:type="pct"/>
                  <w:vAlign w:val="center"/>
                </w:tcPr>
                <w:p>
                  <w:pPr>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jc w:val="center"/>
                    <w:rPr>
                      <w:szCs w:val="21"/>
                    </w:rPr>
                  </w:pPr>
                  <w:r>
                    <w:rPr>
                      <w:szCs w:val="21"/>
                    </w:rPr>
                    <w:t>1</w:t>
                  </w:r>
                </w:p>
              </w:tc>
              <w:tc>
                <w:tcPr>
                  <w:tcW w:w="1664" w:type="pct"/>
                  <w:vAlign w:val="center"/>
                </w:tcPr>
                <w:p>
                  <w:pPr>
                    <w:jc w:val="left"/>
                    <w:rPr>
                      <w:szCs w:val="21"/>
                    </w:rPr>
                  </w:pPr>
                  <w:r>
                    <w:rPr>
                      <w:szCs w:val="21"/>
                    </w:rPr>
                    <w:t>钻井废物经无害化处置后，对其进行资源化(如作为建筑材料等)利用的，应符合相关质量标准和污染控制标准要求。</w:t>
                  </w:r>
                </w:p>
              </w:tc>
              <w:tc>
                <w:tcPr>
                  <w:tcW w:w="2150" w:type="pct"/>
                  <w:vAlign w:val="center"/>
                </w:tcPr>
                <w:p>
                  <w:pPr>
                    <w:jc w:val="left"/>
                    <w:rPr>
                      <w:szCs w:val="21"/>
                    </w:rPr>
                  </w:pPr>
                  <w:r>
                    <w:rPr>
                      <w:b/>
                      <w:bCs/>
                      <w:szCs w:val="21"/>
                    </w:rPr>
                    <w:t>本项目利用</w:t>
                  </w:r>
                  <w:r>
                    <w:rPr>
                      <w:rFonts w:hint="eastAsia"/>
                      <w:b/>
                      <w:bCs/>
                      <w:szCs w:val="21"/>
                    </w:rPr>
                    <w:t>永津环保公司</w:t>
                  </w:r>
                  <w:r>
                    <w:rPr>
                      <w:b/>
                      <w:bCs/>
                      <w:szCs w:val="21"/>
                    </w:rPr>
                    <w:t>油基岩屑厌氧热回收处理后的干渣经鉴定不属于危废，生产出来的灰砂砖满足《蒸压灰砂实心砖和实心砌块GB/T11945-2019质量要求</w:t>
                  </w:r>
                </w:p>
              </w:tc>
              <w:tc>
                <w:tcPr>
                  <w:tcW w:w="804" w:type="pct"/>
                  <w:vAlign w:val="center"/>
                </w:tcPr>
                <w:p>
                  <w:pPr>
                    <w:jc w:val="center"/>
                    <w:rPr>
                      <w:b/>
                      <w:bCs/>
                      <w:szCs w:val="21"/>
                    </w:rPr>
                  </w:pPr>
                  <w:r>
                    <w:rPr>
                      <w:b/>
                      <w:bCs/>
                      <w:szCs w:val="21"/>
                    </w:rPr>
                    <w:t>符合</w:t>
                  </w:r>
                </w:p>
              </w:tc>
            </w:tr>
          </w:tbl>
          <w:p>
            <w:pPr>
              <w:spacing w:before="120" w:beforeLines="50" w:line="360" w:lineRule="auto"/>
              <w:ind w:firstLine="482" w:firstLineChars="200"/>
              <w:rPr>
                <w:b/>
                <w:bCs/>
                <w:sz w:val="24"/>
              </w:rPr>
            </w:pPr>
            <w:r>
              <w:rPr>
                <w:b/>
                <w:bCs/>
                <w:sz w:val="24"/>
              </w:rPr>
              <w:t>4.2项目与《四川省页岩气开采业污染防治技术政策》符合性分析</w:t>
            </w:r>
          </w:p>
          <w:p>
            <w:pPr>
              <w:spacing w:line="360" w:lineRule="auto"/>
              <w:ind w:firstLine="480" w:firstLineChars="200"/>
              <w:rPr>
                <w:sz w:val="24"/>
              </w:rPr>
            </w:pPr>
            <w:r>
              <w:rPr>
                <w:sz w:val="24"/>
              </w:rPr>
              <w:t>2018年2月1日，四川省环境保护厅发布了关于发布《四川省页岩气开采业污染防治技术政策》的公告（2018年第3号），本项目与《四川省页岩气开采业污染防治技术政策》符合性分析见下表：</w:t>
            </w:r>
          </w:p>
          <w:p>
            <w:pPr>
              <w:spacing w:after="120" w:afterLines="50"/>
              <w:jc w:val="center"/>
              <w:rPr>
                <w:b/>
                <w:bCs/>
                <w:sz w:val="24"/>
              </w:rPr>
            </w:pPr>
            <w:r>
              <w:rPr>
                <w:b/>
                <w:bCs/>
                <w:sz w:val="24"/>
              </w:rPr>
              <w:t>表1-10项目与《四川省页岩气开采业污染防治技术政策》的符合性</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3695"/>
              <w:gridCol w:w="2617"/>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496" w:type="pct"/>
                  <w:vAlign w:val="center"/>
                </w:tcPr>
                <w:p>
                  <w:pPr>
                    <w:rPr>
                      <w:b/>
                      <w:bCs/>
                      <w:szCs w:val="21"/>
                    </w:rPr>
                  </w:pPr>
                  <w:r>
                    <w:rPr>
                      <w:b/>
                      <w:bCs/>
                      <w:szCs w:val="21"/>
                    </w:rPr>
                    <w:t>序号</w:t>
                  </w:r>
                </w:p>
              </w:tc>
              <w:tc>
                <w:tcPr>
                  <w:tcW w:w="2276" w:type="pct"/>
                  <w:vAlign w:val="center"/>
                </w:tcPr>
                <w:p>
                  <w:pPr>
                    <w:rPr>
                      <w:b/>
                      <w:bCs/>
                      <w:szCs w:val="21"/>
                    </w:rPr>
                  </w:pPr>
                  <w:r>
                    <w:rPr>
                      <w:b/>
                      <w:bCs/>
                      <w:szCs w:val="21"/>
                    </w:rPr>
                    <w:t>技术政策要求</w:t>
                  </w:r>
                </w:p>
              </w:tc>
              <w:tc>
                <w:tcPr>
                  <w:tcW w:w="1612" w:type="pct"/>
                  <w:vAlign w:val="center"/>
                </w:tcPr>
                <w:p>
                  <w:pPr>
                    <w:jc w:val="center"/>
                    <w:rPr>
                      <w:b/>
                      <w:bCs/>
                      <w:szCs w:val="21"/>
                    </w:rPr>
                  </w:pPr>
                  <w:r>
                    <w:rPr>
                      <w:b/>
                      <w:bCs/>
                      <w:szCs w:val="21"/>
                    </w:rPr>
                    <w:t>本项目</w:t>
                  </w:r>
                </w:p>
              </w:tc>
              <w:tc>
                <w:tcPr>
                  <w:tcW w:w="616" w:type="pct"/>
                  <w:vAlign w:val="center"/>
                </w:tcPr>
                <w:p>
                  <w:pPr>
                    <w:rPr>
                      <w:b/>
                      <w:bCs/>
                      <w:szCs w:val="21"/>
                    </w:rPr>
                  </w:pPr>
                  <w:r>
                    <w:rPr>
                      <w:b/>
                      <w:bCs/>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496" w:type="pct"/>
                  <w:vAlign w:val="center"/>
                </w:tcPr>
                <w:p>
                  <w:pPr>
                    <w:jc w:val="center"/>
                    <w:rPr>
                      <w:b/>
                      <w:bCs/>
                      <w:szCs w:val="21"/>
                    </w:rPr>
                  </w:pPr>
                  <w:r>
                    <w:rPr>
                      <w:b/>
                      <w:bCs/>
                      <w:szCs w:val="21"/>
                    </w:rPr>
                    <w:t>1</w:t>
                  </w:r>
                </w:p>
              </w:tc>
              <w:tc>
                <w:tcPr>
                  <w:tcW w:w="2276" w:type="pct"/>
                  <w:vAlign w:val="center"/>
                </w:tcPr>
                <w:p>
                  <w:pPr>
                    <w:rPr>
                      <w:szCs w:val="21"/>
                    </w:rPr>
                  </w:pPr>
                  <w:r>
                    <w:rPr>
                      <w:szCs w:val="21"/>
                    </w:rPr>
                    <w:t>页岩气开采产生的固体废物应实行全过程管理，并按照“减量化、资源化、无害化”的原则，减少固体废物的产生量，并对其进行资源化利用和无害化处理处置。</w:t>
                  </w:r>
                </w:p>
              </w:tc>
              <w:tc>
                <w:tcPr>
                  <w:tcW w:w="1612" w:type="pct"/>
                  <w:vAlign w:val="center"/>
                </w:tcPr>
                <w:p>
                  <w:pPr>
                    <w:rPr>
                      <w:b/>
                      <w:bCs/>
                      <w:szCs w:val="21"/>
                    </w:rPr>
                  </w:pPr>
                  <w:bookmarkStart w:id="5" w:name="_Hlk149126016"/>
                  <w:r>
                    <w:rPr>
                      <w:b/>
                      <w:bCs/>
                      <w:szCs w:val="21"/>
                    </w:rPr>
                    <w:t>本项目利用</w:t>
                  </w:r>
                  <w:r>
                    <w:rPr>
                      <w:rFonts w:hint="eastAsia"/>
                      <w:b/>
                      <w:bCs/>
                      <w:szCs w:val="21"/>
                    </w:rPr>
                    <w:t>永津环保公司</w:t>
                  </w:r>
                  <w:r>
                    <w:rPr>
                      <w:b/>
                      <w:bCs/>
                      <w:szCs w:val="21"/>
                    </w:rPr>
                    <w:t>油基岩屑厌氧热回收处理后</w:t>
                  </w:r>
                  <w:r>
                    <w:rPr>
                      <w:rFonts w:hint="eastAsia"/>
                      <w:b/>
                      <w:bCs/>
                      <w:szCs w:val="21"/>
                    </w:rPr>
                    <w:t>产生</w:t>
                  </w:r>
                  <w:r>
                    <w:rPr>
                      <w:b/>
                      <w:bCs/>
                      <w:szCs w:val="21"/>
                    </w:rPr>
                    <w:t>的干渣</w:t>
                  </w:r>
                  <w:bookmarkEnd w:id="5"/>
                  <w:r>
                    <w:rPr>
                      <w:b/>
                      <w:bCs/>
                      <w:szCs w:val="21"/>
                    </w:rPr>
                    <w:t>制砖，做到了对油基岩屑的“减量化、资源化、无害化”的原则，符合技术要求。</w:t>
                  </w:r>
                </w:p>
              </w:tc>
              <w:tc>
                <w:tcPr>
                  <w:tcW w:w="616" w:type="pct"/>
                  <w:vAlign w:val="center"/>
                </w:tcPr>
                <w:p>
                  <w:pPr>
                    <w:rPr>
                      <w:b/>
                      <w:bCs/>
                      <w:szCs w:val="21"/>
                    </w:rPr>
                  </w:pPr>
                  <w:r>
                    <w:rPr>
                      <w:b/>
                      <w:bCs/>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496" w:type="pct"/>
                  <w:vAlign w:val="center"/>
                </w:tcPr>
                <w:p>
                  <w:pPr>
                    <w:jc w:val="center"/>
                    <w:rPr>
                      <w:b/>
                      <w:bCs/>
                      <w:szCs w:val="21"/>
                    </w:rPr>
                  </w:pPr>
                  <w:r>
                    <w:rPr>
                      <w:b/>
                      <w:bCs/>
                      <w:szCs w:val="21"/>
                    </w:rPr>
                    <w:t>2</w:t>
                  </w:r>
                </w:p>
              </w:tc>
              <w:tc>
                <w:tcPr>
                  <w:tcW w:w="2276" w:type="pct"/>
                  <w:vAlign w:val="center"/>
                </w:tcPr>
                <w:p>
                  <w:pPr>
                    <w:rPr>
                      <w:szCs w:val="21"/>
                    </w:rPr>
                  </w:pPr>
                  <w:r>
                    <w:rPr>
                      <w:szCs w:val="21"/>
                    </w:rPr>
                    <w:t>油基岩屑处置后的产物若符合相关国家污染物排放(控制)标准或技术规范要求，且符合国家、地方制定或行业通行的被替代原料生产的产品质量标准的，不作为固体废物管理，按照相应的产品管理，除此之外，均按危险废物进行管理；国家或地方法律法规、标准等另有规定的从其规定。</w:t>
                  </w:r>
                </w:p>
              </w:tc>
              <w:tc>
                <w:tcPr>
                  <w:tcW w:w="1612" w:type="pct"/>
                  <w:vAlign w:val="center"/>
                </w:tcPr>
                <w:p>
                  <w:pPr>
                    <w:rPr>
                      <w:b/>
                      <w:bCs/>
                      <w:szCs w:val="21"/>
                    </w:rPr>
                  </w:pPr>
                  <w:r>
                    <w:rPr>
                      <w:b/>
                      <w:bCs/>
                      <w:szCs w:val="21"/>
                    </w:rPr>
                    <w:t>本项目利用</w:t>
                  </w:r>
                  <w:r>
                    <w:rPr>
                      <w:rFonts w:hint="eastAsia"/>
                      <w:b/>
                      <w:bCs/>
                      <w:szCs w:val="21"/>
                    </w:rPr>
                    <w:t>永津环保公司</w:t>
                  </w:r>
                  <w:r>
                    <w:rPr>
                      <w:b/>
                      <w:bCs/>
                      <w:szCs w:val="21"/>
                    </w:rPr>
                    <w:t>油基岩屑厌氧热回收处理后的干渣经鉴定不属于危废，生产出来的灰砂砖满足《蒸压灰砂实心砖和实心砌块》（GB/T11945-2019）质量要求</w:t>
                  </w:r>
                </w:p>
              </w:tc>
              <w:tc>
                <w:tcPr>
                  <w:tcW w:w="616" w:type="pct"/>
                  <w:vAlign w:val="center"/>
                </w:tcPr>
                <w:p>
                  <w:pPr>
                    <w:rPr>
                      <w:b/>
                      <w:bCs/>
                      <w:szCs w:val="21"/>
                    </w:rPr>
                  </w:pPr>
                  <w:r>
                    <w:rPr>
                      <w:b/>
                      <w:bCs/>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4" w:hRule="atLeast"/>
                <w:jc w:val="center"/>
              </w:trPr>
              <w:tc>
                <w:tcPr>
                  <w:tcW w:w="496" w:type="pct"/>
                  <w:vAlign w:val="center"/>
                </w:tcPr>
                <w:p>
                  <w:pPr>
                    <w:jc w:val="center"/>
                    <w:rPr>
                      <w:b/>
                      <w:bCs/>
                      <w:szCs w:val="21"/>
                    </w:rPr>
                  </w:pPr>
                  <w:r>
                    <w:rPr>
                      <w:b/>
                      <w:bCs/>
                      <w:szCs w:val="21"/>
                    </w:rPr>
                    <w:t>3</w:t>
                  </w:r>
                </w:p>
              </w:tc>
              <w:tc>
                <w:tcPr>
                  <w:tcW w:w="2276" w:type="pct"/>
                  <w:vAlign w:val="center"/>
                </w:tcPr>
                <w:p>
                  <w:pPr>
                    <w:rPr>
                      <w:szCs w:val="21"/>
                    </w:rPr>
                  </w:pPr>
                  <w:r>
                    <w:rPr>
                      <w:szCs w:val="21"/>
                    </w:rPr>
                    <w:t>固体废物处理处置过程应符合国家和地方污染控制标准及相关技术规范要求，避免和减少二次污染。对产生的二次污染，应按照国家和地方环境保护法规和标准的规定进行治理。</w:t>
                  </w:r>
                </w:p>
              </w:tc>
              <w:tc>
                <w:tcPr>
                  <w:tcW w:w="1612" w:type="pct"/>
                  <w:vAlign w:val="center"/>
                </w:tcPr>
                <w:p>
                  <w:pPr>
                    <w:rPr>
                      <w:b/>
                      <w:bCs/>
                      <w:szCs w:val="21"/>
                    </w:rPr>
                  </w:pPr>
                  <w:r>
                    <w:rPr>
                      <w:b/>
                      <w:bCs/>
                      <w:szCs w:val="21"/>
                    </w:rPr>
                    <w:t>项目为利用</w:t>
                  </w:r>
                  <w:r>
                    <w:rPr>
                      <w:rFonts w:hint="eastAsia"/>
                      <w:b/>
                      <w:bCs/>
                      <w:szCs w:val="21"/>
                    </w:rPr>
                    <w:t>永津环保公司</w:t>
                  </w:r>
                  <w:r>
                    <w:rPr>
                      <w:b/>
                      <w:bCs/>
                      <w:szCs w:val="21"/>
                    </w:rPr>
                    <w:t>油基岩屑厌氧热回收处理后的干渣生产灰砂砖，不存在油基岩屑的二次污染。</w:t>
                  </w:r>
                </w:p>
              </w:tc>
              <w:tc>
                <w:tcPr>
                  <w:tcW w:w="616" w:type="pct"/>
                  <w:vAlign w:val="center"/>
                </w:tcPr>
                <w:p>
                  <w:pPr>
                    <w:rPr>
                      <w:b/>
                      <w:bCs/>
                      <w:szCs w:val="21"/>
                    </w:rPr>
                  </w:pPr>
                  <w:r>
                    <w:rPr>
                      <w:b/>
                      <w:bCs/>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9" w:hRule="atLeast"/>
                <w:jc w:val="center"/>
              </w:trPr>
              <w:tc>
                <w:tcPr>
                  <w:tcW w:w="496" w:type="pct"/>
                  <w:vAlign w:val="center"/>
                </w:tcPr>
                <w:p>
                  <w:pPr>
                    <w:jc w:val="center"/>
                    <w:rPr>
                      <w:b/>
                      <w:bCs/>
                      <w:szCs w:val="21"/>
                    </w:rPr>
                  </w:pPr>
                  <w:r>
                    <w:rPr>
                      <w:b/>
                      <w:bCs/>
                      <w:szCs w:val="21"/>
                    </w:rPr>
                    <w:t>4</w:t>
                  </w:r>
                </w:p>
              </w:tc>
              <w:tc>
                <w:tcPr>
                  <w:tcW w:w="2276" w:type="pct"/>
                  <w:vAlign w:val="center"/>
                </w:tcPr>
                <w:p>
                  <w:pPr>
                    <w:rPr>
                      <w:szCs w:val="21"/>
                    </w:rPr>
                  </w:pPr>
                  <w:r>
                    <w:rPr>
                      <w:szCs w:val="21"/>
                    </w:rPr>
                    <w:t>固体废物收集、贮存、处理处置设施和场所应按照相关标准规范和环境影响评价文件的要求采取防渗措施，并定期开展跟踪监测。</w:t>
                  </w:r>
                </w:p>
              </w:tc>
              <w:tc>
                <w:tcPr>
                  <w:tcW w:w="1612" w:type="pct"/>
                  <w:vAlign w:val="center"/>
                </w:tcPr>
                <w:p>
                  <w:pPr>
                    <w:rPr>
                      <w:b/>
                      <w:bCs/>
                      <w:szCs w:val="21"/>
                    </w:rPr>
                  </w:pPr>
                  <w:r>
                    <w:rPr>
                      <w:b/>
                      <w:bCs/>
                      <w:szCs w:val="21"/>
                    </w:rPr>
                    <w:t>本项目干渣</w:t>
                  </w:r>
                  <w:r>
                    <w:rPr>
                      <w:rFonts w:hint="eastAsia"/>
                      <w:b/>
                      <w:bCs/>
                      <w:szCs w:val="21"/>
                    </w:rPr>
                    <w:t>经密闭罐车运至厂区后，直接泵入密闭筒仓内，密闭筒仓位于厂房内，具有防渗功能</w:t>
                  </w:r>
                  <w:r>
                    <w:rPr>
                      <w:b/>
                      <w:bCs/>
                      <w:szCs w:val="21"/>
                    </w:rPr>
                    <w:t>。</w:t>
                  </w:r>
                </w:p>
              </w:tc>
              <w:tc>
                <w:tcPr>
                  <w:tcW w:w="616" w:type="pct"/>
                  <w:vAlign w:val="center"/>
                </w:tcPr>
                <w:p>
                  <w:pPr>
                    <w:rPr>
                      <w:b/>
                      <w:bCs/>
                      <w:szCs w:val="21"/>
                    </w:rPr>
                  </w:pPr>
                  <w:r>
                    <w:rPr>
                      <w:b/>
                      <w:bCs/>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8" w:hRule="atLeast"/>
                <w:jc w:val="center"/>
              </w:trPr>
              <w:tc>
                <w:tcPr>
                  <w:tcW w:w="496" w:type="pct"/>
                  <w:vAlign w:val="center"/>
                </w:tcPr>
                <w:p>
                  <w:pPr>
                    <w:jc w:val="center"/>
                    <w:rPr>
                      <w:b/>
                      <w:bCs/>
                      <w:szCs w:val="21"/>
                    </w:rPr>
                  </w:pPr>
                  <w:r>
                    <w:rPr>
                      <w:b/>
                      <w:bCs/>
                      <w:szCs w:val="21"/>
                    </w:rPr>
                    <w:t>5</w:t>
                  </w:r>
                </w:p>
              </w:tc>
              <w:tc>
                <w:tcPr>
                  <w:tcW w:w="2276" w:type="pct"/>
                  <w:vAlign w:val="center"/>
                </w:tcPr>
                <w:p>
                  <w:pPr>
                    <w:rPr>
                      <w:szCs w:val="21"/>
                    </w:rPr>
                  </w:pPr>
                  <w:r>
                    <w:rPr>
                      <w:szCs w:val="21"/>
                    </w:rPr>
                    <w:t>严格执行危险废物转移联单制度。转移危险废物的（向县内本单位转移除外），危险废物产生单位必须按照相关规定填写危险废物转移联单。</w:t>
                  </w:r>
                </w:p>
              </w:tc>
              <w:tc>
                <w:tcPr>
                  <w:tcW w:w="1612" w:type="pct"/>
                  <w:vAlign w:val="center"/>
                </w:tcPr>
                <w:p>
                  <w:pPr>
                    <w:rPr>
                      <w:b/>
                      <w:bCs/>
                      <w:szCs w:val="21"/>
                    </w:rPr>
                  </w:pPr>
                  <w:r>
                    <w:rPr>
                      <w:b/>
                      <w:bCs/>
                      <w:szCs w:val="21"/>
                    </w:rPr>
                    <w:t>项目不涉及危险废物。</w:t>
                  </w:r>
                </w:p>
              </w:tc>
              <w:tc>
                <w:tcPr>
                  <w:tcW w:w="616" w:type="pct"/>
                  <w:vAlign w:val="center"/>
                </w:tcPr>
                <w:p>
                  <w:pPr>
                    <w:rPr>
                      <w:b/>
                      <w:bCs/>
                      <w:szCs w:val="21"/>
                    </w:rPr>
                  </w:pPr>
                  <w:r>
                    <w:rPr>
                      <w:b/>
                      <w:bCs/>
                      <w:szCs w:val="21"/>
                    </w:rPr>
                    <w:t>符合。</w:t>
                  </w:r>
                </w:p>
              </w:tc>
            </w:tr>
          </w:tbl>
          <w:p>
            <w:pPr>
              <w:spacing w:before="120" w:beforeLines="50" w:line="360" w:lineRule="auto"/>
              <w:ind w:left="172" w:leftChars="82" w:firstLine="284" w:firstLineChars="118"/>
              <w:rPr>
                <w:b/>
                <w:bCs/>
                <w:sz w:val="24"/>
              </w:rPr>
            </w:pPr>
            <w:r>
              <w:rPr>
                <w:b/>
                <w:bCs/>
                <w:sz w:val="24"/>
              </w:rPr>
              <w:t>4.3项目与相关固废处置标准等的</w:t>
            </w:r>
            <w:r>
              <w:rPr>
                <w:rFonts w:hint="eastAsia"/>
                <w:b/>
                <w:bCs/>
                <w:sz w:val="24"/>
                <w:lang w:eastAsia="zh-CN"/>
              </w:rPr>
              <w:t>符</w:t>
            </w:r>
            <w:r>
              <w:rPr>
                <w:b/>
                <w:bCs/>
                <w:sz w:val="24"/>
              </w:rPr>
              <w:t>合性分析</w:t>
            </w:r>
          </w:p>
          <w:p>
            <w:pPr>
              <w:spacing w:line="360" w:lineRule="auto"/>
              <w:ind w:left="172" w:leftChars="82" w:firstLine="283" w:firstLineChars="118"/>
              <w:rPr>
                <w:sz w:val="24"/>
              </w:rPr>
            </w:pPr>
            <w:r>
              <w:rPr>
                <w:sz w:val="24"/>
              </w:rPr>
              <w:t>本次改建后，将利用</w:t>
            </w:r>
            <w:r>
              <w:rPr>
                <w:rFonts w:eastAsiaTheme="minorEastAsia"/>
                <w:sz w:val="24"/>
              </w:rPr>
              <w:t>永津环保公司</w:t>
            </w:r>
            <w:r>
              <w:rPr>
                <w:sz w:val="24"/>
              </w:rPr>
              <w:t>油基岩屑厌氧热回收处理后的</w:t>
            </w:r>
            <w:r>
              <w:rPr>
                <w:rFonts w:hint="eastAsia"/>
                <w:sz w:val="24"/>
              </w:rPr>
              <w:t>一般固废</w:t>
            </w:r>
            <w:r>
              <w:rPr>
                <w:sz w:val="24"/>
              </w:rPr>
              <w:t>干渣为原料制砖，实现了固体废物的减量化、资源化、无害化处理，项目对干渣利用实施全过程控制。</w:t>
            </w:r>
          </w:p>
          <w:p>
            <w:pPr>
              <w:spacing w:line="360" w:lineRule="auto"/>
              <w:jc w:val="center"/>
              <w:rPr>
                <w:b/>
                <w:bCs/>
                <w:sz w:val="24"/>
              </w:rPr>
            </w:pPr>
            <w:r>
              <w:rPr>
                <w:b/>
                <w:bCs/>
                <w:sz w:val="24"/>
              </w:rPr>
              <w:t>表1-11项目与相关固废处置标准等的</w:t>
            </w:r>
            <w:r>
              <w:rPr>
                <w:rFonts w:hint="eastAsia"/>
                <w:b/>
                <w:bCs/>
                <w:sz w:val="24"/>
                <w:lang w:eastAsia="zh-CN"/>
              </w:rPr>
              <w:t>符</w:t>
            </w:r>
            <w:r>
              <w:rPr>
                <w:b/>
                <w:bCs/>
                <w:sz w:val="24"/>
              </w:rPr>
              <w:t>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64"/>
              <w:gridCol w:w="3959"/>
              <w:gridCol w:w="134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b/>
                      <w:bCs/>
                      <w:szCs w:val="21"/>
                    </w:rPr>
                  </w:pPr>
                  <w:r>
                    <w:rPr>
                      <w:b/>
                      <w:bCs/>
                      <w:szCs w:val="21"/>
                    </w:rPr>
                    <w:t>序号</w:t>
                  </w:r>
                </w:p>
              </w:tc>
              <w:tc>
                <w:tcPr>
                  <w:tcW w:w="778" w:type="pct"/>
                  <w:vAlign w:val="center"/>
                </w:tcPr>
                <w:p>
                  <w:pPr>
                    <w:rPr>
                      <w:b/>
                      <w:bCs/>
                      <w:szCs w:val="21"/>
                    </w:rPr>
                  </w:pPr>
                  <w:r>
                    <w:rPr>
                      <w:b/>
                      <w:bCs/>
                      <w:szCs w:val="21"/>
                    </w:rPr>
                    <w:t>文件名称</w:t>
                  </w:r>
                </w:p>
              </w:tc>
              <w:tc>
                <w:tcPr>
                  <w:tcW w:w="2439" w:type="pct"/>
                  <w:vAlign w:val="center"/>
                </w:tcPr>
                <w:p>
                  <w:pPr>
                    <w:rPr>
                      <w:b/>
                      <w:bCs/>
                      <w:szCs w:val="21"/>
                    </w:rPr>
                  </w:pPr>
                  <w:r>
                    <w:rPr>
                      <w:b/>
                      <w:bCs/>
                      <w:szCs w:val="21"/>
                    </w:rPr>
                    <w:t>要求</w:t>
                  </w:r>
                </w:p>
              </w:tc>
              <w:tc>
                <w:tcPr>
                  <w:tcW w:w="828" w:type="pct"/>
                  <w:vAlign w:val="center"/>
                </w:tcPr>
                <w:p>
                  <w:pPr>
                    <w:rPr>
                      <w:b/>
                      <w:bCs/>
                      <w:szCs w:val="21"/>
                    </w:rPr>
                  </w:pPr>
                  <w:r>
                    <w:rPr>
                      <w:b/>
                      <w:bCs/>
                      <w:szCs w:val="21"/>
                    </w:rPr>
                    <w:t>本项目情况</w:t>
                  </w:r>
                </w:p>
              </w:tc>
              <w:tc>
                <w:tcPr>
                  <w:tcW w:w="483" w:type="pct"/>
                  <w:vAlign w:val="center"/>
                </w:tcPr>
                <w:p>
                  <w:pPr>
                    <w:rPr>
                      <w:b/>
                      <w:bCs/>
                      <w:szCs w:val="21"/>
                    </w:rPr>
                  </w:pPr>
                  <w:r>
                    <w:rPr>
                      <w:rFonts w:hint="eastAsia"/>
                      <w:b/>
                      <w:bCs/>
                      <w:szCs w:val="21"/>
                      <w:lang w:eastAsia="zh-CN"/>
                    </w:rPr>
                    <w:t>符</w:t>
                  </w:r>
                  <w:r>
                    <w:rPr>
                      <w:b/>
                      <w:bCs/>
                      <w:szCs w:val="21"/>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471" w:type="pct"/>
                  <w:vAlign w:val="center"/>
                </w:tcPr>
                <w:p>
                  <w:pPr>
                    <w:jc w:val="center"/>
                    <w:rPr>
                      <w:b/>
                      <w:bCs/>
                      <w:szCs w:val="21"/>
                    </w:rPr>
                  </w:pPr>
                  <w:r>
                    <w:rPr>
                      <w:b/>
                      <w:bCs/>
                      <w:szCs w:val="21"/>
                    </w:rPr>
                    <w:t>1</w:t>
                  </w:r>
                </w:p>
              </w:tc>
              <w:tc>
                <w:tcPr>
                  <w:tcW w:w="778" w:type="pct"/>
                  <w:vAlign w:val="center"/>
                </w:tcPr>
                <w:p>
                  <w:pPr>
                    <w:rPr>
                      <w:b/>
                      <w:bCs/>
                      <w:szCs w:val="21"/>
                    </w:rPr>
                  </w:pPr>
                  <w:r>
                    <w:rPr>
                      <w:b/>
                      <w:bCs/>
                      <w:szCs w:val="21"/>
                    </w:rPr>
                    <w:t>《固体废物处理处置工程技术导则》（HJ2035-2013）</w:t>
                  </w:r>
                </w:p>
              </w:tc>
              <w:tc>
                <w:tcPr>
                  <w:tcW w:w="2439" w:type="pct"/>
                  <w:vAlign w:val="center"/>
                </w:tcPr>
                <w:p>
                  <w:pPr>
                    <w:rPr>
                      <w:szCs w:val="21"/>
                    </w:rPr>
                  </w:pPr>
                  <w:r>
                    <w:rPr>
                      <w:szCs w:val="21"/>
                    </w:rPr>
                    <w:t>“固体废物处理处置应遵循减量化、资源化、无害化的原则，固体废物的产生、运输、贮存、处理和处置应实施全过程控制。”</w:t>
                  </w:r>
                </w:p>
              </w:tc>
              <w:tc>
                <w:tcPr>
                  <w:tcW w:w="828" w:type="pct"/>
                  <w:vMerge w:val="restart"/>
                  <w:vAlign w:val="center"/>
                </w:tcPr>
                <w:p>
                  <w:pPr>
                    <w:rPr>
                      <w:szCs w:val="21"/>
                    </w:rPr>
                  </w:pPr>
                  <w:r>
                    <w:rPr>
                      <w:rFonts w:hint="eastAsia"/>
                      <w:szCs w:val="21"/>
                    </w:rPr>
                    <w:t>永津环保公司</w:t>
                  </w:r>
                  <w:r>
                    <w:rPr>
                      <w:szCs w:val="21"/>
                    </w:rPr>
                    <w:t>油基岩屑厌氧热回收处理后的干渣为原料制砖，经鉴定，该干渣不具有危险特性，为一般固废，作为原料生产的产品满足相应质量标准，综合利用过程中配备废水废气噪声等污染</w:t>
                  </w:r>
                  <w:r>
                    <w:rPr>
                      <w:rFonts w:hint="eastAsia"/>
                      <w:szCs w:val="21"/>
                      <w:lang w:eastAsia="zh-CN"/>
                    </w:rPr>
                    <w:t>防治</w:t>
                  </w:r>
                  <w:r>
                    <w:rPr>
                      <w:szCs w:val="21"/>
                    </w:rPr>
                    <w:t>措施，污染物经治理后达标排放。</w:t>
                  </w:r>
                </w:p>
              </w:tc>
              <w:tc>
                <w:tcPr>
                  <w:tcW w:w="48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pPr>
                    <w:jc w:val="center"/>
                    <w:rPr>
                      <w:b/>
                      <w:bCs/>
                      <w:szCs w:val="21"/>
                    </w:rPr>
                  </w:pPr>
                  <w:r>
                    <w:rPr>
                      <w:b/>
                      <w:bCs/>
                      <w:szCs w:val="21"/>
                    </w:rPr>
                    <w:t>2</w:t>
                  </w:r>
                </w:p>
              </w:tc>
              <w:tc>
                <w:tcPr>
                  <w:tcW w:w="778" w:type="pct"/>
                  <w:vMerge w:val="restart"/>
                  <w:vAlign w:val="center"/>
                </w:tcPr>
                <w:p>
                  <w:pPr>
                    <w:rPr>
                      <w:b/>
                      <w:bCs/>
                      <w:szCs w:val="21"/>
                    </w:rPr>
                  </w:pPr>
                  <w:r>
                    <w:rPr>
                      <w:b/>
                      <w:bCs/>
                      <w:szCs w:val="21"/>
                    </w:rPr>
                    <w:t>四川省《天然气开采含油污泥综合利用后剩余固相利用处置标准》</w:t>
                  </w:r>
                </w:p>
              </w:tc>
              <w:tc>
                <w:tcPr>
                  <w:tcW w:w="2439" w:type="pct"/>
                  <w:vAlign w:val="center"/>
                </w:tcPr>
                <w:p>
                  <w:pPr>
                    <w:rPr>
                      <w:szCs w:val="21"/>
                    </w:rPr>
                  </w:pPr>
                  <w:r>
                    <w:rPr>
                      <w:szCs w:val="21"/>
                    </w:rPr>
                    <w:t>符合本标准限值要求的剩余固相的再生利用及建材利用应满足HJ 1091</w:t>
                  </w:r>
                </w:p>
              </w:tc>
              <w:tc>
                <w:tcPr>
                  <w:tcW w:w="828" w:type="pct"/>
                  <w:vMerge w:val="continue"/>
                </w:tcPr>
                <w:p>
                  <w:pPr>
                    <w:rPr>
                      <w:szCs w:val="21"/>
                    </w:rPr>
                  </w:pPr>
                </w:p>
              </w:tc>
              <w:tc>
                <w:tcPr>
                  <w:tcW w:w="48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pPr>
                    <w:jc w:val="center"/>
                    <w:rPr>
                      <w:szCs w:val="21"/>
                    </w:rPr>
                  </w:pPr>
                </w:p>
              </w:tc>
              <w:tc>
                <w:tcPr>
                  <w:tcW w:w="778" w:type="pct"/>
                  <w:vMerge w:val="continue"/>
                  <w:vAlign w:val="center"/>
                </w:tcPr>
                <w:p>
                  <w:pPr>
                    <w:rPr>
                      <w:szCs w:val="21"/>
                    </w:rPr>
                  </w:pPr>
                </w:p>
              </w:tc>
              <w:tc>
                <w:tcPr>
                  <w:tcW w:w="2439" w:type="pct"/>
                  <w:vAlign w:val="center"/>
                </w:tcPr>
                <w:p>
                  <w:pPr>
                    <w:rPr>
                      <w:szCs w:val="21"/>
                    </w:rPr>
                  </w:pPr>
                  <w:r>
                    <w:rPr>
                      <w:szCs w:val="21"/>
                    </w:rPr>
                    <w:t>符合本标准限值要求的剩余固相的利用处置过程中排放的废水、废气、噪声等污染物应符合国家和地方相应的排放标准要求，其中大气排放特征污染物挥发性有机物（VOCs）应符合DB51/2377 的排放要求</w:t>
                  </w:r>
                </w:p>
              </w:tc>
              <w:tc>
                <w:tcPr>
                  <w:tcW w:w="828" w:type="pct"/>
                  <w:vMerge w:val="continue"/>
                </w:tcPr>
                <w:p>
                  <w:pPr>
                    <w:rPr>
                      <w:szCs w:val="21"/>
                    </w:rPr>
                  </w:pPr>
                </w:p>
              </w:tc>
              <w:tc>
                <w:tcPr>
                  <w:tcW w:w="48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pPr>
                    <w:jc w:val="center"/>
                    <w:rPr>
                      <w:b/>
                      <w:bCs/>
                      <w:szCs w:val="21"/>
                    </w:rPr>
                  </w:pPr>
                  <w:r>
                    <w:rPr>
                      <w:b/>
                      <w:bCs/>
                      <w:szCs w:val="21"/>
                    </w:rPr>
                    <w:t>3</w:t>
                  </w:r>
                </w:p>
              </w:tc>
              <w:tc>
                <w:tcPr>
                  <w:tcW w:w="778" w:type="pct"/>
                  <w:vMerge w:val="restart"/>
                  <w:vAlign w:val="center"/>
                </w:tcPr>
                <w:p>
                  <w:pPr>
                    <w:rPr>
                      <w:b/>
                      <w:bCs/>
                      <w:szCs w:val="21"/>
                    </w:rPr>
                  </w:pPr>
                  <w:r>
                    <w:rPr>
                      <w:b/>
                      <w:bCs/>
                      <w:szCs w:val="21"/>
                    </w:rPr>
                    <w:t>《固体废物再生利用污染防治技术导则》</w:t>
                  </w:r>
                </w:p>
              </w:tc>
              <w:tc>
                <w:tcPr>
                  <w:tcW w:w="2439" w:type="pct"/>
                  <w:vAlign w:val="center"/>
                </w:tcPr>
                <w:p>
                  <w:pPr>
                    <w:rPr>
                      <w:szCs w:val="21"/>
                    </w:rPr>
                  </w:pPr>
                  <w:r>
                    <w:rPr>
                      <w:szCs w:val="21"/>
                    </w:rPr>
                    <w:t>固体废物建材利用设施应配备必要的废气处理、防止或降低噪声与粉尘处理等污染防治装置。</w:t>
                  </w:r>
                </w:p>
              </w:tc>
              <w:tc>
                <w:tcPr>
                  <w:tcW w:w="828" w:type="pct"/>
                  <w:vMerge w:val="continue"/>
                </w:tcPr>
                <w:p>
                  <w:pPr>
                    <w:rPr>
                      <w:szCs w:val="21"/>
                    </w:rPr>
                  </w:pPr>
                </w:p>
              </w:tc>
              <w:tc>
                <w:tcPr>
                  <w:tcW w:w="48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pPr>
                    <w:jc w:val="center"/>
                    <w:rPr>
                      <w:szCs w:val="21"/>
                    </w:rPr>
                  </w:pPr>
                </w:p>
              </w:tc>
              <w:tc>
                <w:tcPr>
                  <w:tcW w:w="778" w:type="pct"/>
                  <w:vMerge w:val="continue"/>
                  <w:vAlign w:val="center"/>
                </w:tcPr>
                <w:p>
                  <w:pPr>
                    <w:rPr>
                      <w:szCs w:val="21"/>
                    </w:rPr>
                  </w:pPr>
                </w:p>
              </w:tc>
              <w:tc>
                <w:tcPr>
                  <w:tcW w:w="2439" w:type="pct"/>
                  <w:vAlign w:val="center"/>
                </w:tcPr>
                <w:p>
                  <w:pPr>
                    <w:rPr>
                      <w:szCs w:val="21"/>
                    </w:rPr>
                  </w:pPr>
                  <w:r>
                    <w:rPr>
                      <w:szCs w:val="21"/>
                    </w:rPr>
                    <w:t>利用固体废物生产水泥过程及产品的污染控制应满足GB 30485、HJ 662与GB30760的要求。</w:t>
                  </w:r>
                </w:p>
              </w:tc>
              <w:tc>
                <w:tcPr>
                  <w:tcW w:w="828" w:type="pct"/>
                  <w:vMerge w:val="continue"/>
                </w:tcPr>
                <w:p>
                  <w:pPr>
                    <w:rPr>
                      <w:szCs w:val="21"/>
                    </w:rPr>
                  </w:pPr>
                </w:p>
              </w:tc>
              <w:tc>
                <w:tcPr>
                  <w:tcW w:w="483" w:type="pct"/>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pPr>
                    <w:jc w:val="center"/>
                    <w:rPr>
                      <w:szCs w:val="21"/>
                    </w:rPr>
                  </w:pPr>
                </w:p>
              </w:tc>
              <w:tc>
                <w:tcPr>
                  <w:tcW w:w="778" w:type="pct"/>
                  <w:vMerge w:val="continue"/>
                  <w:vAlign w:val="center"/>
                </w:tcPr>
                <w:p>
                  <w:pPr>
                    <w:rPr>
                      <w:szCs w:val="21"/>
                    </w:rPr>
                  </w:pPr>
                </w:p>
              </w:tc>
              <w:tc>
                <w:tcPr>
                  <w:tcW w:w="2439" w:type="pct"/>
                  <w:vAlign w:val="center"/>
                </w:tcPr>
                <w:p>
                  <w:pPr>
                    <w:rPr>
                      <w:szCs w:val="21"/>
                    </w:rPr>
                  </w:pPr>
                  <w:r>
                    <w:rPr>
                      <w:szCs w:val="21"/>
                    </w:rPr>
                    <w:t>利用固体废物生产砖瓦、轻骨料、集料、玻璃、陶瓷、陶粒、路基材料等建材过程的污染控制执行相关行业污染物排放标准，相关产品中有害物质含量参照GB30760的要求执行。6.4固体废物建材利用过程中的再生利用工艺单元的污染控制应分别满足本标准中相应再生利用工艺单元的要求。</w:t>
                  </w:r>
                </w:p>
              </w:tc>
              <w:tc>
                <w:tcPr>
                  <w:tcW w:w="828" w:type="pct"/>
                  <w:vMerge w:val="continue"/>
                </w:tcPr>
                <w:p>
                  <w:pPr>
                    <w:rPr>
                      <w:szCs w:val="21"/>
                    </w:rPr>
                  </w:pPr>
                </w:p>
              </w:tc>
              <w:tc>
                <w:tcPr>
                  <w:tcW w:w="483" w:type="pct"/>
                  <w:vAlign w:val="center"/>
                </w:tcPr>
                <w:p>
                  <w:pPr>
                    <w:jc w:val="center"/>
                    <w:rPr>
                      <w:szCs w:val="21"/>
                    </w:rPr>
                  </w:pPr>
                  <w:r>
                    <w:rPr>
                      <w:szCs w:val="21"/>
                    </w:rPr>
                    <w:t>符合</w:t>
                  </w:r>
                </w:p>
              </w:tc>
            </w:tr>
          </w:tbl>
          <w:p>
            <w:pPr>
              <w:spacing w:before="120" w:beforeLines="50" w:line="360" w:lineRule="auto"/>
              <w:ind w:firstLine="482" w:firstLineChars="200"/>
              <w:rPr>
                <w:b/>
                <w:bCs/>
                <w:sz w:val="24"/>
              </w:rPr>
            </w:pPr>
            <w:r>
              <w:rPr>
                <w:b/>
                <w:bCs/>
                <w:sz w:val="24"/>
              </w:rPr>
              <w:t>4.4项目与关于印发《关于加快推动砖瓦工业转型发展的指导意见》的通知（中砖协字〔2022〕16号）的符合性分析</w:t>
            </w:r>
          </w:p>
          <w:p>
            <w:pPr>
              <w:spacing w:line="360" w:lineRule="auto"/>
              <w:ind w:firstLine="480" w:firstLineChars="200"/>
              <w:rPr>
                <w:sz w:val="24"/>
              </w:rPr>
            </w:pPr>
            <w:r>
              <w:rPr>
                <w:sz w:val="24"/>
              </w:rPr>
              <w:t>根据《关于加快推动砖瓦工业转型发展的指导意见》“四、发 展重点和任务（二）扩大固废利用领域，打造城市运行不可或缺的保障产业”中完善固废利用技术、工艺和装备。研究和开发利用烧结砖瓦窑炉协同处置废弃物的成套技术装备，加强原料配料基础研究和砖瓦领域固废适用性技术研发，积极推进有条件的地区因势利导、因地制宜开发固废处置与资源化综合利用新技术、新产品，鼓励砖瓦企业利用工业固废、矿物尾渣、生活垃圾焚烧残渣、河湖淤泥、城市污泥、工业淤泥、农林废弃物、食品工业残渣等替代原燃料，支持利用建筑垃圾、工业污染土等生产砖瓦制品，进一步扩大资源综合利用范围，提高原材料中固废掺配比例，减少对天然资源的消耗。</w:t>
            </w:r>
          </w:p>
          <w:p>
            <w:pPr>
              <w:spacing w:line="360" w:lineRule="auto"/>
              <w:ind w:firstLine="482" w:firstLineChars="200"/>
              <w:rPr>
                <w:b/>
                <w:bCs/>
                <w:sz w:val="24"/>
              </w:rPr>
            </w:pPr>
            <w:r>
              <w:rPr>
                <w:b/>
                <w:bCs/>
                <w:sz w:val="24"/>
              </w:rPr>
              <w:t>本项目采用经鉴定后为一般工业固体废物的干渣作为原料进行制砖，可有效促进固废资源化利用。因此，项目与关于印发《关于加快推动砖瓦工业转型发展的指导意见》的通知（中砖协字〔2022〕16号）相符。</w:t>
            </w:r>
          </w:p>
          <w:p>
            <w:pPr>
              <w:spacing w:line="360" w:lineRule="auto"/>
              <w:ind w:firstLine="482" w:firstLineChars="200"/>
              <w:rPr>
                <w:b/>
                <w:bCs/>
                <w:sz w:val="24"/>
              </w:rPr>
            </w:pPr>
            <w:r>
              <w:rPr>
                <w:b/>
                <w:bCs/>
                <w:sz w:val="24"/>
              </w:rPr>
              <w:t>4.5项目与《四川省大气水土壤污染防治“三大战役”领导小组办公室关于深入开展砖瓦行业企业大气污染防治整治工作的通知（川污防“三大战役”办〔2017〕25号）》及《关于开展砖瓦行业环保专项执法检查的通知》的符合性见下表：</w:t>
            </w:r>
          </w:p>
          <w:p>
            <w:pPr>
              <w:pStyle w:val="2"/>
              <w:ind w:firstLine="482"/>
              <w:jc w:val="center"/>
              <w:rPr>
                <w:b/>
                <w:bCs/>
                <w:sz w:val="24"/>
              </w:rPr>
            </w:pPr>
            <w:r>
              <w:rPr>
                <w:b/>
                <w:bCs/>
                <w:sz w:val="24"/>
              </w:rPr>
              <w:t>表1-12 项目与上述砖瓦行业通知的符合性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876"/>
              <w:gridCol w:w="2808"/>
              <w:gridCol w:w="2768"/>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rPr>
                      <w:b/>
                      <w:bCs/>
                      <w:szCs w:val="21"/>
                    </w:rPr>
                  </w:pPr>
                  <w:r>
                    <w:rPr>
                      <w:b/>
                      <w:bCs/>
                      <w:szCs w:val="21"/>
                    </w:rPr>
                    <w:t>文件名称</w:t>
                  </w:r>
                </w:p>
              </w:tc>
              <w:tc>
                <w:tcPr>
                  <w:tcW w:w="540" w:type="pct"/>
                  <w:vAlign w:val="center"/>
                </w:tcPr>
                <w:p>
                  <w:pPr>
                    <w:rPr>
                      <w:b/>
                      <w:bCs/>
                      <w:szCs w:val="21"/>
                    </w:rPr>
                  </w:pPr>
                  <w:r>
                    <w:rPr>
                      <w:b/>
                      <w:bCs/>
                      <w:szCs w:val="21"/>
                    </w:rPr>
                    <w:t>工作内容</w:t>
                  </w:r>
                </w:p>
              </w:tc>
              <w:tc>
                <w:tcPr>
                  <w:tcW w:w="1730" w:type="pct"/>
                  <w:vAlign w:val="center"/>
                </w:tcPr>
                <w:p>
                  <w:pPr>
                    <w:rPr>
                      <w:b/>
                      <w:bCs/>
                      <w:szCs w:val="21"/>
                    </w:rPr>
                  </w:pPr>
                  <w:r>
                    <w:rPr>
                      <w:b/>
                      <w:bCs/>
                      <w:szCs w:val="21"/>
                    </w:rPr>
                    <w:t>详细</w:t>
                  </w:r>
                </w:p>
              </w:tc>
              <w:tc>
                <w:tcPr>
                  <w:tcW w:w="1705" w:type="pct"/>
                  <w:vAlign w:val="center"/>
                </w:tcPr>
                <w:p>
                  <w:pPr>
                    <w:rPr>
                      <w:b/>
                      <w:bCs/>
                      <w:szCs w:val="21"/>
                    </w:rPr>
                  </w:pPr>
                  <w:r>
                    <w:rPr>
                      <w:b/>
                      <w:bCs/>
                      <w:szCs w:val="21"/>
                    </w:rPr>
                    <w:t>本项目情况</w:t>
                  </w:r>
                </w:p>
              </w:tc>
              <w:tc>
                <w:tcPr>
                  <w:tcW w:w="483" w:type="pct"/>
                  <w:vAlign w:val="center"/>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pPr>
                    <w:rPr>
                      <w:b/>
                      <w:bCs/>
                      <w:szCs w:val="21"/>
                    </w:rPr>
                  </w:pPr>
                  <w:r>
                    <w:rPr>
                      <w:b/>
                      <w:bCs/>
                      <w:szCs w:val="21"/>
                    </w:rPr>
                    <w:t>深入开展砖瓦行业企业大气污染防治整治工作的通知</w:t>
                  </w:r>
                </w:p>
              </w:tc>
              <w:tc>
                <w:tcPr>
                  <w:tcW w:w="540" w:type="pct"/>
                  <w:vAlign w:val="center"/>
                </w:tcPr>
                <w:p>
                  <w:pPr>
                    <w:rPr>
                      <w:szCs w:val="21"/>
                    </w:rPr>
                  </w:pPr>
                  <w:r>
                    <w:rPr>
                      <w:szCs w:val="21"/>
                    </w:rPr>
                    <w:t>分类施策，彻底整治</w:t>
                  </w:r>
                </w:p>
              </w:tc>
              <w:tc>
                <w:tcPr>
                  <w:tcW w:w="1730" w:type="pct"/>
                  <w:vAlign w:val="center"/>
                </w:tcPr>
                <w:p>
                  <w:pPr>
                    <w:rPr>
                      <w:szCs w:val="21"/>
                    </w:rPr>
                  </w:pPr>
                  <w:r>
                    <w:rPr>
                      <w:szCs w:val="21"/>
                    </w:rPr>
                    <w:t>对符合产业政策和规划要求，但达不到排放标准要求的企业，实施综合整治</w:t>
                  </w:r>
                </w:p>
              </w:tc>
              <w:tc>
                <w:tcPr>
                  <w:tcW w:w="1705" w:type="pct"/>
                  <w:vAlign w:val="center"/>
                </w:tcPr>
                <w:p>
                  <w:pPr>
                    <w:rPr>
                      <w:szCs w:val="21"/>
                    </w:rPr>
                  </w:pPr>
                  <w:r>
                    <w:rPr>
                      <w:szCs w:val="21"/>
                    </w:rPr>
                    <w:t>项目配备布袋除尘、可实现稳定达标排放</w:t>
                  </w:r>
                </w:p>
              </w:tc>
              <w:tc>
                <w:tcPr>
                  <w:tcW w:w="483"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pPr>
                    <w:rPr>
                      <w:b/>
                      <w:bCs/>
                      <w:szCs w:val="21"/>
                    </w:rPr>
                  </w:pPr>
                </w:p>
              </w:tc>
              <w:tc>
                <w:tcPr>
                  <w:tcW w:w="540" w:type="pct"/>
                  <w:vMerge w:val="restart"/>
                  <w:vAlign w:val="center"/>
                </w:tcPr>
                <w:p>
                  <w:pPr>
                    <w:rPr>
                      <w:szCs w:val="21"/>
                    </w:rPr>
                  </w:pPr>
                  <w:r>
                    <w:rPr>
                      <w:szCs w:val="21"/>
                    </w:rPr>
                    <w:t>强化监管，严格执法</w:t>
                  </w:r>
                </w:p>
              </w:tc>
              <w:tc>
                <w:tcPr>
                  <w:tcW w:w="1730" w:type="pct"/>
                  <w:vAlign w:val="center"/>
                </w:tcPr>
                <w:p>
                  <w:pPr>
                    <w:rPr>
                      <w:szCs w:val="21"/>
                    </w:rPr>
                  </w:pPr>
                  <w:r>
                    <w:rPr>
                      <w:szCs w:val="21"/>
                    </w:rPr>
                    <w:t>严格执行环评制度</w:t>
                  </w:r>
                </w:p>
              </w:tc>
              <w:tc>
                <w:tcPr>
                  <w:tcW w:w="1705" w:type="pct"/>
                  <w:vAlign w:val="center"/>
                </w:tcPr>
                <w:p>
                  <w:pPr>
                    <w:rPr>
                      <w:szCs w:val="21"/>
                    </w:rPr>
                  </w:pPr>
                  <w:r>
                    <w:rPr>
                      <w:szCs w:val="21"/>
                    </w:rPr>
                    <w:t>企业正在积极执行环评手续，本次报告表编制工作就包含在内</w:t>
                  </w:r>
                </w:p>
              </w:tc>
              <w:tc>
                <w:tcPr>
                  <w:tcW w:w="483"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2" w:type="pct"/>
                  <w:vMerge w:val="continue"/>
                  <w:vAlign w:val="center"/>
                </w:tcPr>
                <w:p>
                  <w:pPr>
                    <w:rPr>
                      <w:b/>
                      <w:bCs/>
                      <w:szCs w:val="21"/>
                    </w:rPr>
                  </w:pPr>
                </w:p>
              </w:tc>
              <w:tc>
                <w:tcPr>
                  <w:tcW w:w="540" w:type="pct"/>
                  <w:vMerge w:val="continue"/>
                  <w:vAlign w:val="center"/>
                </w:tcPr>
                <w:p>
                  <w:pPr>
                    <w:rPr>
                      <w:szCs w:val="21"/>
                    </w:rPr>
                  </w:pPr>
                </w:p>
              </w:tc>
              <w:tc>
                <w:tcPr>
                  <w:tcW w:w="1730" w:type="pct"/>
                  <w:vAlign w:val="center"/>
                </w:tcPr>
                <w:p>
                  <w:pPr>
                    <w:rPr>
                      <w:szCs w:val="21"/>
                    </w:rPr>
                  </w:pPr>
                  <w:r>
                    <w:rPr>
                      <w:szCs w:val="21"/>
                    </w:rPr>
                    <w:t>严格执行产业政策，对不符合产业政策的企业一律关闭</w:t>
                  </w:r>
                </w:p>
              </w:tc>
              <w:tc>
                <w:tcPr>
                  <w:tcW w:w="1705" w:type="pct"/>
                  <w:vAlign w:val="center"/>
                </w:tcPr>
                <w:p>
                  <w:pPr>
                    <w:rPr>
                      <w:szCs w:val="21"/>
                    </w:rPr>
                  </w:pPr>
                  <w:r>
                    <w:rPr>
                      <w:szCs w:val="21"/>
                    </w:rPr>
                    <w:t>根据前述产业政策章节的分析本项目符合产业政策</w:t>
                  </w:r>
                </w:p>
              </w:tc>
              <w:tc>
                <w:tcPr>
                  <w:tcW w:w="483"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pPr>
                    <w:rPr>
                      <w:b/>
                      <w:bCs/>
                      <w:szCs w:val="21"/>
                    </w:rPr>
                  </w:pPr>
                  <w:r>
                    <w:rPr>
                      <w:b/>
                      <w:bCs/>
                      <w:szCs w:val="21"/>
                    </w:rPr>
                    <w:t>关于开展砖瓦行业环保专项执法检查的通知</w:t>
                  </w:r>
                </w:p>
              </w:tc>
              <w:tc>
                <w:tcPr>
                  <w:tcW w:w="540" w:type="pct"/>
                  <w:vAlign w:val="center"/>
                </w:tcPr>
                <w:p>
                  <w:pPr>
                    <w:rPr>
                      <w:szCs w:val="21"/>
                    </w:rPr>
                  </w:pPr>
                  <w:r>
                    <w:rPr>
                      <w:szCs w:val="21"/>
                    </w:rPr>
                    <w:t>环评制度执行情况</w:t>
                  </w:r>
                </w:p>
              </w:tc>
              <w:tc>
                <w:tcPr>
                  <w:tcW w:w="1730" w:type="pct"/>
                  <w:vAlign w:val="center"/>
                </w:tcPr>
                <w:p>
                  <w:pPr>
                    <w:rPr>
                      <w:szCs w:val="21"/>
                    </w:rPr>
                  </w:pPr>
                  <w:r>
                    <w:rPr>
                      <w:szCs w:val="21"/>
                    </w:rPr>
                    <w:t>检查企业建设项目环评制度执行情况</w:t>
                  </w:r>
                </w:p>
              </w:tc>
              <w:tc>
                <w:tcPr>
                  <w:tcW w:w="1705" w:type="pct"/>
                  <w:vAlign w:val="center"/>
                </w:tcPr>
                <w:p>
                  <w:pPr>
                    <w:rPr>
                      <w:szCs w:val="21"/>
                    </w:rPr>
                  </w:pPr>
                  <w:r>
                    <w:rPr>
                      <w:szCs w:val="21"/>
                    </w:rPr>
                    <w:t>项目原生产线已经取得环评批复</w:t>
                  </w:r>
                </w:p>
              </w:tc>
              <w:tc>
                <w:tcPr>
                  <w:tcW w:w="483"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pPr>
                    <w:rPr>
                      <w:szCs w:val="21"/>
                    </w:rPr>
                  </w:pPr>
                </w:p>
              </w:tc>
              <w:tc>
                <w:tcPr>
                  <w:tcW w:w="540" w:type="pct"/>
                  <w:vAlign w:val="center"/>
                </w:tcPr>
                <w:p>
                  <w:pPr>
                    <w:rPr>
                      <w:szCs w:val="21"/>
                    </w:rPr>
                  </w:pPr>
                  <w:r>
                    <w:rPr>
                      <w:szCs w:val="21"/>
                    </w:rPr>
                    <w:t>污染物防治</w:t>
                  </w:r>
                </w:p>
              </w:tc>
              <w:tc>
                <w:tcPr>
                  <w:tcW w:w="1730" w:type="pct"/>
                  <w:vAlign w:val="center"/>
                </w:tcPr>
                <w:p>
                  <w:pPr>
                    <w:rPr>
                      <w:szCs w:val="21"/>
                    </w:rPr>
                  </w:pPr>
                  <w:r>
                    <w:rPr>
                      <w:szCs w:val="21"/>
                    </w:rPr>
                    <w:t>原料、燃料破碎及制备成型工段各产尘点是否建设收尘装置和除尘设施，人工干燥及焙烧窑是否建设配套除尘和脱硫设施，是否建设有规范的排放口，各项防治污染设施是否正常运行</w:t>
                  </w:r>
                </w:p>
              </w:tc>
              <w:tc>
                <w:tcPr>
                  <w:tcW w:w="1705" w:type="pct"/>
                  <w:vAlign w:val="center"/>
                </w:tcPr>
                <w:p>
                  <w:pPr>
                    <w:rPr>
                      <w:szCs w:val="21"/>
                    </w:rPr>
                  </w:pPr>
                  <w:r>
                    <w:rPr>
                      <w:szCs w:val="21"/>
                    </w:rPr>
                    <w:t>项目原料破碎筛分等工序拟采取布袋除尘设施，处理后经15m高排气筒达标排放；并按规范建设排放口，各项防治污染设施正常运行；</w:t>
                  </w:r>
                </w:p>
              </w:tc>
              <w:tc>
                <w:tcPr>
                  <w:tcW w:w="483" w:type="pct"/>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pPr>
                    <w:rPr>
                      <w:szCs w:val="21"/>
                    </w:rPr>
                  </w:pPr>
                </w:p>
              </w:tc>
              <w:tc>
                <w:tcPr>
                  <w:tcW w:w="540" w:type="pct"/>
                  <w:vAlign w:val="center"/>
                </w:tcPr>
                <w:p>
                  <w:pPr>
                    <w:rPr>
                      <w:szCs w:val="21"/>
                    </w:rPr>
                  </w:pPr>
                  <w:r>
                    <w:rPr>
                      <w:szCs w:val="21"/>
                    </w:rPr>
                    <w:t>无组织排放</w:t>
                  </w:r>
                </w:p>
              </w:tc>
              <w:tc>
                <w:tcPr>
                  <w:tcW w:w="1730" w:type="pct"/>
                  <w:vAlign w:val="center"/>
                </w:tcPr>
                <w:p>
                  <w:pPr>
                    <w:rPr>
                      <w:szCs w:val="21"/>
                    </w:rPr>
                  </w:pPr>
                  <w:r>
                    <w:rPr>
                      <w:szCs w:val="21"/>
                    </w:rPr>
                    <w:t>原料系统是否配备封闭</w:t>
                  </w:r>
                </w:p>
                <w:p>
                  <w:pPr>
                    <w:rPr>
                      <w:szCs w:val="21"/>
                    </w:rPr>
                  </w:pPr>
                  <w:r>
                    <w:rPr>
                      <w:szCs w:val="21"/>
                    </w:rPr>
                    <w:t>原料库，配料系统是否配备除尘装置，企业边界总悬浮颗粒物、二氧化硫、氟化物排放是否达标</w:t>
                  </w:r>
                </w:p>
              </w:tc>
              <w:tc>
                <w:tcPr>
                  <w:tcW w:w="1705" w:type="pct"/>
                  <w:vAlign w:val="center"/>
                </w:tcPr>
                <w:p>
                  <w:pPr>
                    <w:rPr>
                      <w:szCs w:val="21"/>
                    </w:rPr>
                  </w:pPr>
                  <w:r>
                    <w:rPr>
                      <w:szCs w:val="21"/>
                    </w:rPr>
                    <w:t>封闭原料库，配料系统配备除尘装置，厂界</w:t>
                  </w:r>
                  <w:r>
                    <w:rPr>
                      <w:rFonts w:hint="eastAsia"/>
                      <w:szCs w:val="21"/>
                    </w:rPr>
                    <w:t>TSP</w:t>
                  </w:r>
                  <w:r>
                    <w:rPr>
                      <w:szCs w:val="21"/>
                    </w:rPr>
                    <w:t>能达标排放。</w:t>
                  </w:r>
                </w:p>
              </w:tc>
              <w:tc>
                <w:tcPr>
                  <w:tcW w:w="483" w:type="pct"/>
                  <w:vAlign w:val="center"/>
                </w:tcPr>
                <w:p>
                  <w:pPr>
                    <w:rPr>
                      <w:b/>
                      <w:bCs/>
                      <w:szCs w:val="21"/>
                    </w:rPr>
                  </w:pPr>
                  <w:r>
                    <w:rPr>
                      <w:b/>
                      <w:bCs/>
                      <w:szCs w:val="21"/>
                    </w:rPr>
                    <w:t>符合</w:t>
                  </w:r>
                </w:p>
              </w:tc>
            </w:tr>
          </w:tbl>
          <w:p>
            <w:pPr>
              <w:spacing w:before="120" w:beforeLines="50" w:line="360" w:lineRule="auto"/>
              <w:ind w:firstLine="482" w:firstLineChars="200"/>
              <w:rPr>
                <w:b/>
                <w:bCs/>
                <w:sz w:val="24"/>
              </w:rPr>
            </w:pPr>
            <w:r>
              <w:rPr>
                <w:b/>
                <w:bCs/>
                <w:sz w:val="24"/>
              </w:rPr>
              <w:t>4.6项目与《建材工业“十四五”发展实施意见》符合性分析</w:t>
            </w:r>
          </w:p>
          <w:p>
            <w:pPr>
              <w:spacing w:line="360" w:lineRule="auto"/>
              <w:ind w:firstLine="480" w:firstLineChars="200"/>
              <w:rPr>
                <w:rFonts w:eastAsiaTheme="minorEastAsia"/>
                <w:sz w:val="24"/>
              </w:rPr>
            </w:pPr>
            <w:r>
              <w:rPr>
                <w:sz w:val="24"/>
              </w:rPr>
              <w:t>《建材工业“十四五”发展实施意见》</w:t>
            </w:r>
            <w:r>
              <w:rPr>
                <w:rFonts w:eastAsiaTheme="minorEastAsia"/>
                <w:sz w:val="24"/>
              </w:rPr>
              <w:t>3、提高资源利用水平：在保证产品质量的前提下，加快水泥等行业非碳酸盐原料替代，逐步减少碳酸盐原料用量。推广高固废掺量的低碳水泥生产技术，引导水泥企业通过磷石膏、钛石膏、氟石膏、矿渣、电石渣、钢渣、镁渣、粉煤灰等非碳酸盐原料制水泥，降低生产过程二氧化碳排放。</w:t>
            </w:r>
          </w:p>
          <w:p>
            <w:pPr>
              <w:spacing w:line="360" w:lineRule="auto"/>
              <w:ind w:firstLine="480" w:firstLineChars="200"/>
              <w:rPr>
                <w:rFonts w:eastAsiaTheme="minorEastAsia"/>
                <w:sz w:val="24"/>
              </w:rPr>
            </w:pPr>
            <w:r>
              <w:rPr>
                <w:rFonts w:eastAsiaTheme="minorEastAsia"/>
                <w:sz w:val="24"/>
              </w:rPr>
              <w:t>构建行业固废综合利用技术与产业化平台，</w:t>
            </w:r>
            <w:r>
              <w:rPr>
                <w:rFonts w:eastAsiaTheme="minorEastAsia"/>
                <w:b/>
                <w:bCs/>
                <w:sz w:val="24"/>
              </w:rPr>
              <w:t>加大对大宗工业固废</w:t>
            </w:r>
            <w:r>
              <w:rPr>
                <w:rFonts w:eastAsiaTheme="minorEastAsia"/>
                <w:sz w:val="24"/>
              </w:rPr>
              <w:t>、生活垃圾、城市污泥、</w:t>
            </w:r>
            <w:r>
              <w:rPr>
                <w:rFonts w:eastAsiaTheme="minorEastAsia"/>
                <w:b/>
                <w:bCs/>
                <w:sz w:val="24"/>
              </w:rPr>
              <w:t>建筑废弃物和有毒有害废弃物的协同处置力度</w:t>
            </w:r>
            <w:r>
              <w:rPr>
                <w:rFonts w:eastAsiaTheme="minorEastAsia"/>
                <w:sz w:val="24"/>
              </w:rPr>
              <w:t>。在重点地区建设利用水泥窑、大型烧结砖隧道窑协同处置废弃物示范线。推动利用大宗固体废弃物生产建材产品。选择产业基础良好的地区建立行业资源综合利用基地，树立固废综合利用典型示范，促进建材生产企业向环保功能型、城市建设标配型企业转变。</w:t>
            </w:r>
          </w:p>
          <w:p>
            <w:pPr>
              <w:spacing w:line="360" w:lineRule="auto"/>
              <w:ind w:firstLine="482" w:firstLineChars="200"/>
              <w:rPr>
                <w:rFonts w:asciiTheme="minorEastAsia" w:hAnsiTheme="minorEastAsia" w:eastAsiaTheme="minorEastAsia"/>
                <w:b/>
                <w:bCs/>
                <w:sz w:val="24"/>
              </w:rPr>
            </w:pPr>
            <w:r>
              <w:rPr>
                <w:rFonts w:asciiTheme="minorEastAsia" w:hAnsiTheme="minorEastAsia" w:eastAsiaTheme="minorEastAsia"/>
                <w:b/>
                <w:bCs/>
                <w:sz w:val="24"/>
              </w:rPr>
              <w:t>本项目利用油基岩屑厌氧热回收处理后的</w:t>
            </w:r>
            <w:r>
              <w:rPr>
                <w:rFonts w:hint="eastAsia" w:asciiTheme="minorEastAsia" w:hAnsiTheme="minorEastAsia" w:eastAsiaTheme="minorEastAsia"/>
                <w:b/>
                <w:bCs/>
                <w:sz w:val="24"/>
              </w:rPr>
              <w:t>一般固废</w:t>
            </w:r>
            <w:r>
              <w:rPr>
                <w:rFonts w:asciiTheme="minorEastAsia" w:hAnsiTheme="minorEastAsia" w:eastAsiaTheme="minorEastAsia"/>
                <w:b/>
                <w:bCs/>
                <w:sz w:val="24"/>
              </w:rPr>
              <w:t>干渣为原料用于制作建筑材料砖，为固废综合利用技术。大气污染物主要为颗粒物，采取集气</w:t>
            </w:r>
            <w:r>
              <w:rPr>
                <w:rFonts w:hint="eastAsia" w:asciiTheme="minorEastAsia" w:hAnsiTheme="minorEastAsia" w:eastAsiaTheme="minorEastAsia"/>
                <w:b/>
                <w:bCs/>
                <w:sz w:val="24"/>
              </w:rPr>
              <w:t>设施</w:t>
            </w:r>
            <w:r>
              <w:rPr>
                <w:rFonts w:asciiTheme="minorEastAsia" w:hAnsiTheme="minorEastAsia" w:eastAsiaTheme="minorEastAsia"/>
                <w:b/>
                <w:bCs/>
                <w:sz w:val="24"/>
              </w:rPr>
              <w:t>收集到布袋除尘器处理后，由</w:t>
            </w:r>
            <w:r>
              <w:rPr>
                <w:rFonts w:eastAsiaTheme="minorEastAsia"/>
                <w:b/>
                <w:bCs/>
                <w:sz w:val="24"/>
              </w:rPr>
              <w:t>15</w:t>
            </w:r>
            <w:r>
              <w:rPr>
                <w:rFonts w:asciiTheme="minorEastAsia" w:hAnsiTheme="minorEastAsia" w:eastAsiaTheme="minorEastAsia"/>
                <w:b/>
                <w:bCs/>
                <w:sz w:val="24"/>
              </w:rPr>
              <w:t>米高排气筒高空排放，粉尘排放量较少。符合《建材工业“十四五”发展实施意见》要求。</w:t>
            </w:r>
          </w:p>
          <w:p>
            <w:pPr>
              <w:spacing w:line="360" w:lineRule="auto"/>
              <w:ind w:firstLine="482" w:firstLineChars="200"/>
              <w:rPr>
                <w:rFonts w:asciiTheme="minorEastAsia" w:hAnsiTheme="minorEastAsia" w:eastAsiaTheme="minorEastAsia"/>
                <w:b/>
                <w:bCs/>
                <w:sz w:val="24"/>
              </w:rPr>
            </w:pPr>
            <w:r>
              <w:rPr>
                <w:rFonts w:asciiTheme="minorEastAsia" w:hAnsiTheme="minorEastAsia" w:eastAsiaTheme="minorEastAsia"/>
                <w:b/>
                <w:bCs/>
                <w:sz w:val="24"/>
              </w:rPr>
              <w:t>综合前文各表所分析，本项目符合相关行业政策要求。</w:t>
            </w:r>
          </w:p>
          <w:p>
            <w:pPr>
              <w:spacing w:before="120" w:beforeLines="50" w:line="360" w:lineRule="auto"/>
              <w:ind w:firstLine="482" w:firstLineChars="200"/>
              <w:rPr>
                <w:b/>
                <w:bCs/>
                <w:sz w:val="24"/>
              </w:rPr>
            </w:pPr>
            <w:r>
              <w:rPr>
                <w:rFonts w:eastAsiaTheme="minorEastAsia"/>
                <w:b/>
                <w:bCs/>
                <w:sz w:val="24"/>
              </w:rPr>
              <w:t>4</w:t>
            </w:r>
            <w:r>
              <w:rPr>
                <w:rFonts w:asciiTheme="minorEastAsia" w:hAnsiTheme="minorEastAsia" w:eastAsiaTheme="minorEastAsia"/>
                <w:b/>
                <w:bCs/>
                <w:sz w:val="24"/>
              </w:rPr>
              <w:t>.</w:t>
            </w:r>
            <w:r>
              <w:rPr>
                <w:rFonts w:eastAsiaTheme="minorEastAsia"/>
                <w:b/>
                <w:bCs/>
                <w:sz w:val="24"/>
              </w:rPr>
              <w:t>7</w:t>
            </w:r>
            <w:r>
              <w:rPr>
                <w:rFonts w:asciiTheme="minorEastAsia" w:hAnsiTheme="minorEastAsia" w:eastAsiaTheme="minorEastAsia"/>
                <w:b/>
                <w:bCs/>
                <w:sz w:val="24"/>
              </w:rPr>
              <w:t>项目与《</w:t>
            </w:r>
            <w:r>
              <w:rPr>
                <w:rFonts w:hint="eastAsia" w:asciiTheme="minorEastAsia" w:hAnsiTheme="minorEastAsia" w:eastAsiaTheme="minorEastAsia"/>
                <w:b/>
                <w:bCs/>
                <w:sz w:val="24"/>
              </w:rPr>
              <w:t>四川省经信厅</w:t>
            </w:r>
            <w:r>
              <w:rPr>
                <w:rFonts w:asciiTheme="minorEastAsia" w:hAnsiTheme="minorEastAsia" w:eastAsiaTheme="minorEastAsia"/>
                <w:b/>
                <w:bCs/>
                <w:sz w:val="24"/>
              </w:rPr>
              <w:t>关于加快烧结砖瓦行业转型升级促进高质量发展的实施意见》</w:t>
            </w:r>
            <w:r>
              <w:rPr>
                <w:rFonts w:hint="eastAsia" w:asciiTheme="minorEastAsia" w:hAnsiTheme="minorEastAsia" w:eastAsiaTheme="minorEastAsia"/>
                <w:b/>
                <w:bCs/>
                <w:sz w:val="24"/>
              </w:rPr>
              <w:t>的</w:t>
            </w:r>
            <w:r>
              <w:rPr>
                <w:b/>
                <w:bCs/>
                <w:sz w:val="24"/>
              </w:rPr>
              <w:t>符合性分析</w:t>
            </w:r>
          </w:p>
          <w:p>
            <w:pPr>
              <w:pStyle w:val="2"/>
              <w:spacing w:after="0" w:line="360" w:lineRule="auto"/>
              <w:ind w:left="0" w:leftChars="0" w:firstLine="480"/>
              <w:rPr>
                <w:rFonts w:asciiTheme="minorEastAsia" w:hAnsiTheme="minorEastAsia" w:eastAsiaTheme="minorEastAsia"/>
                <w:kern w:val="2"/>
                <w:sz w:val="24"/>
              </w:rPr>
            </w:pPr>
            <w:r>
              <w:rPr>
                <w:rFonts w:hint="eastAsia" w:asciiTheme="minorEastAsia" w:hAnsiTheme="minorEastAsia" w:eastAsiaTheme="minorEastAsia"/>
                <w:kern w:val="2"/>
                <w:sz w:val="24"/>
              </w:rPr>
              <w:t>(一）</w:t>
            </w:r>
            <w:r>
              <w:rPr>
                <w:rFonts w:hint="eastAsia" w:asciiTheme="minorEastAsia" w:hAnsiTheme="minorEastAsia" w:eastAsiaTheme="minorEastAsia"/>
                <w:kern w:val="2"/>
                <w:sz w:val="24"/>
                <w:lang w:eastAsia="zh-CN"/>
              </w:rPr>
              <w:t>淘汰</w:t>
            </w:r>
            <w:r>
              <w:rPr>
                <w:rFonts w:hint="eastAsia" w:asciiTheme="minorEastAsia" w:hAnsiTheme="minorEastAsia" w:eastAsiaTheme="minorEastAsia"/>
                <w:kern w:val="2"/>
                <w:sz w:val="24"/>
              </w:rPr>
              <w:t>落后产能，优化产业结构。各市(升)要科学合理编制行业发展规划或工作</w:t>
            </w:r>
            <w:r>
              <w:rPr>
                <w:rFonts w:hint="eastAsia" w:asciiTheme="minorEastAsia" w:hAnsiTheme="minorEastAsia" w:eastAsiaTheme="minorEastAsia"/>
                <w:kern w:val="2"/>
                <w:sz w:val="24"/>
                <w:lang w:eastAsia="zh-CN"/>
              </w:rPr>
              <w:t>实施</w:t>
            </w:r>
            <w:r>
              <w:rPr>
                <w:rFonts w:hint="eastAsia" w:asciiTheme="minorEastAsia" w:hAnsiTheme="minorEastAsia" w:eastAsiaTheme="minorEastAsia"/>
                <w:kern w:val="2"/>
                <w:sz w:val="24"/>
              </w:rPr>
              <w:t>方案，利用法治化和市场化手段，推进落后工艺装备、落后产品退出市场，督促质量、安全、环保、能耗等不达标企业加快整改。对逾期未整改或经整改仍</w:t>
            </w:r>
            <w:r>
              <w:rPr>
                <w:rFonts w:hint="eastAsia" w:asciiTheme="minorEastAsia" w:hAnsiTheme="minorEastAsia" w:eastAsiaTheme="minorEastAsia"/>
                <w:kern w:val="2"/>
                <w:sz w:val="24"/>
                <w:lang w:eastAsia="zh-CN"/>
              </w:rPr>
              <w:t>未</w:t>
            </w:r>
            <w:r>
              <w:rPr>
                <w:rFonts w:hint="eastAsia" w:asciiTheme="minorEastAsia" w:hAnsiTheme="minorEastAsia" w:eastAsiaTheme="minorEastAsia"/>
                <w:kern w:val="2"/>
                <w:sz w:val="24"/>
              </w:rPr>
              <w:t>达标的企业，要依法关停退出。</w:t>
            </w:r>
            <w:r>
              <w:rPr>
                <w:rFonts w:hint="eastAsia" w:eastAsiaTheme="minorEastAsia"/>
                <w:kern w:val="2"/>
                <w:sz w:val="24"/>
              </w:rPr>
              <w:t>2006</w:t>
            </w:r>
            <w:r>
              <w:rPr>
                <w:rFonts w:hint="eastAsia" w:asciiTheme="minorEastAsia" w:hAnsiTheme="minorEastAsia" w:eastAsiaTheme="minorEastAsia"/>
                <w:kern w:val="2"/>
                <w:sz w:val="24"/>
              </w:rPr>
              <w:t>年</w:t>
            </w:r>
            <w:r>
              <w:rPr>
                <w:rFonts w:hint="eastAsia" w:eastAsiaTheme="minorEastAsia"/>
                <w:kern w:val="2"/>
                <w:sz w:val="24"/>
              </w:rPr>
              <w:t>12</w:t>
            </w:r>
            <w:r>
              <w:rPr>
                <w:rFonts w:hint="eastAsia" w:asciiTheme="minorEastAsia" w:hAnsiTheme="minorEastAsia" w:eastAsiaTheme="minorEastAsia"/>
                <w:kern w:val="2"/>
                <w:sz w:val="24"/>
              </w:rPr>
              <w:t>月</w:t>
            </w:r>
            <w:r>
              <w:rPr>
                <w:rFonts w:hint="eastAsia" w:eastAsiaTheme="minorEastAsia"/>
                <w:kern w:val="2"/>
                <w:sz w:val="24"/>
              </w:rPr>
              <w:t>31</w:t>
            </w:r>
            <w:r>
              <w:rPr>
                <w:rFonts w:hint="eastAsia" w:asciiTheme="minorEastAsia" w:hAnsiTheme="minorEastAsia" w:eastAsiaTheme="minorEastAsia"/>
                <w:kern w:val="2"/>
                <w:sz w:val="24"/>
              </w:rPr>
              <w:t>日前全面淘汰轮窑以及轮窑封门简易改造的“隧道窑”等落后产能。根据全省烧结砖瓦行业发展现状和资源环境约束，严禁新增产能，对</w:t>
            </w:r>
            <w:r>
              <w:rPr>
                <w:rFonts w:hint="eastAsia" w:asciiTheme="minorEastAsia" w:hAnsiTheme="minorEastAsia" w:eastAsiaTheme="minorEastAsia"/>
                <w:b/>
                <w:bCs/>
                <w:kern w:val="2"/>
                <w:sz w:val="24"/>
              </w:rPr>
              <w:t>全省烧结砖瓦行业</w:t>
            </w:r>
            <w:r>
              <w:rPr>
                <w:rFonts w:hint="eastAsia" w:asciiTheme="minorEastAsia" w:hAnsiTheme="minorEastAsia" w:eastAsiaTheme="minorEastAsia"/>
                <w:kern w:val="2"/>
                <w:sz w:val="24"/>
              </w:rPr>
              <w:t>新建扩速项目实施产能减量置换，成都平原经济区减量置换比例不低于</w:t>
            </w:r>
            <w:r>
              <w:rPr>
                <w:rFonts w:hint="eastAsia" w:eastAsiaTheme="minorEastAsia"/>
                <w:kern w:val="2"/>
                <w:sz w:val="24"/>
              </w:rPr>
              <w:t>1</w:t>
            </w:r>
            <w:r>
              <w:rPr>
                <w:rFonts w:hint="eastAsia" w:asciiTheme="minorEastAsia" w:hAnsiTheme="minorEastAsia" w:eastAsiaTheme="minorEastAsia"/>
                <w:kern w:val="2"/>
                <w:sz w:val="24"/>
              </w:rPr>
              <w:t>.</w:t>
            </w:r>
            <w:r>
              <w:rPr>
                <w:rFonts w:hint="eastAsia" w:eastAsiaTheme="minorEastAsia"/>
                <w:kern w:val="2"/>
                <w:sz w:val="24"/>
              </w:rPr>
              <w:t>5</w:t>
            </w:r>
            <w:r>
              <w:rPr>
                <w:rFonts w:hint="eastAsia" w:asciiTheme="minorEastAsia" w:hAnsiTheme="minorEastAsia" w:eastAsiaTheme="minorEastAsia"/>
                <w:kern w:val="2"/>
                <w:sz w:val="24"/>
              </w:rPr>
              <w:t>:</w:t>
            </w:r>
            <w:r>
              <w:rPr>
                <w:rFonts w:hint="eastAsia" w:eastAsiaTheme="minorEastAsia"/>
                <w:kern w:val="2"/>
                <w:sz w:val="24"/>
              </w:rPr>
              <w:t>1</w:t>
            </w:r>
            <w:r>
              <w:rPr>
                <w:rFonts w:hint="eastAsia" w:asciiTheme="minorEastAsia" w:hAnsiTheme="minorEastAsia" w:eastAsiaTheme="minorEastAsia"/>
                <w:kern w:val="2"/>
                <w:sz w:val="24"/>
              </w:rPr>
              <w:t>，其他区域</w:t>
            </w:r>
            <w:r>
              <w:rPr>
                <w:rFonts w:hint="eastAsia" w:asciiTheme="minorEastAsia" w:hAnsiTheme="minorEastAsia" w:eastAsiaTheme="minorEastAsia"/>
                <w:kern w:val="2"/>
                <w:sz w:val="24"/>
                <w:lang w:eastAsia="zh-CN"/>
              </w:rPr>
              <w:t>减</w:t>
            </w:r>
            <w:r>
              <w:rPr>
                <w:rFonts w:hint="eastAsia" w:asciiTheme="minorEastAsia" w:hAnsiTheme="minorEastAsia" w:eastAsiaTheme="minorEastAsia"/>
                <w:kern w:val="2"/>
                <w:sz w:val="24"/>
              </w:rPr>
              <w:t>量置换比例不低于</w:t>
            </w:r>
            <w:r>
              <w:rPr>
                <w:rFonts w:hint="eastAsia" w:eastAsiaTheme="minorEastAsia"/>
                <w:kern w:val="2"/>
                <w:sz w:val="24"/>
              </w:rPr>
              <w:t>1</w:t>
            </w:r>
            <w:r>
              <w:rPr>
                <w:rFonts w:hint="eastAsia" w:asciiTheme="minorEastAsia" w:hAnsiTheme="minorEastAsia" w:eastAsiaTheme="minorEastAsia"/>
                <w:kern w:val="2"/>
                <w:sz w:val="24"/>
              </w:rPr>
              <w:t>.</w:t>
            </w:r>
            <w:r>
              <w:rPr>
                <w:rFonts w:hint="eastAsia" w:eastAsiaTheme="minorEastAsia"/>
                <w:kern w:val="2"/>
                <w:sz w:val="24"/>
              </w:rPr>
              <w:t>25</w:t>
            </w:r>
            <w:r>
              <w:rPr>
                <w:rFonts w:hint="eastAsia" w:asciiTheme="minorEastAsia" w:hAnsiTheme="minorEastAsia" w:eastAsiaTheme="minorEastAsia"/>
                <w:kern w:val="2"/>
                <w:sz w:val="24"/>
                <w:lang w:eastAsia="zh-CN"/>
              </w:rPr>
              <w:t>：</w:t>
            </w:r>
            <w:r>
              <w:rPr>
                <w:rFonts w:hint="eastAsia" w:eastAsiaTheme="minorEastAsia"/>
                <w:kern w:val="2"/>
                <w:sz w:val="24"/>
              </w:rPr>
              <w:t>1</w:t>
            </w:r>
            <w:r>
              <w:rPr>
                <w:rFonts w:hint="eastAsia" w:asciiTheme="minorEastAsia" w:hAnsiTheme="minorEastAsia" w:eastAsiaTheme="minorEastAsia"/>
                <w:kern w:val="2"/>
                <w:sz w:val="24"/>
                <w:lang w:eastAsia="zh-CN"/>
              </w:rPr>
              <w:t>。</w:t>
            </w:r>
            <w:r>
              <w:rPr>
                <w:rFonts w:hint="eastAsia" w:asciiTheme="minorEastAsia" w:hAnsiTheme="minorEastAsia" w:eastAsiaTheme="minorEastAsia"/>
                <w:kern w:val="2"/>
                <w:sz w:val="24"/>
              </w:rPr>
              <w:t>因产业规划、城镇建设、征地拆迁、环保新要求等因素，县级及以上人民政府要求搬迁且合规的砖瓦企业，异地搬迁时产能可实施等量置换。现有</w:t>
            </w:r>
            <w:r>
              <w:rPr>
                <w:rFonts w:hint="eastAsia" w:eastAsiaTheme="minorEastAsia"/>
                <w:kern w:val="2"/>
                <w:sz w:val="24"/>
              </w:rPr>
              <w:t>24</w:t>
            </w:r>
            <w:r>
              <w:rPr>
                <w:rFonts w:hint="eastAsia" w:asciiTheme="minorEastAsia" w:hAnsiTheme="minorEastAsia" w:eastAsiaTheme="minorEastAsia"/>
                <w:kern w:val="2"/>
                <w:sz w:val="24"/>
              </w:rPr>
              <w:t>门及以上轮窑产能可在</w:t>
            </w:r>
            <w:r>
              <w:rPr>
                <w:rFonts w:hint="eastAsia" w:eastAsiaTheme="minorEastAsia"/>
                <w:kern w:val="2"/>
                <w:sz w:val="24"/>
              </w:rPr>
              <w:t>2020</w:t>
            </w:r>
            <w:r>
              <w:rPr>
                <w:rFonts w:hint="eastAsia" w:asciiTheme="minorEastAsia" w:hAnsiTheme="minorEastAsia" w:eastAsiaTheme="minorEastAsia"/>
                <w:kern w:val="2"/>
                <w:sz w:val="24"/>
              </w:rPr>
              <w:t>年底前用于产能置换。</w:t>
            </w:r>
          </w:p>
          <w:p>
            <w:pPr>
              <w:pStyle w:val="2"/>
              <w:spacing w:after="0" w:line="360" w:lineRule="auto"/>
              <w:ind w:left="0" w:leftChars="0" w:firstLine="482"/>
              <w:rPr>
                <w:rFonts w:asciiTheme="minorEastAsia" w:hAnsiTheme="minorEastAsia" w:eastAsiaTheme="minorEastAsia"/>
                <w:b/>
                <w:bCs/>
                <w:kern w:val="2"/>
                <w:sz w:val="24"/>
              </w:rPr>
            </w:pPr>
            <w:r>
              <w:rPr>
                <w:rFonts w:hint="eastAsia" w:asciiTheme="minorEastAsia" w:hAnsiTheme="minorEastAsia" w:eastAsiaTheme="minorEastAsia"/>
                <w:b/>
                <w:bCs/>
                <w:kern w:val="2"/>
                <w:sz w:val="24"/>
              </w:rPr>
              <w:t>本项目为蒸压灰砂砖，不属于烧结砖，无需产能置换，项目符合上述</w:t>
            </w:r>
            <w:r>
              <w:rPr>
                <w:rFonts w:asciiTheme="minorEastAsia" w:hAnsiTheme="minorEastAsia" w:eastAsiaTheme="minorEastAsia"/>
                <w:b/>
                <w:bCs/>
                <w:kern w:val="2"/>
                <w:sz w:val="24"/>
              </w:rPr>
              <w:t>《</w:t>
            </w:r>
            <w:r>
              <w:rPr>
                <w:rFonts w:hint="eastAsia" w:asciiTheme="minorEastAsia" w:hAnsiTheme="minorEastAsia" w:eastAsiaTheme="minorEastAsia"/>
                <w:b/>
                <w:bCs/>
                <w:kern w:val="2"/>
                <w:sz w:val="24"/>
              </w:rPr>
              <w:t>四川省经信厅</w:t>
            </w:r>
            <w:r>
              <w:rPr>
                <w:rFonts w:asciiTheme="minorEastAsia" w:hAnsiTheme="minorEastAsia" w:eastAsiaTheme="minorEastAsia"/>
                <w:b/>
                <w:bCs/>
                <w:kern w:val="2"/>
                <w:sz w:val="24"/>
              </w:rPr>
              <w:t>关于加快烧结砖瓦行业转型升级促进高质量发展的实施意见》</w:t>
            </w:r>
            <w:r>
              <w:rPr>
                <w:rFonts w:hint="eastAsia" w:asciiTheme="minorEastAsia" w:hAnsiTheme="minorEastAsia" w:eastAsiaTheme="minorEastAsia"/>
                <w:b/>
                <w:bCs/>
                <w:kern w:val="2"/>
                <w:sz w:val="24"/>
              </w:rPr>
              <w:t>的要求。</w:t>
            </w:r>
          </w:p>
          <w:p>
            <w:pPr>
              <w:spacing w:line="360" w:lineRule="auto"/>
              <w:ind w:firstLine="482" w:firstLineChars="200"/>
              <w:rPr>
                <w:b/>
                <w:bCs/>
                <w:sz w:val="24"/>
              </w:rPr>
            </w:pPr>
            <w:r>
              <w:rPr>
                <w:rFonts w:eastAsiaTheme="minorEastAsia"/>
                <w:b/>
                <w:bCs/>
                <w:sz w:val="24"/>
              </w:rPr>
              <w:t>4</w:t>
            </w:r>
            <w:r>
              <w:rPr>
                <w:rFonts w:asciiTheme="minorEastAsia" w:hAnsiTheme="minorEastAsia" w:eastAsiaTheme="minorEastAsia"/>
                <w:b/>
                <w:bCs/>
                <w:sz w:val="24"/>
              </w:rPr>
              <w:t>.</w:t>
            </w:r>
            <w:r>
              <w:rPr>
                <w:rFonts w:eastAsiaTheme="minorEastAsia"/>
                <w:b/>
                <w:bCs/>
                <w:sz w:val="24"/>
              </w:rPr>
              <w:t>8</w:t>
            </w:r>
            <w:r>
              <w:rPr>
                <w:rFonts w:hint="eastAsia" w:asciiTheme="minorEastAsia" w:hAnsiTheme="minorEastAsia" w:eastAsiaTheme="minorEastAsia"/>
                <w:b/>
                <w:bCs/>
                <w:sz w:val="24"/>
              </w:rPr>
              <w:t>项目与《四川省经济和信息化委等</w:t>
            </w:r>
            <w:r>
              <w:rPr>
                <w:rFonts w:hint="eastAsia" w:eastAsiaTheme="minorEastAsia"/>
                <w:b/>
                <w:bCs/>
                <w:sz w:val="24"/>
              </w:rPr>
              <w:t>4</w:t>
            </w:r>
            <w:r>
              <w:rPr>
                <w:rFonts w:hint="eastAsia" w:asciiTheme="minorEastAsia" w:hAnsiTheme="minorEastAsia" w:eastAsiaTheme="minorEastAsia"/>
                <w:b/>
                <w:bCs/>
                <w:sz w:val="24"/>
              </w:rPr>
              <w:t>部门关于坚决遏制烧结砖瓦行业产能盲目扩张的通知》川经信冶建[</w:t>
            </w:r>
            <w:r>
              <w:rPr>
                <w:rFonts w:hint="eastAsia" w:eastAsiaTheme="minorEastAsia"/>
                <w:b/>
                <w:bCs/>
                <w:sz w:val="24"/>
              </w:rPr>
              <w:t>2018</w:t>
            </w:r>
            <w:r>
              <w:rPr>
                <w:rFonts w:hint="eastAsia" w:asciiTheme="minorEastAsia" w:hAnsiTheme="minorEastAsia" w:eastAsiaTheme="minorEastAsia"/>
                <w:b/>
                <w:bCs/>
                <w:sz w:val="24"/>
              </w:rPr>
              <w:t>]</w:t>
            </w:r>
            <w:r>
              <w:rPr>
                <w:rFonts w:hint="eastAsia" w:eastAsiaTheme="minorEastAsia"/>
                <w:b/>
                <w:bCs/>
                <w:sz w:val="24"/>
              </w:rPr>
              <w:t>106</w:t>
            </w:r>
            <w:r>
              <w:rPr>
                <w:rFonts w:hint="eastAsia" w:asciiTheme="minorEastAsia" w:hAnsiTheme="minorEastAsia" w:eastAsiaTheme="minorEastAsia"/>
                <w:b/>
                <w:bCs/>
                <w:sz w:val="24"/>
              </w:rPr>
              <w:t>号)</w:t>
            </w:r>
            <w:r>
              <w:rPr>
                <w:b/>
                <w:bCs/>
                <w:sz w:val="24"/>
              </w:rPr>
              <w:t xml:space="preserve"> </w:t>
            </w:r>
            <w:r>
              <w:rPr>
                <w:rFonts w:hint="eastAsia"/>
                <w:b/>
                <w:bCs/>
                <w:sz w:val="24"/>
              </w:rPr>
              <w:t>的</w:t>
            </w:r>
            <w:r>
              <w:rPr>
                <w:b/>
                <w:bCs/>
                <w:sz w:val="24"/>
              </w:rPr>
              <w:t>符合性分析</w:t>
            </w:r>
          </w:p>
          <w:p>
            <w:pPr>
              <w:pStyle w:val="2"/>
              <w:spacing w:after="0" w:line="360" w:lineRule="auto"/>
              <w:ind w:left="0" w:leftChars="0" w:firstLine="480"/>
              <w:rPr>
                <w:rFonts w:asciiTheme="minorEastAsia" w:hAnsiTheme="minorEastAsia" w:eastAsiaTheme="minorEastAsia"/>
                <w:kern w:val="2"/>
                <w:sz w:val="24"/>
              </w:rPr>
            </w:pPr>
            <w:r>
              <w:rPr>
                <w:rFonts w:hint="eastAsia" w:eastAsiaTheme="minorEastAsia"/>
                <w:kern w:val="2"/>
                <w:sz w:val="24"/>
              </w:rPr>
              <w:t>2018</w:t>
            </w:r>
            <w:r>
              <w:rPr>
                <w:rFonts w:hint="eastAsia" w:asciiTheme="minorEastAsia" w:hAnsiTheme="minorEastAsia" w:eastAsiaTheme="minorEastAsia"/>
                <w:kern w:val="2"/>
                <w:sz w:val="24"/>
              </w:rPr>
              <w:t>年</w:t>
            </w:r>
            <w:r>
              <w:rPr>
                <w:rFonts w:hint="eastAsia" w:eastAsiaTheme="minorEastAsia"/>
                <w:kern w:val="2"/>
                <w:sz w:val="24"/>
              </w:rPr>
              <w:t>5</w:t>
            </w:r>
            <w:r>
              <w:rPr>
                <w:rFonts w:hint="eastAsia" w:asciiTheme="minorEastAsia" w:hAnsiTheme="minorEastAsia" w:eastAsiaTheme="minorEastAsia"/>
                <w:kern w:val="2"/>
                <w:sz w:val="24"/>
              </w:rPr>
              <w:t>月</w:t>
            </w:r>
            <w:r>
              <w:rPr>
                <w:rFonts w:hint="eastAsia" w:eastAsiaTheme="minorEastAsia"/>
                <w:kern w:val="2"/>
                <w:sz w:val="24"/>
              </w:rPr>
              <w:t>15</w:t>
            </w:r>
            <w:r>
              <w:rPr>
                <w:rFonts w:hint="eastAsia" w:asciiTheme="minorEastAsia" w:hAnsiTheme="minorEastAsia" w:eastAsiaTheme="minorEastAsia"/>
                <w:kern w:val="2"/>
                <w:sz w:val="24"/>
              </w:rPr>
              <w:t>日，四川省经济和信息化委员会、四川省发展和改革委员会、四川省国土资源厅、四川省</w:t>
            </w:r>
            <w:r>
              <w:rPr>
                <w:rFonts w:hint="eastAsia" w:asciiTheme="minorEastAsia" w:hAnsiTheme="minorEastAsia" w:eastAsiaTheme="minorEastAsia"/>
                <w:kern w:val="2"/>
                <w:sz w:val="24"/>
                <w:lang w:eastAsia="zh-CN"/>
              </w:rPr>
              <w:t>环境</w:t>
            </w:r>
            <w:r>
              <w:rPr>
                <w:rFonts w:hint="eastAsia" w:asciiTheme="minorEastAsia" w:hAnsiTheme="minorEastAsia" w:eastAsiaTheme="minorEastAsia"/>
                <w:kern w:val="2"/>
                <w:sz w:val="24"/>
              </w:rPr>
              <w:t>保护厅联合发布《四川省经济和信息化委等</w:t>
            </w:r>
            <w:r>
              <w:rPr>
                <w:rFonts w:hint="eastAsia" w:eastAsiaTheme="minorEastAsia"/>
                <w:kern w:val="2"/>
                <w:sz w:val="24"/>
              </w:rPr>
              <w:t>4</w:t>
            </w:r>
            <w:r>
              <w:rPr>
                <w:rFonts w:hint="eastAsia" w:asciiTheme="minorEastAsia" w:hAnsiTheme="minorEastAsia" w:eastAsiaTheme="minorEastAsia"/>
                <w:kern w:val="2"/>
                <w:sz w:val="24"/>
              </w:rPr>
              <w:t>部门关于坚决遏制烧结砖瓦行业产能盲目扩张的通知》（川经信冶建〔</w:t>
            </w:r>
            <w:r>
              <w:rPr>
                <w:rFonts w:hint="eastAsia" w:eastAsiaTheme="minorEastAsia"/>
                <w:kern w:val="2"/>
                <w:sz w:val="24"/>
              </w:rPr>
              <w:t>2018</w:t>
            </w:r>
            <w:r>
              <w:rPr>
                <w:rFonts w:hint="eastAsia" w:asciiTheme="minorEastAsia" w:hAnsiTheme="minorEastAsia" w:eastAsiaTheme="minorEastAsia"/>
                <w:kern w:val="2"/>
                <w:sz w:val="24"/>
              </w:rPr>
              <w:t>〕</w:t>
            </w:r>
            <w:r>
              <w:rPr>
                <w:rFonts w:hint="eastAsia" w:eastAsiaTheme="minorEastAsia"/>
                <w:kern w:val="2"/>
                <w:sz w:val="24"/>
              </w:rPr>
              <w:t>106</w:t>
            </w:r>
            <w:r>
              <w:rPr>
                <w:rFonts w:hint="eastAsia" w:asciiTheme="minorEastAsia" w:hAnsiTheme="minorEastAsia" w:eastAsiaTheme="minorEastAsia"/>
                <w:kern w:val="2"/>
                <w:sz w:val="24"/>
              </w:rPr>
              <w:t>号)。规定:各市（州）、县（市、区〉经济和信息化、发展改革主管部门要加强烧结砖瓦行业的项目管理，在</w:t>
            </w:r>
            <w:r>
              <w:rPr>
                <w:rFonts w:hint="eastAsia" w:eastAsiaTheme="minorEastAsia"/>
                <w:kern w:val="2"/>
                <w:sz w:val="24"/>
              </w:rPr>
              <w:t>2020</w:t>
            </w:r>
            <w:r>
              <w:rPr>
                <w:rFonts w:hint="eastAsia" w:asciiTheme="minorEastAsia" w:hAnsiTheme="minorEastAsia" w:eastAsiaTheme="minorEastAsia"/>
                <w:kern w:val="2"/>
                <w:sz w:val="24"/>
              </w:rPr>
              <w:t>年底前不得以任何名义备案新增产能项目。确有必要建设的项目，需制定产能减量化置换方案。用于建设项目置换的产能，在建设项目投产前必须关停拆除退出。成都经济区</w:t>
            </w:r>
            <w:r>
              <w:rPr>
                <w:rFonts w:hint="eastAsia" w:eastAsiaTheme="minorEastAsia"/>
                <w:kern w:val="2"/>
                <w:sz w:val="24"/>
              </w:rPr>
              <w:t>8</w:t>
            </w:r>
            <w:r>
              <w:rPr>
                <w:rFonts w:hint="eastAsia" w:asciiTheme="minorEastAsia" w:hAnsiTheme="minorEastAsia" w:eastAsiaTheme="minorEastAsia"/>
                <w:kern w:val="2"/>
                <w:sz w:val="24"/>
              </w:rPr>
              <w:t>市按照</w:t>
            </w:r>
            <w:r>
              <w:rPr>
                <w:rFonts w:hint="eastAsia" w:eastAsiaTheme="minorEastAsia"/>
                <w:kern w:val="2"/>
                <w:sz w:val="24"/>
              </w:rPr>
              <w:t>1</w:t>
            </w:r>
            <w:r>
              <w:rPr>
                <w:rFonts w:hint="eastAsia" w:asciiTheme="minorEastAsia" w:hAnsiTheme="minorEastAsia" w:eastAsiaTheme="minorEastAsia"/>
                <w:kern w:val="2"/>
                <w:sz w:val="24"/>
              </w:rPr>
              <w:t>.</w:t>
            </w:r>
            <w:r>
              <w:rPr>
                <w:rFonts w:hint="eastAsia" w:eastAsiaTheme="minorEastAsia"/>
                <w:kern w:val="2"/>
                <w:sz w:val="24"/>
              </w:rPr>
              <w:t>5</w:t>
            </w:r>
            <w:r>
              <w:rPr>
                <w:rFonts w:hint="eastAsia" w:asciiTheme="minorEastAsia" w:hAnsiTheme="minorEastAsia" w:eastAsiaTheme="minorEastAsia"/>
                <w:kern w:val="2"/>
                <w:sz w:val="24"/>
              </w:rPr>
              <w:t>:</w:t>
            </w:r>
            <w:r>
              <w:rPr>
                <w:rFonts w:hint="eastAsia" w:eastAsiaTheme="minorEastAsia"/>
                <w:kern w:val="2"/>
                <w:sz w:val="24"/>
              </w:rPr>
              <w:t>1</w:t>
            </w:r>
            <w:r>
              <w:rPr>
                <w:rFonts w:hint="eastAsia" w:asciiTheme="minorEastAsia" w:hAnsiTheme="minorEastAsia" w:eastAsiaTheme="minorEastAsia"/>
                <w:kern w:val="2"/>
                <w:sz w:val="24"/>
              </w:rPr>
              <w:t>制定产能置换方案，其他地区按照</w:t>
            </w:r>
            <w:r>
              <w:rPr>
                <w:rFonts w:hint="eastAsia" w:eastAsiaTheme="minorEastAsia"/>
                <w:kern w:val="2"/>
                <w:sz w:val="24"/>
              </w:rPr>
              <w:t>1</w:t>
            </w:r>
            <w:r>
              <w:rPr>
                <w:rFonts w:hint="eastAsia" w:asciiTheme="minorEastAsia" w:hAnsiTheme="minorEastAsia" w:eastAsiaTheme="minorEastAsia"/>
                <w:kern w:val="2"/>
                <w:sz w:val="24"/>
              </w:rPr>
              <w:t>.</w:t>
            </w:r>
            <w:r>
              <w:rPr>
                <w:rFonts w:hint="eastAsia" w:eastAsiaTheme="minorEastAsia"/>
                <w:kern w:val="2"/>
                <w:sz w:val="24"/>
              </w:rPr>
              <w:t>25</w:t>
            </w:r>
            <w:r>
              <w:rPr>
                <w:rFonts w:hint="eastAsia" w:asciiTheme="minorEastAsia" w:hAnsiTheme="minorEastAsia" w:eastAsiaTheme="minorEastAsia"/>
                <w:kern w:val="2"/>
                <w:sz w:val="24"/>
              </w:rPr>
              <w:t>:</w:t>
            </w:r>
            <w:r>
              <w:rPr>
                <w:rFonts w:hint="eastAsia" w:eastAsiaTheme="minorEastAsia"/>
                <w:kern w:val="2"/>
                <w:sz w:val="24"/>
              </w:rPr>
              <w:t>1</w:t>
            </w:r>
            <w:r>
              <w:rPr>
                <w:rFonts w:hint="eastAsia" w:asciiTheme="minorEastAsia" w:hAnsiTheme="minorEastAsia" w:eastAsiaTheme="minorEastAsia"/>
                <w:kern w:val="2"/>
                <w:sz w:val="24"/>
              </w:rPr>
              <w:t>制定产能置换方案。</w:t>
            </w:r>
          </w:p>
          <w:p>
            <w:pPr>
              <w:pStyle w:val="2"/>
              <w:spacing w:after="0" w:line="360" w:lineRule="auto"/>
              <w:ind w:left="0" w:leftChars="0" w:firstLine="482"/>
              <w:rPr>
                <w:rFonts w:asciiTheme="minorEastAsia" w:hAnsiTheme="minorEastAsia" w:eastAsiaTheme="minorEastAsia"/>
                <w:b/>
                <w:bCs/>
                <w:kern w:val="2"/>
                <w:sz w:val="24"/>
              </w:rPr>
            </w:pPr>
            <w:r>
              <w:rPr>
                <w:rFonts w:hint="eastAsia" w:asciiTheme="minorEastAsia" w:hAnsiTheme="minorEastAsia" w:eastAsiaTheme="minorEastAsia"/>
                <w:b/>
                <w:bCs/>
                <w:kern w:val="2"/>
                <w:sz w:val="24"/>
              </w:rPr>
              <w:t>本项目为蒸压灰砂砖，不属于烧结砖，无需产能置换，同时本项目属于技术改造，仅改变部分原材料，不属于新增产能项目，符合《四川省经济和信息化委等</w:t>
            </w:r>
            <w:r>
              <w:rPr>
                <w:rFonts w:hint="eastAsia" w:eastAsiaTheme="minorEastAsia"/>
                <w:b/>
                <w:bCs/>
                <w:kern w:val="2"/>
                <w:sz w:val="24"/>
              </w:rPr>
              <w:t>4</w:t>
            </w:r>
            <w:r>
              <w:rPr>
                <w:rFonts w:hint="eastAsia" w:asciiTheme="minorEastAsia" w:hAnsiTheme="minorEastAsia" w:eastAsiaTheme="minorEastAsia"/>
                <w:b/>
                <w:bCs/>
                <w:kern w:val="2"/>
                <w:sz w:val="24"/>
              </w:rPr>
              <w:t>部门关于坚决遏制烧结砖瓦行业产能盲目扩张的通知》（川经信冶建[</w:t>
            </w:r>
            <w:r>
              <w:rPr>
                <w:rFonts w:hint="eastAsia" w:eastAsiaTheme="minorEastAsia"/>
                <w:b/>
                <w:bCs/>
                <w:kern w:val="2"/>
                <w:sz w:val="24"/>
              </w:rPr>
              <w:t>2018</w:t>
            </w:r>
            <w:r>
              <w:rPr>
                <w:rFonts w:hint="eastAsia" w:asciiTheme="minorEastAsia" w:hAnsiTheme="minorEastAsia" w:eastAsiaTheme="minorEastAsia"/>
                <w:b/>
                <w:bCs/>
                <w:kern w:val="2"/>
                <w:sz w:val="24"/>
              </w:rPr>
              <w:t>]</w:t>
            </w:r>
            <w:r>
              <w:rPr>
                <w:rFonts w:hint="eastAsia" w:eastAsiaTheme="minorEastAsia"/>
                <w:b/>
                <w:bCs/>
                <w:kern w:val="2"/>
                <w:sz w:val="24"/>
              </w:rPr>
              <w:t>106</w:t>
            </w:r>
            <w:r>
              <w:rPr>
                <w:rFonts w:hint="eastAsia" w:asciiTheme="minorEastAsia" w:hAnsiTheme="minorEastAsia" w:eastAsiaTheme="minorEastAsia"/>
                <w:b/>
                <w:bCs/>
                <w:kern w:val="2"/>
                <w:sz w:val="24"/>
              </w:rPr>
              <w:t>号）的要求。</w:t>
            </w:r>
          </w:p>
          <w:p>
            <w:pPr>
              <w:spacing w:line="360" w:lineRule="auto"/>
              <w:rPr>
                <w:b/>
                <w:bCs/>
                <w:sz w:val="24"/>
              </w:rPr>
            </w:pPr>
            <w:r>
              <w:rPr>
                <w:b/>
                <w:bCs/>
                <w:sz w:val="24"/>
              </w:rPr>
              <w:t>5、本项目与大气污染防治相关法律法规等的符合性分析</w:t>
            </w:r>
          </w:p>
          <w:p>
            <w:pPr>
              <w:spacing w:line="360" w:lineRule="auto"/>
              <w:jc w:val="center"/>
              <w:rPr>
                <w:b/>
                <w:bCs/>
                <w:sz w:val="24"/>
              </w:rPr>
            </w:pPr>
            <w:r>
              <w:rPr>
                <w:b/>
                <w:bCs/>
                <w:sz w:val="24"/>
              </w:rPr>
              <w:t>表1-13相关大气污染防治规范文件符合性分析一览表</w:t>
            </w:r>
          </w:p>
          <w:tbl>
            <w:tblPr>
              <w:tblStyle w:val="26"/>
              <w:tblW w:w="7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122"/>
              <w:gridCol w:w="3017"/>
              <w:gridCol w:w="274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41" w:type="dxa"/>
                  <w:vAlign w:val="center"/>
                </w:tcPr>
                <w:p>
                  <w:pPr>
                    <w:rPr>
                      <w:b/>
                      <w:bCs/>
                      <w:szCs w:val="21"/>
                    </w:rPr>
                  </w:pPr>
                  <w:r>
                    <w:rPr>
                      <w:b/>
                      <w:bCs/>
                      <w:szCs w:val="21"/>
                    </w:rPr>
                    <w:t>序号</w:t>
                  </w:r>
                </w:p>
              </w:tc>
              <w:tc>
                <w:tcPr>
                  <w:tcW w:w="1122" w:type="dxa"/>
                  <w:vAlign w:val="center"/>
                </w:tcPr>
                <w:p>
                  <w:pPr>
                    <w:rPr>
                      <w:b/>
                      <w:bCs/>
                      <w:szCs w:val="21"/>
                    </w:rPr>
                  </w:pPr>
                  <w:r>
                    <w:rPr>
                      <w:b/>
                      <w:bCs/>
                      <w:szCs w:val="21"/>
                    </w:rPr>
                    <w:t>相关法律、法规及政策</w:t>
                  </w:r>
                </w:p>
              </w:tc>
              <w:tc>
                <w:tcPr>
                  <w:tcW w:w="3017" w:type="dxa"/>
                  <w:vAlign w:val="center"/>
                </w:tcPr>
                <w:p>
                  <w:pPr>
                    <w:jc w:val="center"/>
                    <w:rPr>
                      <w:b/>
                      <w:bCs/>
                      <w:szCs w:val="21"/>
                    </w:rPr>
                  </w:pPr>
                  <w:r>
                    <w:rPr>
                      <w:b/>
                      <w:bCs/>
                      <w:szCs w:val="21"/>
                    </w:rPr>
                    <w:t>具体要求</w:t>
                  </w:r>
                </w:p>
              </w:tc>
              <w:tc>
                <w:tcPr>
                  <w:tcW w:w="2744" w:type="dxa"/>
                  <w:vAlign w:val="center"/>
                </w:tcPr>
                <w:p>
                  <w:pPr>
                    <w:jc w:val="center"/>
                    <w:rPr>
                      <w:b/>
                      <w:bCs/>
                      <w:szCs w:val="21"/>
                    </w:rPr>
                  </w:pPr>
                  <w:r>
                    <w:rPr>
                      <w:b/>
                      <w:bCs/>
                      <w:szCs w:val="21"/>
                    </w:rPr>
                    <w:t>本项目情况</w:t>
                  </w:r>
                </w:p>
              </w:tc>
              <w:tc>
                <w:tcPr>
                  <w:tcW w:w="425" w:type="dxa"/>
                  <w:vAlign w:val="center"/>
                </w:tcPr>
                <w:p>
                  <w:pP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1</w:t>
                  </w:r>
                </w:p>
              </w:tc>
              <w:tc>
                <w:tcPr>
                  <w:tcW w:w="1122" w:type="dxa"/>
                  <w:vAlign w:val="center"/>
                </w:tcPr>
                <w:p>
                  <w:pPr>
                    <w:rPr>
                      <w:b/>
                      <w:bCs/>
                      <w:szCs w:val="21"/>
                    </w:rPr>
                  </w:pPr>
                  <w:r>
                    <w:rPr>
                      <w:b/>
                      <w:bCs/>
                      <w:szCs w:val="21"/>
                    </w:rPr>
                    <w:t>大气污染防治法</w:t>
                  </w:r>
                </w:p>
              </w:tc>
              <w:tc>
                <w:tcPr>
                  <w:tcW w:w="3017" w:type="dxa"/>
                  <w:vAlign w:val="center"/>
                </w:tcPr>
                <w:p>
                  <w:pPr>
                    <w:rPr>
                      <w:szCs w:val="21"/>
                    </w:rPr>
                  </w:pPr>
                  <w:r>
                    <w:rPr>
                      <w:szCs w:val="21"/>
                    </w:rPr>
                    <w:t>第七十二条贮存煤炭、煤矸石、煤渣、煤灰、水泥、石灰、石膏、砂土等易产生扬尘的物料应当密闭；不能密闭的，应当设置不低于堆放物高度的严密围挡，并采取有效覆盖措施防治扬尘污染。</w:t>
                  </w:r>
                </w:p>
              </w:tc>
              <w:tc>
                <w:tcPr>
                  <w:tcW w:w="2744" w:type="dxa"/>
                  <w:vAlign w:val="center"/>
                </w:tcPr>
                <w:p>
                  <w:pPr>
                    <w:rPr>
                      <w:szCs w:val="21"/>
                    </w:rPr>
                  </w:pPr>
                  <w:r>
                    <w:rPr>
                      <w:szCs w:val="21"/>
                    </w:rPr>
                    <w:t>本项目粉煤灰、水泥、石灰、干渣等密闭暂存在料仓内，建筑垃圾等采取有效覆盖措施防治扬尘污染。</w:t>
                  </w:r>
                </w:p>
              </w:tc>
              <w:tc>
                <w:tcPr>
                  <w:tcW w:w="425" w:type="dxa"/>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2</w:t>
                  </w:r>
                </w:p>
              </w:tc>
              <w:tc>
                <w:tcPr>
                  <w:tcW w:w="1122" w:type="dxa"/>
                  <w:vAlign w:val="center"/>
                </w:tcPr>
                <w:p>
                  <w:pPr>
                    <w:rPr>
                      <w:b/>
                      <w:bCs/>
                      <w:szCs w:val="21"/>
                    </w:rPr>
                  </w:pPr>
                  <w:r>
                    <w:rPr>
                      <w:b/>
                      <w:bCs/>
                      <w:szCs w:val="21"/>
                    </w:rPr>
                    <w:t>国务院关于印发大气污染防治行动计划的通知（国发〔2013〕37号）</w:t>
                  </w:r>
                </w:p>
              </w:tc>
              <w:tc>
                <w:tcPr>
                  <w:tcW w:w="3017" w:type="dxa"/>
                  <w:vAlign w:val="center"/>
                </w:tcPr>
                <w:p>
                  <w:pPr>
                    <w:rPr>
                      <w:szCs w:val="21"/>
                    </w:rPr>
                  </w:pPr>
                  <w:r>
                    <w:rPr>
                      <w:szCs w:val="21"/>
                    </w:rPr>
                    <w:t>大型煤堆、料堆要实现封闭储存或建设防风抑尘设施。</w:t>
                  </w:r>
                </w:p>
              </w:tc>
              <w:tc>
                <w:tcPr>
                  <w:tcW w:w="2744" w:type="dxa"/>
                  <w:vAlign w:val="center"/>
                </w:tcPr>
                <w:p>
                  <w:pPr>
                    <w:rPr>
                      <w:szCs w:val="21"/>
                    </w:rPr>
                  </w:pPr>
                  <w:r>
                    <w:rPr>
                      <w:szCs w:val="21"/>
                    </w:rPr>
                    <w:t>本项目原料库房为封闭设置，并设置</w:t>
                  </w:r>
                  <w:r>
                    <w:rPr>
                      <w:rFonts w:hint="eastAsia"/>
                      <w:szCs w:val="21"/>
                    </w:rPr>
                    <w:t>喷雾装置</w:t>
                  </w:r>
                  <w:r>
                    <w:rPr>
                      <w:szCs w:val="21"/>
                    </w:rPr>
                    <w:t>设施控尘。</w:t>
                  </w:r>
                </w:p>
              </w:tc>
              <w:tc>
                <w:tcPr>
                  <w:tcW w:w="425" w:type="dxa"/>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3</w:t>
                  </w:r>
                </w:p>
              </w:tc>
              <w:tc>
                <w:tcPr>
                  <w:tcW w:w="1122" w:type="dxa"/>
                  <w:vAlign w:val="center"/>
                </w:tcPr>
                <w:p>
                  <w:pPr>
                    <w:rPr>
                      <w:b/>
                      <w:bCs/>
                      <w:szCs w:val="21"/>
                    </w:rPr>
                  </w:pPr>
                  <w:r>
                    <w:rPr>
                      <w:b/>
                      <w:bCs/>
                      <w:szCs w:val="21"/>
                    </w:rPr>
                    <w:t>《国务院关于印发打赢蓝天保卫战三年行动计划的通知》</w:t>
                  </w:r>
                </w:p>
              </w:tc>
              <w:tc>
                <w:tcPr>
                  <w:tcW w:w="3017" w:type="dxa"/>
                  <w:vAlign w:val="center"/>
                </w:tcPr>
                <w:p>
                  <w:pPr>
                    <w:rPr>
                      <w:szCs w:val="21"/>
                    </w:rPr>
                  </w:pPr>
                  <w:r>
                    <w:rPr>
                      <w:szCs w:val="21"/>
                    </w:rPr>
                    <w:t>（二十）加强扬尘综合治理。严格施工扬尘监管。2018年底前，各地建立施工工地管理清单。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将扬尘管理工作不到位的不良信息纳入建筑市场信用管理体系，情节严重的，列入建筑市场主体“黑名单”。加强道路扬尘综合整治。大力推进道路清扫保洁机械化作业，提高道路机械化清扫率，2020年底前，地级及以上城市建成区达到70%以上，县城达到60%以上，重点区域要显著提高。严格渣土运输车辆规范化管理，渣土运输车要密闭。</w:t>
                  </w:r>
                </w:p>
              </w:tc>
              <w:tc>
                <w:tcPr>
                  <w:tcW w:w="2744" w:type="dxa"/>
                  <w:vAlign w:val="center"/>
                </w:tcPr>
                <w:p>
                  <w:pPr>
                    <w:rPr>
                      <w:szCs w:val="21"/>
                    </w:rPr>
                  </w:pPr>
                  <w:r>
                    <w:rPr>
                      <w:szCs w:val="21"/>
                    </w:rPr>
                    <w:t>本项目工地周边围挡、物料堆放覆盖、土方开挖湿法作业、路面硬化、出入车辆清洗、渣土车辆密闭运输渣土车辆密闭运输“六个百分之百”</w:t>
                  </w:r>
                </w:p>
              </w:tc>
              <w:tc>
                <w:tcPr>
                  <w:tcW w:w="425" w:type="dxa"/>
                  <w:vAlign w:val="center"/>
                </w:tcPr>
                <w:p>
                  <w:pPr>
                    <w:rPr>
                      <w:b/>
                      <w:bCs/>
                      <w:szCs w:val="21"/>
                    </w:rPr>
                  </w:pPr>
                  <w:r>
                    <w:rPr>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4</w:t>
                  </w:r>
                </w:p>
              </w:tc>
              <w:tc>
                <w:tcPr>
                  <w:tcW w:w="1122" w:type="dxa"/>
                  <w:vAlign w:val="center"/>
                </w:tcPr>
                <w:p>
                  <w:pPr>
                    <w:rPr>
                      <w:b/>
                      <w:bCs/>
                      <w:szCs w:val="21"/>
                    </w:rPr>
                  </w:pPr>
                  <w:r>
                    <w:rPr>
                      <w:b/>
                      <w:bCs/>
                      <w:szCs w:val="21"/>
                    </w:rPr>
                    <w:t>四川省大气污染防治行动计划实施细则</w:t>
                  </w:r>
                </w:p>
              </w:tc>
              <w:tc>
                <w:tcPr>
                  <w:tcW w:w="3017" w:type="dxa"/>
                  <w:vAlign w:val="center"/>
                </w:tcPr>
                <w:p>
                  <w:pPr>
                    <w:rPr>
                      <w:szCs w:val="21"/>
                    </w:rPr>
                  </w:pPr>
                  <w:r>
                    <w:rPr>
                      <w:szCs w:val="21"/>
                    </w:rPr>
                    <w:t>推进堆场扬尘综合治理。强化煤堆、料堆的监督管理，积极推行安装视频监控设施；大型煤堆料堆场应建立密闭料仓与传送装置，生产企业中小型堆场和废渣堆场应搭建顶篷并修筑防风墙；临时露天堆放的应加以覆盖或建设自动喷淋装置。对长期堆放的废弃物，应采取覆绿、铺装、硬化、定期喷洒抑尘剂或稳定剂等措施。</w:t>
                  </w:r>
                </w:p>
              </w:tc>
              <w:tc>
                <w:tcPr>
                  <w:tcW w:w="2744" w:type="dxa"/>
                  <w:vAlign w:val="center"/>
                </w:tcPr>
                <w:p>
                  <w:pPr>
                    <w:rPr>
                      <w:szCs w:val="21"/>
                    </w:rPr>
                  </w:pPr>
                  <w:r>
                    <w:rPr>
                      <w:szCs w:val="21"/>
                    </w:rPr>
                    <w:t>本项目原料库房均为封闭设置；制砖原料和砂石原料库房等设置喷雾装置进行洒水控尘，厂区道路已混凝土硬化，并定期清扫厂区道路，运输车辆实施密闭运输，及时收集清理堆场外道路上撒落的物料。</w:t>
                  </w:r>
                </w:p>
              </w:tc>
              <w:tc>
                <w:tcPr>
                  <w:tcW w:w="425" w:type="dxa"/>
                  <w:vAlign w:val="center"/>
                </w:tcPr>
                <w:p>
                  <w:pP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5</w:t>
                  </w:r>
                </w:p>
              </w:tc>
              <w:tc>
                <w:tcPr>
                  <w:tcW w:w="1122" w:type="dxa"/>
                  <w:vAlign w:val="center"/>
                </w:tcPr>
                <w:p>
                  <w:pPr>
                    <w:rPr>
                      <w:b/>
                      <w:bCs/>
                      <w:szCs w:val="21"/>
                    </w:rPr>
                  </w:pPr>
                  <w:r>
                    <w:rPr>
                      <w:b/>
                      <w:bCs/>
                      <w:szCs w:val="21"/>
                    </w:rPr>
                    <w:t>四川省人民政府关于印发四川省打赢蓝天保卫战等九个实施方案的通知（川府发</w:t>
                  </w:r>
                </w:p>
                <w:p>
                  <w:pPr>
                    <w:rPr>
                      <w:b/>
                      <w:bCs/>
                      <w:szCs w:val="21"/>
                    </w:rPr>
                  </w:pPr>
                  <w:r>
                    <w:rPr>
                      <w:b/>
                      <w:bCs/>
                      <w:szCs w:val="21"/>
                    </w:rPr>
                    <w:t>〔2019〕4号）</w:t>
                  </w:r>
                </w:p>
              </w:tc>
              <w:tc>
                <w:tcPr>
                  <w:tcW w:w="3017" w:type="dxa"/>
                  <w:vAlign w:val="center"/>
                </w:tcPr>
                <w:p>
                  <w:pPr>
                    <w:rPr>
                      <w:szCs w:val="21"/>
                    </w:rPr>
                  </w:pPr>
                  <w:r>
                    <w:rPr>
                      <w:szCs w:val="21"/>
                    </w:rPr>
                    <w:t>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w:t>
                  </w:r>
                </w:p>
              </w:tc>
              <w:tc>
                <w:tcPr>
                  <w:tcW w:w="2744" w:type="dxa"/>
                  <w:vAlign w:val="center"/>
                </w:tcPr>
                <w:p>
                  <w:pPr>
                    <w:rPr>
                      <w:szCs w:val="21"/>
                    </w:rPr>
                  </w:pPr>
                  <w:r>
                    <w:rPr>
                      <w:szCs w:val="21"/>
                    </w:rPr>
                    <w:t>本项目粉煤灰、水泥、石灰、干渣等密闭暂存在料仓内，建筑垃圾砂石等采取有效覆盖措施并进行洒水降尘，防治扬尘污染。物料装卸配备喷淋等防尘设施，转运物料采取封闭式皮带输送。厂区主要运输通道实施硬化湿式清扫，堆场进出口设置车辆冲洗设施，运输车辆</w:t>
                  </w:r>
                  <w:r>
                    <w:rPr>
                      <w:rFonts w:hint="eastAsia"/>
                      <w:szCs w:val="21"/>
                    </w:rPr>
                    <w:t>采用</w:t>
                  </w:r>
                  <w:r>
                    <w:rPr>
                      <w:szCs w:val="21"/>
                    </w:rPr>
                    <w:t>密闭</w:t>
                  </w:r>
                  <w:r>
                    <w:rPr>
                      <w:rFonts w:hint="eastAsia"/>
                      <w:szCs w:val="21"/>
                    </w:rPr>
                    <w:t>罐车</w:t>
                  </w:r>
                  <w:r>
                    <w:rPr>
                      <w:szCs w:val="21"/>
                    </w:rPr>
                    <w:t>或全覆盖，及时收集清理堆场外道路上撒落的物料</w:t>
                  </w:r>
                </w:p>
              </w:tc>
              <w:tc>
                <w:tcPr>
                  <w:tcW w:w="425" w:type="dxa"/>
                  <w:vAlign w:val="center"/>
                </w:tcPr>
                <w:p>
                  <w:pP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6</w:t>
                  </w:r>
                </w:p>
              </w:tc>
              <w:tc>
                <w:tcPr>
                  <w:tcW w:w="1122" w:type="dxa"/>
                  <w:vAlign w:val="center"/>
                </w:tcPr>
                <w:p>
                  <w:pPr>
                    <w:rPr>
                      <w:b/>
                      <w:bCs/>
                      <w:szCs w:val="21"/>
                    </w:rPr>
                  </w:pPr>
                  <w:r>
                    <w:rPr>
                      <w:b/>
                      <w:bCs/>
                      <w:szCs w:val="21"/>
                    </w:rPr>
                    <w:t>《四川省“十四五”生态环境保护规划》</w:t>
                  </w:r>
                </w:p>
              </w:tc>
              <w:tc>
                <w:tcPr>
                  <w:tcW w:w="3017" w:type="dxa"/>
                  <w:vAlign w:val="center"/>
                </w:tcPr>
                <w:p>
                  <w:pPr>
                    <w:rPr>
                      <w:szCs w:val="21"/>
                    </w:rPr>
                  </w:pPr>
                  <w:r>
                    <w:rPr>
                      <w:szCs w:val="21"/>
                    </w:rPr>
                    <w:t>提高综合利用水平。构建资源循环型产业体系，提升工业固体废物综合利用技术，提高资源利用效率，在自贡、宜宾等地开展页岩气废油基岩屑、压裂返排液资源化利用试点，加强废旧动力电池、钒钛磁铁矿冶炼废渣、磷石膏、电解锰渣等复杂难利用工业固体废物规模化利用技术研发，鼓励大中型企业、各类开发区自行配套建设综合利用项目进行消纳，到2025年，新增大宗固体废物综合利用率达到60%。推进危险废物综合利用设施建设，加快废铅蓄电池、含铅废物、含汞废物等综合利用设施建设，逐步形成“市场调控、类别齐全、区域协调、资源共享”的综合利用格局。</w:t>
                  </w:r>
                </w:p>
              </w:tc>
              <w:tc>
                <w:tcPr>
                  <w:tcW w:w="2744" w:type="dxa"/>
                  <w:vAlign w:val="center"/>
                </w:tcPr>
                <w:p>
                  <w:pPr>
                    <w:rPr>
                      <w:szCs w:val="21"/>
                    </w:rPr>
                  </w:pPr>
                  <w:r>
                    <w:rPr>
                      <w:szCs w:val="21"/>
                    </w:rPr>
                    <w:t>本项目利用油基岩屑厌氧热回收处理后的</w:t>
                  </w:r>
                  <w:r>
                    <w:rPr>
                      <w:rFonts w:hint="eastAsia"/>
                      <w:szCs w:val="21"/>
                    </w:rPr>
                    <w:t>工业固废</w:t>
                  </w:r>
                  <w:r>
                    <w:rPr>
                      <w:szCs w:val="21"/>
                    </w:rPr>
                    <w:t>干渣为原料为制建筑材料砖，为固废综合利用技术。</w:t>
                  </w:r>
                </w:p>
              </w:tc>
              <w:tc>
                <w:tcPr>
                  <w:tcW w:w="425" w:type="dxa"/>
                  <w:vAlign w:val="center"/>
                </w:tcPr>
                <w:p>
                  <w:pP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Align w:val="center"/>
                </w:tcPr>
                <w:p>
                  <w:pPr>
                    <w:rPr>
                      <w:szCs w:val="21"/>
                    </w:rPr>
                  </w:pPr>
                  <w:r>
                    <w:rPr>
                      <w:szCs w:val="21"/>
                    </w:rPr>
                    <w:t>7</w:t>
                  </w:r>
                </w:p>
              </w:tc>
              <w:tc>
                <w:tcPr>
                  <w:tcW w:w="1122" w:type="dxa"/>
                  <w:vAlign w:val="center"/>
                </w:tcPr>
                <w:p>
                  <w:pPr>
                    <w:rPr>
                      <w:b/>
                      <w:bCs/>
                      <w:szCs w:val="21"/>
                    </w:rPr>
                  </w:pPr>
                  <w:r>
                    <w:rPr>
                      <w:b/>
                      <w:bCs/>
                      <w:szCs w:val="21"/>
                    </w:rPr>
                    <w:t>遂宁市人民政府《贯彻落实〈四川省打赢蓝天保卫战等九个实施方案〉责任分工方案》符合性分析</w:t>
                  </w:r>
                </w:p>
              </w:tc>
              <w:tc>
                <w:tcPr>
                  <w:tcW w:w="3017" w:type="dxa"/>
                  <w:vAlign w:val="center"/>
                </w:tcPr>
                <w:p>
                  <w:pPr>
                    <w:rPr>
                      <w:szCs w:val="21"/>
                    </w:rPr>
                  </w:pPr>
                  <w:r>
                    <w:rPr>
                      <w:szCs w:val="21"/>
                    </w:rPr>
                    <w:t>强化堆场扬尘管控。工业企业堆场实施规范化全封闭管理，采取覆盖措施有效控制扬尘污染；堆场内进行搅拌、粉碎、筛分等作业时应喷水抑尘。堆场进出口设置车辆冲洗设施，运输车辆实施密闭或全覆盖</w:t>
                  </w:r>
                </w:p>
              </w:tc>
              <w:tc>
                <w:tcPr>
                  <w:tcW w:w="2744" w:type="dxa"/>
                  <w:vAlign w:val="center"/>
                </w:tcPr>
                <w:p>
                  <w:pPr>
                    <w:rPr>
                      <w:szCs w:val="21"/>
                    </w:rPr>
                  </w:pPr>
                  <w:r>
                    <w:rPr>
                      <w:szCs w:val="21"/>
                    </w:rPr>
                    <w:t>本项目粉煤灰、水泥、石灰、干渣等密闭暂存在料仓内，建筑垃圾砂石等采取有效覆盖措施并进行洒水降尘，防治扬尘污染。物料装卸配备喷淋等防尘设施，转运物料采取封闭式皮带输送。厂区主要运输通道实施硬化湿式清扫，堆场进出口设置车辆冲洗设施，运输车辆</w:t>
                  </w:r>
                  <w:r>
                    <w:rPr>
                      <w:rFonts w:hint="eastAsia"/>
                      <w:szCs w:val="21"/>
                    </w:rPr>
                    <w:t>采用</w:t>
                  </w:r>
                  <w:r>
                    <w:rPr>
                      <w:szCs w:val="21"/>
                    </w:rPr>
                    <w:t>密闭</w:t>
                  </w:r>
                  <w:r>
                    <w:rPr>
                      <w:rFonts w:hint="eastAsia"/>
                      <w:szCs w:val="21"/>
                    </w:rPr>
                    <w:t>罐车</w:t>
                  </w:r>
                  <w:r>
                    <w:rPr>
                      <w:szCs w:val="21"/>
                    </w:rPr>
                    <w:t>或全覆盖。</w:t>
                  </w:r>
                </w:p>
              </w:tc>
              <w:tc>
                <w:tcPr>
                  <w:tcW w:w="425" w:type="dxa"/>
                  <w:vAlign w:val="center"/>
                </w:tcPr>
                <w:p>
                  <w:pPr>
                    <w:rPr>
                      <w:szCs w:val="21"/>
                    </w:rPr>
                  </w:pPr>
                  <w:r>
                    <w:rPr>
                      <w:szCs w:val="21"/>
                    </w:rPr>
                    <w:t>符合</w:t>
                  </w:r>
                </w:p>
              </w:tc>
            </w:tr>
          </w:tbl>
          <w:p>
            <w:pPr>
              <w:spacing w:before="120" w:beforeLines="50" w:line="360" w:lineRule="auto"/>
              <w:ind w:firstLine="482" w:firstLineChars="200"/>
              <w:rPr>
                <w:b/>
                <w:bCs/>
                <w:sz w:val="24"/>
              </w:rPr>
            </w:pPr>
            <w:r>
              <w:rPr>
                <w:b/>
                <w:bCs/>
                <w:sz w:val="24"/>
              </w:rPr>
              <w:t>综上，本项目符合大气污染防治及生态环境保护相关文件要求。</w:t>
            </w:r>
          </w:p>
          <w:p>
            <w:pPr>
              <w:spacing w:line="360" w:lineRule="auto"/>
              <w:rPr>
                <w:rFonts w:ascii="宋体" w:hAnsi="宋体"/>
                <w:b/>
                <w:bCs/>
                <w:sz w:val="24"/>
              </w:rPr>
            </w:pPr>
            <w:r>
              <w:rPr>
                <w:b/>
                <w:bCs/>
                <w:sz w:val="24"/>
              </w:rPr>
              <w:t>6、</w:t>
            </w:r>
            <w:r>
              <w:rPr>
                <w:rFonts w:hint="eastAsia" w:ascii="宋体" w:hAnsi="宋体"/>
                <w:b/>
                <w:bCs/>
                <w:sz w:val="24"/>
              </w:rPr>
              <w:t>项目与生态环境部《关于加强高耗能、高排放建设项目生态环境源头防控的指导意见》（环评〔</w:t>
            </w:r>
            <w:r>
              <w:rPr>
                <w:rFonts w:hint="eastAsia"/>
                <w:b/>
                <w:bCs/>
                <w:sz w:val="24"/>
              </w:rPr>
              <w:t>2021</w:t>
            </w:r>
            <w:r>
              <w:rPr>
                <w:rFonts w:hint="eastAsia" w:ascii="宋体" w:hAnsi="宋体"/>
                <w:b/>
                <w:bCs/>
                <w:sz w:val="24"/>
              </w:rPr>
              <w:t>〕</w:t>
            </w:r>
            <w:r>
              <w:rPr>
                <w:rFonts w:hint="eastAsia"/>
                <w:b/>
                <w:bCs/>
                <w:sz w:val="24"/>
              </w:rPr>
              <w:t>45</w:t>
            </w:r>
            <w:r>
              <w:rPr>
                <w:rFonts w:hint="eastAsia" w:ascii="宋体" w:hAnsi="宋体"/>
                <w:b/>
                <w:bCs/>
                <w:sz w:val="24"/>
              </w:rPr>
              <w:t>号）的符合性分析</w:t>
            </w:r>
          </w:p>
          <w:p>
            <w:pPr>
              <w:spacing w:line="360" w:lineRule="auto"/>
              <w:ind w:firstLine="480" w:firstLineChars="200"/>
              <w:rPr>
                <w:rFonts w:ascii="宋体" w:hAnsi="宋体"/>
                <w:sz w:val="24"/>
              </w:rPr>
            </w:pPr>
            <w:r>
              <w:rPr>
                <w:rFonts w:hint="eastAsia" w:ascii="宋体" w:hAnsi="宋体"/>
                <w:sz w:val="24"/>
              </w:rPr>
              <w:t>（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2"/>
              <w:spacing w:after="0" w:line="360" w:lineRule="auto"/>
              <w:ind w:left="0" w:leftChars="0" w:firstLine="480"/>
              <w:rPr>
                <w:sz w:val="24"/>
              </w:rPr>
            </w:pPr>
            <w:r>
              <w:rPr>
                <w:rFonts w:hint="eastAsia"/>
                <w:sz w:val="24"/>
              </w:rPr>
              <w:t>本项目的技术和装备不属于</w:t>
            </w:r>
            <w:r>
              <w:rPr>
                <w:sz w:val="24"/>
              </w:rPr>
              <w:t>《产业结构调整指导目录（2024年本》及</w:t>
            </w:r>
            <w:r>
              <w:rPr>
                <w:rFonts w:eastAsiaTheme="minorEastAsia"/>
                <w:sz w:val="24"/>
              </w:rPr>
              <w:t>《建材行业淘汰落后产能指导目录（2019年）》</w:t>
            </w:r>
            <w:r>
              <w:rPr>
                <w:rFonts w:hint="eastAsia" w:eastAsiaTheme="minorEastAsia"/>
                <w:sz w:val="24"/>
              </w:rPr>
              <w:t>中的淘汰类和限制类，项目满足清洁生产要求，项目使用的燃料为天然气，满足行业排放要求，建设单位要求物料运输使用新能源车辆。</w:t>
            </w:r>
          </w:p>
          <w:p>
            <w:pPr>
              <w:pStyle w:val="2"/>
            </w:pPr>
          </w:p>
          <w:p>
            <w:pPr>
              <w:pStyle w:val="2"/>
            </w:pPr>
          </w:p>
          <w:p>
            <w:pPr>
              <w:pStyle w:val="2"/>
            </w:pPr>
          </w:p>
          <w:p>
            <w:pPr>
              <w:pStyle w:val="2"/>
            </w:pPr>
          </w:p>
          <w:p>
            <w:pPr>
              <w:pStyle w:val="2"/>
            </w:pPr>
          </w:p>
          <w:p>
            <w:pPr>
              <w:pStyle w:val="2"/>
              <w:ind w:left="0" w:leftChars="0" w:firstLine="0" w:firstLineChars="0"/>
            </w:pPr>
          </w:p>
          <w:p>
            <w:pPr>
              <w:pStyle w:val="2"/>
            </w:pPr>
          </w:p>
          <w:p>
            <w:pPr>
              <w:spacing w:before="120" w:beforeLines="50" w:line="360" w:lineRule="auto"/>
              <w:rPr>
                <w:b/>
                <w:bCs/>
                <w:sz w:val="24"/>
              </w:rPr>
            </w:pPr>
          </w:p>
        </w:tc>
      </w:tr>
    </w:tbl>
    <w:p>
      <w:pPr>
        <w:spacing w:line="360" w:lineRule="auto"/>
        <w:outlineLvl w:val="0"/>
        <w:rPr>
          <w:sz w:val="30"/>
        </w:rPr>
        <w:sectPr>
          <w:pgSz w:w="11906" w:h="16838"/>
          <w:pgMar w:top="1701" w:right="1531" w:bottom="1701" w:left="1531" w:header="851" w:footer="1077" w:gutter="0"/>
          <w:cols w:space="720" w:num="1"/>
          <w:docGrid w:linePitch="312" w:charSpace="0"/>
        </w:sectPr>
      </w:pPr>
    </w:p>
    <w:p>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8824" w:type="dxa"/>
            <w:vAlign w:val="center"/>
          </w:tcPr>
          <w:p>
            <w:pPr>
              <w:pStyle w:val="75"/>
              <w:kinsoku w:val="0"/>
              <w:overflowPunct w:val="0"/>
              <w:jc w:val="center"/>
              <w:rPr>
                <w:rFonts w:ascii="Times New Roman" w:hAnsi="Times New Roman" w:eastAsiaTheme="minorEastAsia"/>
                <w:b/>
                <w:bCs/>
                <w:sz w:val="24"/>
                <w:szCs w:val="24"/>
                <w:lang w:eastAsia="zh-CN"/>
              </w:rPr>
            </w:pPr>
            <w:r>
              <w:rPr>
                <w:rFonts w:ascii="Times New Roman" w:hAnsi="Times New Roman"/>
                <w:b/>
                <w:bCs/>
                <w:szCs w:val="24"/>
              </w:rPr>
              <w:t>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824" w:type="dxa"/>
            <w:vAlign w:val="center"/>
          </w:tcPr>
          <w:p>
            <w:pPr>
              <w:pStyle w:val="75"/>
              <w:numPr>
                <w:ilvl w:val="0"/>
                <w:numId w:val="1"/>
              </w:numPr>
              <w:kinsoku w:val="0"/>
              <w:overflowPunct w:val="0"/>
              <w:spacing w:before="120" w:beforeLines="50" w:line="360" w:lineRule="auto"/>
              <w:jc w:val="both"/>
              <w:rPr>
                <w:rFonts w:ascii="Times New Roman" w:hAnsi="Times New Roman" w:eastAsiaTheme="minorEastAsia"/>
                <w:b/>
                <w:bCs/>
                <w:sz w:val="24"/>
                <w:szCs w:val="24"/>
                <w:lang w:eastAsia="zh-CN"/>
              </w:rPr>
            </w:pPr>
            <w:r>
              <w:rPr>
                <w:rFonts w:ascii="Times New Roman" w:hAnsi="Times New Roman" w:eastAsiaTheme="minorEastAsia"/>
                <w:b/>
                <w:bCs/>
                <w:sz w:val="24"/>
                <w:szCs w:val="24"/>
                <w:lang w:eastAsia="zh-CN"/>
              </w:rPr>
              <w:t>项目由来</w:t>
            </w:r>
          </w:p>
          <w:p>
            <w:pPr>
              <w:adjustRightInd w:val="0"/>
              <w:snapToGrid w:val="0"/>
              <w:spacing w:line="360" w:lineRule="auto"/>
              <w:ind w:firstLine="480" w:firstLineChars="200"/>
              <w:contextualSpacing/>
              <w:rPr>
                <w:rFonts w:eastAsiaTheme="minorEastAsia"/>
                <w:sz w:val="24"/>
                <w:highlight w:val="none"/>
              </w:rPr>
            </w:pPr>
            <w:r>
              <w:rPr>
                <w:rFonts w:eastAsiaTheme="minorEastAsia"/>
                <w:sz w:val="24"/>
              </w:rPr>
              <w:t>四川鸿乔再生资源利用有限公司</w:t>
            </w:r>
            <w:r>
              <w:rPr>
                <w:rFonts w:hint="eastAsia" w:eastAsiaTheme="minorEastAsia"/>
                <w:sz w:val="24"/>
              </w:rPr>
              <w:t>位于</w:t>
            </w:r>
            <w:r>
              <w:rPr>
                <w:rFonts w:hint="eastAsia"/>
                <w:sz w:val="24"/>
              </w:rPr>
              <w:t>四川省遂宁市</w:t>
            </w:r>
            <w:r>
              <w:rPr>
                <w:sz w:val="24"/>
              </w:rPr>
              <w:t>大英县蓬莱镇虎泉村8社</w:t>
            </w:r>
            <w:r>
              <w:rPr>
                <w:rFonts w:hint="eastAsia"/>
                <w:sz w:val="24"/>
              </w:rPr>
              <w:t>，</w:t>
            </w:r>
            <w:r>
              <w:rPr>
                <w:rFonts w:hint="eastAsia" w:eastAsiaTheme="minorEastAsia"/>
                <w:sz w:val="24"/>
              </w:rPr>
              <w:t>公司原有“</w:t>
            </w:r>
            <w:r>
              <w:rPr>
                <w:rFonts w:eastAsiaTheme="minorEastAsia"/>
                <w:sz w:val="24"/>
              </w:rPr>
              <w:t>鸿乔再生资源利用项目</w:t>
            </w:r>
            <w:r>
              <w:rPr>
                <w:rFonts w:hint="eastAsia" w:eastAsiaTheme="minorEastAsia"/>
                <w:sz w:val="24"/>
              </w:rPr>
              <w:t>”</w:t>
            </w:r>
            <w:r>
              <w:rPr>
                <w:rFonts w:eastAsiaTheme="minorEastAsia"/>
                <w:sz w:val="24"/>
              </w:rPr>
              <w:t>于2021年9月15日获得《遂宁市大英生态环境局关于鸿乔再生资源利用项目环境影响报告表的批复》（遂大环函〔2021〕119号）。</w:t>
            </w:r>
            <w:r>
              <w:rPr>
                <w:rFonts w:hint="eastAsia" w:eastAsiaTheme="minorEastAsia"/>
                <w:sz w:val="24"/>
              </w:rPr>
              <w:t>“</w:t>
            </w:r>
            <w:r>
              <w:rPr>
                <w:rFonts w:eastAsiaTheme="minorEastAsia"/>
                <w:b/>
                <w:bCs/>
                <w:sz w:val="24"/>
              </w:rPr>
              <w:t>鸿乔再生资源利用项目</w:t>
            </w:r>
            <w:r>
              <w:rPr>
                <w:rFonts w:hint="eastAsia" w:eastAsiaTheme="minorEastAsia"/>
                <w:sz w:val="24"/>
              </w:rPr>
              <w:t>”</w:t>
            </w:r>
            <w:r>
              <w:rPr>
                <w:rFonts w:eastAsiaTheme="minorEastAsia"/>
                <w:sz w:val="24"/>
              </w:rPr>
              <w:t>利用</w:t>
            </w:r>
            <w:r>
              <w:rPr>
                <w:rFonts w:eastAsiaTheme="minorEastAsia"/>
                <w:kern w:val="0"/>
                <w:sz w:val="24"/>
              </w:rPr>
              <w:t>本地区包括建造新的建筑物所产生的建筑废料、市民装修产生的建筑装潢垃圾、拆迁工程产生的废料、道路修建与养护过程产生的废料等在内的</w:t>
            </w:r>
            <w:r>
              <w:rPr>
                <w:rFonts w:eastAsiaTheme="minorEastAsia"/>
                <w:b/>
                <w:bCs/>
                <w:sz w:val="24"/>
              </w:rPr>
              <w:t>建筑垃圾</w:t>
            </w:r>
            <w:r>
              <w:rPr>
                <w:rFonts w:eastAsiaTheme="minorEastAsia"/>
                <w:b/>
                <w:bCs/>
                <w:sz w:val="24"/>
                <w:highlight w:val="none"/>
              </w:rPr>
              <w:t>为主要原料</w:t>
            </w:r>
            <w:r>
              <w:rPr>
                <w:rFonts w:eastAsiaTheme="minorEastAsia"/>
                <w:sz w:val="24"/>
                <w:highlight w:val="none"/>
              </w:rPr>
              <w:t>，利用水泥、石灰粉、碎石、粉煤灰等作为辅料，生产轻质建筑材料（蒸养砖）</w:t>
            </w:r>
            <w:r>
              <w:rPr>
                <w:rFonts w:eastAsiaTheme="minorEastAsia"/>
                <w:b/>
                <w:bCs/>
                <w:sz w:val="24"/>
                <w:highlight w:val="none"/>
              </w:rPr>
              <w:t>，年生产规模为8万m³</w:t>
            </w:r>
            <w:r>
              <w:rPr>
                <w:rFonts w:eastAsiaTheme="minorEastAsia"/>
                <w:sz w:val="24"/>
                <w:highlight w:val="none"/>
              </w:rPr>
              <w:t>，实现建筑垃圾的再生资源利用。受疫情影响等原因，加之流动资金困难，</w:t>
            </w:r>
            <w:r>
              <w:rPr>
                <w:rFonts w:hint="eastAsia" w:eastAsiaTheme="minorEastAsia"/>
                <w:sz w:val="24"/>
                <w:highlight w:val="none"/>
              </w:rPr>
              <w:t>“</w:t>
            </w:r>
            <w:r>
              <w:rPr>
                <w:rFonts w:eastAsiaTheme="minorEastAsia"/>
                <w:sz w:val="24"/>
                <w:highlight w:val="none"/>
              </w:rPr>
              <w:t>鸿乔再生资源利用项目</w:t>
            </w:r>
            <w:r>
              <w:rPr>
                <w:rFonts w:hint="eastAsia" w:eastAsiaTheme="minorEastAsia"/>
                <w:sz w:val="24"/>
                <w:highlight w:val="none"/>
              </w:rPr>
              <w:t>”建成后但未</w:t>
            </w:r>
            <w:r>
              <w:rPr>
                <w:rFonts w:eastAsiaTheme="minorEastAsia"/>
                <w:sz w:val="24"/>
                <w:highlight w:val="none"/>
              </w:rPr>
              <w:t>正式</w:t>
            </w:r>
            <w:r>
              <w:rPr>
                <w:rFonts w:hint="eastAsia" w:eastAsiaTheme="minorEastAsia"/>
                <w:sz w:val="24"/>
                <w:highlight w:val="none"/>
              </w:rPr>
              <w:t>验收</w:t>
            </w:r>
            <w:r>
              <w:rPr>
                <w:rFonts w:eastAsiaTheme="minorEastAsia"/>
                <w:sz w:val="24"/>
                <w:highlight w:val="none"/>
              </w:rPr>
              <w:t>投产。</w:t>
            </w:r>
          </w:p>
          <w:p>
            <w:pPr>
              <w:adjustRightInd w:val="0"/>
              <w:snapToGrid w:val="0"/>
              <w:spacing w:line="360" w:lineRule="auto"/>
              <w:ind w:firstLine="480" w:firstLineChars="200"/>
              <w:contextualSpacing/>
              <w:rPr>
                <w:rFonts w:ascii="宋体" w:hAnsi="宋体"/>
                <w:sz w:val="24"/>
                <w:highlight w:val="none"/>
                <w:shd w:val="clear" w:color="auto" w:fill="FFFFFF"/>
              </w:rPr>
            </w:pPr>
            <w:r>
              <w:rPr>
                <w:rFonts w:hint="eastAsia" w:eastAsiaTheme="minorEastAsia"/>
                <w:sz w:val="24"/>
                <w:highlight w:val="none"/>
              </w:rPr>
              <w:t>由于公司所在的遂宁市大英县区域有大量的</w:t>
            </w:r>
            <w:r>
              <w:rPr>
                <w:rFonts w:eastAsiaTheme="minorEastAsia"/>
                <w:sz w:val="24"/>
                <w:highlight w:val="none"/>
              </w:rPr>
              <w:t>油基岩屑厌氧热回收</w:t>
            </w:r>
            <w:r>
              <w:rPr>
                <w:rFonts w:hint="eastAsia" w:eastAsiaTheme="minorEastAsia"/>
                <w:sz w:val="24"/>
                <w:highlight w:val="none"/>
              </w:rPr>
              <w:t>后的干渣，为了响应和支持</w:t>
            </w:r>
            <w:r>
              <w:rPr>
                <w:rFonts w:ascii="Arial" w:hAnsi="Arial" w:cs="Arial"/>
                <w:sz w:val="24"/>
                <w:highlight w:val="none"/>
                <w:shd w:val="clear" w:color="auto" w:fill="FFFFFF"/>
              </w:rPr>
              <w:t>《中华人民共和国固体废物污染环境防治法》</w:t>
            </w:r>
            <w:r>
              <w:rPr>
                <w:rFonts w:hint="eastAsia" w:ascii="Arial" w:hAnsi="Arial" w:cs="Arial"/>
                <w:sz w:val="24"/>
                <w:highlight w:val="none"/>
                <w:shd w:val="clear" w:color="auto" w:fill="FFFFFF"/>
              </w:rPr>
              <w:t>中</w:t>
            </w:r>
            <w:r>
              <w:rPr>
                <w:rFonts w:hint="eastAsia" w:ascii="宋体" w:hAnsi="宋体" w:cs="楷体"/>
                <w:spacing w:val="2"/>
                <w:sz w:val="24"/>
                <w:highlight w:val="none"/>
              </w:rPr>
              <w:t>固废治理的</w:t>
            </w:r>
            <w:r>
              <w:rPr>
                <w:rFonts w:hint="eastAsia" w:ascii="宋体" w:hAnsi="宋体" w:cs="楷体"/>
                <w:b/>
                <w:bCs/>
                <w:spacing w:val="2"/>
                <w:sz w:val="24"/>
                <w:highlight w:val="none"/>
              </w:rPr>
              <w:t>“</w:t>
            </w:r>
            <w:r>
              <w:rPr>
                <w:rFonts w:hint="eastAsia" w:ascii="宋体" w:hAnsi="宋体"/>
                <w:b/>
                <w:bCs/>
                <w:spacing w:val="30"/>
                <w:sz w:val="24"/>
                <w:highlight w:val="none"/>
                <w:shd w:val="clear" w:color="auto" w:fill="FFFFFF"/>
              </w:rPr>
              <w:t>减量化、资源化和无害化”</w:t>
            </w:r>
            <w:r>
              <w:rPr>
                <w:rFonts w:hint="eastAsia" w:ascii="宋体" w:hAnsi="宋体"/>
                <w:spacing w:val="30"/>
                <w:sz w:val="24"/>
                <w:highlight w:val="none"/>
                <w:shd w:val="clear" w:color="auto" w:fill="FFFFFF"/>
              </w:rPr>
              <w:t>原则和精神</w:t>
            </w:r>
            <w:r>
              <w:rPr>
                <w:rFonts w:hint="eastAsia" w:ascii="宋体" w:hAnsi="宋体"/>
                <w:kern w:val="21"/>
                <w:sz w:val="24"/>
                <w:highlight w:val="none"/>
              </w:rPr>
              <w:t>，推进本地经济产业循环发展，</w:t>
            </w:r>
            <w:r>
              <w:rPr>
                <w:rFonts w:eastAsiaTheme="minorEastAsia"/>
                <w:sz w:val="24"/>
                <w:highlight w:val="none"/>
              </w:rPr>
              <w:t>四川鸿乔再生资源利用有限公司</w:t>
            </w:r>
            <w:r>
              <w:rPr>
                <w:rFonts w:hint="eastAsia" w:eastAsiaTheme="minorEastAsia"/>
                <w:sz w:val="24"/>
                <w:highlight w:val="none"/>
              </w:rPr>
              <w:t>拟在</w:t>
            </w:r>
            <w:r>
              <w:rPr>
                <w:rFonts w:hint="eastAsia" w:eastAsiaTheme="minorEastAsia"/>
                <w:b/>
                <w:bCs/>
                <w:sz w:val="24"/>
                <w:highlight w:val="none"/>
              </w:rPr>
              <w:t>公司已有</w:t>
            </w:r>
            <w:r>
              <w:rPr>
                <w:rFonts w:eastAsiaTheme="minorEastAsia"/>
                <w:b/>
                <w:bCs/>
                <w:sz w:val="24"/>
                <w:highlight w:val="none"/>
              </w:rPr>
              <w:t>的空地内</w:t>
            </w:r>
            <w:r>
              <w:rPr>
                <w:rFonts w:eastAsiaTheme="minorEastAsia"/>
                <w:sz w:val="24"/>
                <w:highlight w:val="none"/>
              </w:rPr>
              <w:t>，</w:t>
            </w:r>
            <w:r>
              <w:rPr>
                <w:rFonts w:hint="eastAsia" w:eastAsiaTheme="minorEastAsia"/>
                <w:b/>
                <w:bCs/>
                <w:sz w:val="24"/>
                <w:highlight w:val="none"/>
              </w:rPr>
              <w:t>搭建</w:t>
            </w:r>
            <w:r>
              <w:rPr>
                <w:rFonts w:eastAsiaTheme="minorEastAsia"/>
                <w:b/>
                <w:bCs/>
                <w:sz w:val="24"/>
                <w:highlight w:val="none"/>
              </w:rPr>
              <w:t>一个面积约660㎡厂房</w:t>
            </w:r>
            <w:r>
              <w:rPr>
                <w:rFonts w:eastAsiaTheme="minorEastAsia"/>
                <w:sz w:val="24"/>
                <w:highlight w:val="none"/>
              </w:rPr>
              <w:t>（</w:t>
            </w:r>
            <w:r>
              <w:rPr>
                <w:rFonts w:eastAsiaTheme="minorEastAsia"/>
                <w:kern w:val="0"/>
                <w:sz w:val="24"/>
                <w:highlight w:val="none"/>
              </w:rPr>
              <w:t>采用树脂瓦构建密闭，</w:t>
            </w:r>
            <w:r>
              <w:rPr>
                <w:rFonts w:eastAsiaTheme="minorEastAsia"/>
                <w:b/>
                <w:bCs/>
                <w:kern w:val="0"/>
                <w:sz w:val="24"/>
                <w:highlight w:val="none"/>
              </w:rPr>
              <w:t>土地现状为建制镇，不占用基本农田</w:t>
            </w:r>
            <w:r>
              <w:rPr>
                <w:rFonts w:eastAsiaTheme="minorEastAsia"/>
                <w:b/>
                <w:bCs/>
                <w:sz w:val="24"/>
                <w:highlight w:val="none"/>
              </w:rPr>
              <w:t>，不新增建设用地</w:t>
            </w:r>
            <w:r>
              <w:rPr>
                <w:rFonts w:eastAsiaTheme="minorEastAsia"/>
                <w:sz w:val="24"/>
                <w:highlight w:val="none"/>
              </w:rPr>
              <w:t>），</w:t>
            </w:r>
            <w:r>
              <w:rPr>
                <w:rFonts w:hint="eastAsia" w:eastAsiaTheme="minorEastAsia"/>
                <w:b/>
                <w:bCs/>
                <w:sz w:val="24"/>
                <w:highlight w:val="none"/>
              </w:rPr>
              <w:t>建设“四川鸿乔再生资源利用有限公司再生资源综合利用升级改造项目”，</w:t>
            </w:r>
            <w:r>
              <w:rPr>
                <w:rFonts w:eastAsiaTheme="minorEastAsia"/>
                <w:sz w:val="24"/>
                <w:highlight w:val="none"/>
              </w:rPr>
              <w:t>并新增一套国内先进的全自动静压型蒸压砖成套设备，依托鸿乔公司现有的蒸养设施，</w:t>
            </w:r>
            <w:r>
              <w:rPr>
                <w:rFonts w:hint="eastAsia" w:eastAsiaTheme="minorEastAsia"/>
                <w:sz w:val="24"/>
                <w:highlight w:val="none"/>
              </w:rPr>
              <w:t>购买四川大英经济开发区的</w:t>
            </w:r>
            <w:r>
              <w:rPr>
                <w:rFonts w:eastAsiaTheme="minorEastAsia"/>
                <w:sz w:val="24"/>
                <w:highlight w:val="none"/>
              </w:rPr>
              <w:t>四川永津环保技术有限公司油基岩屑厌氧热回收</w:t>
            </w:r>
            <w:r>
              <w:rPr>
                <w:rFonts w:hint="eastAsia" w:eastAsiaTheme="minorEastAsia"/>
                <w:sz w:val="24"/>
                <w:highlight w:val="none"/>
              </w:rPr>
              <w:t>后的</w:t>
            </w:r>
            <w:r>
              <w:rPr>
                <w:rFonts w:hint="eastAsia" w:eastAsiaTheme="minorEastAsia"/>
                <w:b/>
                <w:bCs/>
                <w:sz w:val="24"/>
                <w:highlight w:val="none"/>
              </w:rPr>
              <w:t>一般固废干渣</w:t>
            </w:r>
            <w:r>
              <w:rPr>
                <w:rFonts w:eastAsiaTheme="minorEastAsia"/>
                <w:sz w:val="24"/>
                <w:highlight w:val="none"/>
              </w:rPr>
              <w:t>作为主要原料，</w:t>
            </w:r>
            <w:r>
              <w:rPr>
                <w:rFonts w:hint="eastAsia" w:eastAsiaTheme="minorEastAsia"/>
                <w:sz w:val="24"/>
                <w:highlight w:val="none"/>
              </w:rPr>
              <w:t>以</w:t>
            </w:r>
            <w:r>
              <w:rPr>
                <w:rFonts w:eastAsiaTheme="minorEastAsia"/>
                <w:sz w:val="24"/>
                <w:highlight w:val="none"/>
              </w:rPr>
              <w:t>水泥作为辅料，</w:t>
            </w:r>
            <w:r>
              <w:rPr>
                <w:rFonts w:hint="eastAsia" w:eastAsiaTheme="minorEastAsia"/>
                <w:sz w:val="24"/>
                <w:highlight w:val="none"/>
              </w:rPr>
              <w:t>干渣和水泥的配比为9:</w:t>
            </w:r>
            <w:r>
              <w:rPr>
                <w:rFonts w:eastAsiaTheme="minorEastAsia"/>
                <w:sz w:val="24"/>
                <w:highlight w:val="none"/>
              </w:rPr>
              <w:t>1</w:t>
            </w:r>
            <w:r>
              <w:rPr>
                <w:rFonts w:hint="eastAsia" w:eastAsiaTheme="minorEastAsia"/>
                <w:sz w:val="24"/>
                <w:highlight w:val="none"/>
              </w:rPr>
              <w:t>；</w:t>
            </w:r>
            <w:r>
              <w:rPr>
                <w:rFonts w:eastAsiaTheme="minorEastAsia"/>
                <w:sz w:val="24"/>
                <w:highlight w:val="none"/>
              </w:rPr>
              <w:t>生产规格为240mm×115mm×53mm的蒸压灰砂砖，</w:t>
            </w:r>
            <w:r>
              <w:rPr>
                <w:rFonts w:eastAsiaTheme="minorEastAsia"/>
                <w:b/>
                <w:bCs/>
                <w:sz w:val="24"/>
                <w:highlight w:val="none"/>
              </w:rPr>
              <w:t>年生产规模4.4万m³</w:t>
            </w:r>
            <w:r>
              <w:rPr>
                <w:rFonts w:eastAsiaTheme="minorEastAsia"/>
                <w:sz w:val="24"/>
                <w:highlight w:val="none"/>
              </w:rPr>
              <w:t>（约3000万块）；</w:t>
            </w:r>
          </w:p>
          <w:p>
            <w:pPr>
              <w:adjustRightInd w:val="0"/>
              <w:snapToGrid w:val="0"/>
              <w:spacing w:line="360" w:lineRule="auto"/>
              <w:ind w:firstLine="480" w:firstLineChars="200"/>
              <w:contextualSpacing/>
              <w:rPr>
                <w:rFonts w:eastAsiaTheme="minorEastAsia"/>
                <w:sz w:val="24"/>
              </w:rPr>
            </w:pPr>
            <w:r>
              <w:rPr>
                <w:rFonts w:hint="eastAsia" w:eastAsiaTheme="minorEastAsia"/>
                <w:sz w:val="24"/>
                <w:highlight w:val="none"/>
              </w:rPr>
              <w:t>同时</w:t>
            </w:r>
            <w:r>
              <w:rPr>
                <w:rFonts w:hint="eastAsia" w:eastAsiaTheme="minorEastAsia"/>
                <w:b/>
                <w:bCs/>
                <w:sz w:val="24"/>
                <w:highlight w:val="none"/>
              </w:rPr>
              <w:t>将</w:t>
            </w:r>
            <w:r>
              <w:rPr>
                <w:rFonts w:eastAsiaTheme="minorEastAsia"/>
                <w:b/>
                <w:bCs/>
                <w:sz w:val="24"/>
                <w:highlight w:val="none"/>
              </w:rPr>
              <w:t>鸿乔公司现有蒸养砖生产线</w:t>
            </w:r>
            <w:r>
              <w:rPr>
                <w:rFonts w:hint="eastAsia" w:eastAsiaTheme="minorEastAsia"/>
                <w:b/>
                <w:bCs/>
                <w:sz w:val="24"/>
              </w:rPr>
              <w:t>的生产规模降低</w:t>
            </w:r>
            <w:r>
              <w:rPr>
                <w:rFonts w:hint="eastAsia" w:eastAsiaTheme="minorEastAsia"/>
                <w:sz w:val="24"/>
              </w:rPr>
              <w:t>，</w:t>
            </w:r>
            <w:r>
              <w:rPr>
                <w:rFonts w:hint="eastAsia" w:eastAsiaTheme="minorEastAsia"/>
                <w:b/>
                <w:bCs/>
                <w:sz w:val="24"/>
              </w:rPr>
              <w:t>由</w:t>
            </w:r>
            <w:r>
              <w:rPr>
                <w:rFonts w:eastAsiaTheme="minorEastAsia"/>
                <w:b/>
                <w:bCs/>
                <w:sz w:val="24"/>
              </w:rPr>
              <w:t>年生产规模为8万m³的蒸养砖</w:t>
            </w:r>
            <w:r>
              <w:rPr>
                <w:rFonts w:hint="eastAsia" w:eastAsiaTheme="minorEastAsia"/>
                <w:b/>
                <w:bCs/>
                <w:sz w:val="24"/>
              </w:rPr>
              <w:t>减少为</w:t>
            </w:r>
            <w:r>
              <w:rPr>
                <w:rFonts w:eastAsiaTheme="minorEastAsia"/>
                <w:b/>
                <w:bCs/>
                <w:sz w:val="24"/>
              </w:rPr>
              <w:t>年生产规模为3.6万m³</w:t>
            </w:r>
            <w:r>
              <w:rPr>
                <w:rFonts w:eastAsiaTheme="minorEastAsia"/>
                <w:sz w:val="24"/>
              </w:rPr>
              <w:t>。</w:t>
            </w:r>
            <w:r>
              <w:rPr>
                <w:rFonts w:hint="eastAsia" w:eastAsiaTheme="minorEastAsia"/>
                <w:sz w:val="24"/>
              </w:rPr>
              <w:t>另将原生产线破碎工序进行环保升级，</w:t>
            </w:r>
            <w:r>
              <w:rPr>
                <w:rFonts w:hint="eastAsia" w:eastAsiaTheme="minorEastAsia"/>
                <w:b/>
                <w:bCs/>
                <w:sz w:val="24"/>
              </w:rPr>
              <w:t>将破碎设备布置于密闭车间内，以减少粉尘的产生</w:t>
            </w:r>
            <w:r>
              <w:rPr>
                <w:rFonts w:hint="eastAsia" w:eastAsiaTheme="minorEastAsia"/>
                <w:sz w:val="24"/>
              </w:rPr>
              <w:t>，同时对原生产线的其他工序</w:t>
            </w:r>
            <w:r>
              <w:rPr>
                <w:rFonts w:eastAsiaTheme="minorEastAsia"/>
                <w:sz w:val="24"/>
              </w:rPr>
              <w:t>进行</w:t>
            </w:r>
            <w:r>
              <w:rPr>
                <w:rFonts w:hint="eastAsia" w:eastAsiaTheme="minorEastAsia"/>
                <w:sz w:val="24"/>
              </w:rPr>
              <w:t>环保升级</w:t>
            </w:r>
            <w:r>
              <w:rPr>
                <w:rFonts w:eastAsiaTheme="minorEastAsia"/>
                <w:sz w:val="24"/>
              </w:rPr>
              <w:t>改造，</w:t>
            </w:r>
            <w:r>
              <w:rPr>
                <w:rFonts w:hint="eastAsia" w:eastAsiaTheme="minorEastAsia"/>
                <w:sz w:val="24"/>
              </w:rPr>
              <w:t>在易产尘点增设喷雾降尘设施</w:t>
            </w:r>
            <w:r>
              <w:rPr>
                <w:rFonts w:eastAsiaTheme="minorEastAsia"/>
                <w:sz w:val="24"/>
              </w:rPr>
              <w:t>，提高生产线自动化程度，</w:t>
            </w:r>
            <w:r>
              <w:rPr>
                <w:rFonts w:hint="eastAsia" w:eastAsiaTheme="minorEastAsia"/>
                <w:sz w:val="24"/>
              </w:rPr>
              <w:t>仍</w:t>
            </w:r>
            <w:r>
              <w:rPr>
                <w:rFonts w:eastAsiaTheme="minorEastAsia"/>
                <w:sz w:val="24"/>
              </w:rPr>
              <w:t>采用建筑垃圾、碎石为主要原料，利用水泥、石灰、粉煤灰等作为辅料，</w:t>
            </w:r>
            <w:r>
              <w:rPr>
                <w:rFonts w:hint="eastAsia" w:eastAsiaTheme="minorEastAsia"/>
                <w:b/>
                <w:bCs/>
                <w:sz w:val="24"/>
              </w:rPr>
              <w:t>并用成品石灰粉（封闭罐装）替代原设计的石灰块作为辅料制砖，减少了石灰块破碎粉尘的产生</w:t>
            </w:r>
            <w:r>
              <w:rPr>
                <w:rFonts w:hint="eastAsia" w:eastAsiaTheme="minorEastAsia"/>
                <w:sz w:val="24"/>
              </w:rPr>
              <w:t>。</w:t>
            </w:r>
          </w:p>
          <w:p>
            <w:pPr>
              <w:adjustRightInd w:val="0"/>
              <w:snapToGrid w:val="0"/>
              <w:spacing w:before="120" w:beforeLines="50" w:line="360" w:lineRule="auto"/>
              <w:ind w:firstLine="480" w:firstLineChars="200"/>
              <w:contextualSpacing/>
              <w:rPr>
                <w:rFonts w:eastAsiaTheme="minorEastAsia"/>
                <w:sz w:val="24"/>
              </w:rPr>
            </w:pPr>
            <w:r>
              <w:rPr>
                <w:rFonts w:eastAsiaTheme="minorEastAsia"/>
                <w:sz w:val="24"/>
              </w:rPr>
              <w:t>对鸿乔公司</w:t>
            </w:r>
            <w:r>
              <w:rPr>
                <w:rFonts w:hint="eastAsia" w:eastAsiaTheme="minorEastAsia"/>
                <w:sz w:val="24"/>
              </w:rPr>
              <w:t>原</w:t>
            </w:r>
            <w:r>
              <w:rPr>
                <w:rFonts w:eastAsiaTheme="minorEastAsia"/>
                <w:sz w:val="24"/>
              </w:rPr>
              <w:t>有蒸养砖生产线进行上述改造后，项目将生产蒸养砖和蒸压灰砂砖等两种轻质建材产品，</w:t>
            </w:r>
            <w:r>
              <w:rPr>
                <w:rFonts w:eastAsiaTheme="minorEastAsia"/>
                <w:b/>
                <w:bCs/>
                <w:sz w:val="24"/>
              </w:rPr>
              <w:t xml:space="preserve">项目年生产规模8万m³ </w:t>
            </w:r>
            <w:r>
              <w:rPr>
                <w:rFonts w:hint="eastAsia" w:eastAsiaTheme="minorEastAsia"/>
                <w:b/>
                <w:bCs/>
                <w:sz w:val="24"/>
              </w:rPr>
              <w:t>保持</w:t>
            </w:r>
            <w:r>
              <w:rPr>
                <w:rFonts w:eastAsiaTheme="minorEastAsia"/>
                <w:b/>
                <w:bCs/>
                <w:sz w:val="24"/>
              </w:rPr>
              <w:t>不变，</w:t>
            </w:r>
            <w:r>
              <w:rPr>
                <w:rFonts w:hint="eastAsia" w:eastAsiaTheme="minorEastAsia"/>
                <w:b/>
                <w:bCs/>
                <w:sz w:val="24"/>
              </w:rPr>
              <w:t>改建后</w:t>
            </w:r>
            <w:r>
              <w:rPr>
                <w:rFonts w:eastAsiaTheme="minorEastAsia"/>
                <w:b/>
                <w:bCs/>
                <w:sz w:val="24"/>
              </w:rPr>
              <w:t>项目污染物排放总量</w:t>
            </w:r>
            <w:r>
              <w:rPr>
                <w:rFonts w:hint="eastAsia" w:eastAsiaTheme="minorEastAsia"/>
                <w:b/>
                <w:bCs/>
                <w:sz w:val="24"/>
              </w:rPr>
              <w:t>未增加</w:t>
            </w:r>
            <w:r>
              <w:rPr>
                <w:rFonts w:eastAsiaTheme="minorEastAsia"/>
                <w:b/>
                <w:bCs/>
                <w:sz w:val="24"/>
              </w:rPr>
              <w:t>。</w:t>
            </w:r>
          </w:p>
          <w:p>
            <w:pPr>
              <w:adjustRightInd w:val="0"/>
              <w:snapToGrid w:val="0"/>
              <w:spacing w:line="360" w:lineRule="auto"/>
              <w:ind w:firstLine="488" w:firstLineChars="200"/>
              <w:contextualSpacing/>
              <w:rPr>
                <w:rFonts w:eastAsiaTheme="minorEastAsia"/>
                <w:sz w:val="24"/>
              </w:rPr>
            </w:pPr>
            <w:r>
              <w:rPr>
                <w:rFonts w:hint="eastAsia" w:eastAsiaTheme="minorEastAsia"/>
                <w:spacing w:val="2"/>
                <w:sz w:val="24"/>
              </w:rPr>
              <w:t>因此</w:t>
            </w:r>
            <w:r>
              <w:rPr>
                <w:rFonts w:eastAsiaTheme="minorEastAsia"/>
                <w:sz w:val="24"/>
              </w:rPr>
              <w:t>四川鸿乔再生资源利用有限公司</w:t>
            </w:r>
            <w:r>
              <w:rPr>
                <w:rFonts w:hint="eastAsia" w:eastAsiaTheme="minorEastAsia"/>
                <w:sz w:val="24"/>
              </w:rPr>
              <w:t>拟购买</w:t>
            </w:r>
            <w:r>
              <w:rPr>
                <w:rFonts w:eastAsiaTheme="minorEastAsia"/>
                <w:b/>
                <w:bCs/>
                <w:sz w:val="24"/>
              </w:rPr>
              <w:t>永津环保公司油基岩屑经厌氧热回收处理后的干渣</w:t>
            </w:r>
            <w:r>
              <w:rPr>
                <w:rFonts w:hint="eastAsia" w:eastAsiaTheme="minorEastAsia"/>
                <w:b/>
                <w:bCs/>
                <w:sz w:val="24"/>
              </w:rPr>
              <w:t>为原料进行制砖，以实现资源化再利用，</w:t>
            </w:r>
            <w:r>
              <w:rPr>
                <w:rFonts w:hint="eastAsia" w:eastAsiaTheme="minorEastAsia"/>
                <w:sz w:val="24"/>
              </w:rPr>
              <w:t>故</w:t>
            </w:r>
            <w:r>
              <w:rPr>
                <w:rFonts w:eastAsiaTheme="minorEastAsia"/>
                <w:sz w:val="24"/>
              </w:rPr>
              <w:t>鸿乔</w:t>
            </w:r>
            <w:r>
              <w:rPr>
                <w:sz w:val="24"/>
              </w:rPr>
              <w:t>公司于2024年1月2日</w:t>
            </w:r>
            <w:r>
              <w:rPr>
                <w:rFonts w:hint="eastAsia"/>
                <w:sz w:val="24"/>
              </w:rPr>
              <w:t>在</w:t>
            </w:r>
            <w:r>
              <w:rPr>
                <w:sz w:val="24"/>
              </w:rPr>
              <w:t>大英县经济信息化和科学技术局</w:t>
            </w:r>
            <w:r>
              <w:rPr>
                <w:rFonts w:hint="eastAsia"/>
                <w:sz w:val="24"/>
              </w:rPr>
              <w:t>完成</w:t>
            </w:r>
            <w:r>
              <w:rPr>
                <w:sz w:val="24"/>
              </w:rPr>
              <w:t>了“四川鸿乔再生资源利用有限公司再生资源综合利用升级改造项目”的投资项目备案，</w:t>
            </w:r>
            <w:r>
              <w:rPr>
                <w:rFonts w:hint="eastAsia"/>
                <w:sz w:val="24"/>
              </w:rPr>
              <w:t>拟</w:t>
            </w:r>
            <w:r>
              <w:rPr>
                <w:rFonts w:eastAsiaTheme="minorEastAsia"/>
                <w:sz w:val="24"/>
              </w:rPr>
              <w:t>利用本地区的建筑垃圾和永津环保公司油基岩屑厌氧热回收处理后的干渣，生产蒸养砖和蒸压灰砂砖等轻质建筑材料。</w:t>
            </w:r>
          </w:p>
          <w:p>
            <w:pPr>
              <w:spacing w:line="360" w:lineRule="auto"/>
              <w:ind w:firstLine="468" w:firstLineChars="200"/>
              <w:rPr>
                <w:sz w:val="24"/>
              </w:rPr>
            </w:pPr>
            <w:r>
              <w:rPr>
                <w:rFonts w:eastAsiaTheme="minorEastAsia"/>
                <w:spacing w:val="-3"/>
                <w:sz w:val="24"/>
              </w:rPr>
              <w:t>根据《中华人民共和国环境保护法》、《中华人民共和国环境影响评价</w:t>
            </w:r>
            <w:r>
              <w:rPr>
                <w:rFonts w:eastAsiaTheme="minorEastAsia"/>
                <w:sz w:val="24"/>
              </w:rPr>
              <w:t>法》和国务院第682号令《建设项目环境保护管理条例》等有关条款规定，本项目需进行环境影响评价，根据《建设项目环境影响评价分类管理名录》（2021</w:t>
            </w:r>
            <w:r>
              <w:rPr>
                <w:rFonts w:eastAsiaTheme="minorEastAsia"/>
                <w:spacing w:val="-2"/>
                <w:sz w:val="24"/>
              </w:rPr>
              <w:t xml:space="preserve"> </w:t>
            </w:r>
            <w:r>
              <w:rPr>
                <w:rFonts w:eastAsiaTheme="minorEastAsia"/>
                <w:sz w:val="24"/>
              </w:rPr>
              <w:t>年版）本项目属于“二十七、非金属矿物制品业30”中“56</w:t>
            </w:r>
            <w:r>
              <w:rPr>
                <w:rFonts w:eastAsiaTheme="minorEastAsia"/>
                <w:spacing w:val="-3"/>
                <w:sz w:val="24"/>
              </w:rPr>
              <w:t xml:space="preserve"> </w:t>
            </w:r>
            <w:r>
              <w:rPr>
                <w:rFonts w:eastAsiaTheme="minorEastAsia"/>
                <w:sz w:val="24"/>
              </w:rPr>
              <w:t>砖瓦、石材等建筑材料制造303”</w:t>
            </w:r>
            <w:r>
              <w:rPr>
                <w:rFonts w:hint="eastAsia" w:eastAsiaTheme="minorEastAsia"/>
                <w:sz w:val="24"/>
              </w:rPr>
              <w:t>和</w:t>
            </w:r>
            <w:r>
              <w:rPr>
                <w:rFonts w:eastAsiaTheme="minorEastAsia"/>
                <w:sz w:val="24"/>
              </w:rPr>
              <w:t>“四十七、生态保护和环境治理业，103一般工</w:t>
            </w:r>
            <w:r>
              <w:rPr>
                <w:rFonts w:eastAsiaTheme="minorEastAsia"/>
                <w:spacing w:val="-3"/>
                <w:sz w:val="24"/>
              </w:rPr>
              <w:t>业固体废物（含污水处理污泥）、建筑施工废弃物处置及综合利用”，需编</w:t>
            </w:r>
            <w:r>
              <w:rPr>
                <w:rFonts w:eastAsiaTheme="minorEastAsia"/>
                <w:sz w:val="24"/>
              </w:rPr>
              <w:t>制环境影响报告表。为此，四川鸿乔再生资源利用有限公司2023年9月</w:t>
            </w:r>
            <w:r>
              <w:rPr>
                <w:rFonts w:hint="eastAsia" w:eastAsiaTheme="minorEastAsia"/>
                <w:sz w:val="24"/>
                <w:lang w:eastAsia="zh-CN"/>
              </w:rPr>
              <w:t>委托</w:t>
            </w:r>
            <w:r>
              <w:rPr>
                <w:rFonts w:eastAsiaTheme="minorEastAsia"/>
                <w:sz w:val="24"/>
                <w:shd w:val="clear" w:color="auto" w:fill="FFFFFF"/>
              </w:rPr>
              <w:t>四川清奕生态环境科技有限公司</w:t>
            </w:r>
            <w:r>
              <w:rPr>
                <w:rFonts w:eastAsiaTheme="minorEastAsia"/>
                <w:sz w:val="24"/>
              </w:rPr>
              <w:t>承担该项目的环境影响评价工作，</w:t>
            </w:r>
            <w:r>
              <w:rPr>
                <w:rFonts w:hint="eastAsia" w:eastAsiaTheme="minorEastAsia"/>
                <w:sz w:val="24"/>
              </w:rPr>
              <w:t>编制</w:t>
            </w:r>
            <w:r>
              <w:rPr>
                <w:rFonts w:eastAsiaTheme="minorEastAsia"/>
                <w:sz w:val="24"/>
              </w:rPr>
              <w:t>单位接受委托后，</w:t>
            </w:r>
            <w:r>
              <w:rPr>
                <w:rFonts w:eastAsiaTheme="minorEastAsia"/>
                <w:spacing w:val="4"/>
                <w:sz w:val="24"/>
              </w:rPr>
              <w:t>立即组织有关技术人员对工程场址及周围环境进行了详尽的实地勘察和相</w:t>
            </w:r>
            <w:r>
              <w:rPr>
                <w:rFonts w:eastAsiaTheme="minorEastAsia"/>
                <w:spacing w:val="-2"/>
                <w:sz w:val="24"/>
              </w:rPr>
              <w:t>关资料的收集、核实与分析工作，在此基础上，编制了《</w:t>
            </w:r>
            <w:r>
              <w:rPr>
                <w:rFonts w:eastAsiaTheme="minorEastAsia"/>
                <w:sz w:val="24"/>
              </w:rPr>
              <w:t>四川鸿乔再生资源利用有限公司再生资源综合利用升级改造项目环境影响报告表》</w:t>
            </w:r>
            <w:r>
              <w:rPr>
                <w:sz w:val="24"/>
              </w:rPr>
              <w:t>。</w:t>
            </w:r>
          </w:p>
          <w:p>
            <w:pPr>
              <w:spacing w:line="360" w:lineRule="auto"/>
              <w:rPr>
                <w:b/>
                <w:sz w:val="24"/>
              </w:rPr>
            </w:pPr>
            <w:r>
              <w:rPr>
                <w:b/>
                <w:sz w:val="24"/>
              </w:rPr>
              <w:t>2</w:t>
            </w:r>
            <w:r>
              <w:rPr>
                <w:rFonts w:eastAsiaTheme="minorEastAsia"/>
                <w:b/>
                <w:bCs/>
                <w:sz w:val="24"/>
              </w:rPr>
              <w:t>、</w:t>
            </w:r>
            <w:r>
              <w:rPr>
                <w:b/>
                <w:sz w:val="24"/>
              </w:rPr>
              <w:t>项目组成及主要环境问题</w:t>
            </w:r>
          </w:p>
          <w:p>
            <w:pPr>
              <w:spacing w:line="360" w:lineRule="auto"/>
              <w:ind w:firstLine="480" w:firstLineChars="200"/>
              <w:rPr>
                <w:sz w:val="24"/>
              </w:rPr>
            </w:pPr>
            <w:r>
              <w:rPr>
                <w:sz w:val="24"/>
              </w:rPr>
              <w:t>项目</w:t>
            </w:r>
            <w:r>
              <w:rPr>
                <w:rFonts w:hint="eastAsia" w:eastAsiaTheme="minorEastAsia"/>
                <w:sz w:val="24"/>
              </w:rPr>
              <w:t>在</w:t>
            </w:r>
            <w:r>
              <w:rPr>
                <w:rFonts w:eastAsiaTheme="minorEastAsia"/>
                <w:sz w:val="24"/>
              </w:rPr>
              <w:t>四川鸿乔再生资源利用有限公司的现有土地</w:t>
            </w:r>
            <w:r>
              <w:rPr>
                <w:rFonts w:hint="eastAsia" w:eastAsiaTheme="minorEastAsia"/>
                <w:sz w:val="24"/>
              </w:rPr>
              <w:t>范围</w:t>
            </w:r>
            <w:r>
              <w:rPr>
                <w:rFonts w:eastAsiaTheme="minorEastAsia"/>
                <w:sz w:val="24"/>
              </w:rPr>
              <w:t>（约7000㎡）</w:t>
            </w:r>
            <w:r>
              <w:rPr>
                <w:rFonts w:hint="eastAsia" w:eastAsiaTheme="minorEastAsia"/>
                <w:sz w:val="24"/>
              </w:rPr>
              <w:t>内建设</w:t>
            </w:r>
            <w:r>
              <w:rPr>
                <w:sz w:val="24"/>
              </w:rPr>
              <w:t>生产车间约660m</w:t>
            </w:r>
            <w:r>
              <w:rPr>
                <w:sz w:val="24"/>
                <w:vertAlign w:val="superscript"/>
              </w:rPr>
              <w:t>2</w:t>
            </w:r>
            <w:r>
              <w:rPr>
                <w:sz w:val="24"/>
              </w:rPr>
              <w:t>；</w:t>
            </w:r>
            <w:r>
              <w:rPr>
                <w:rFonts w:hint="eastAsia"/>
                <w:sz w:val="24"/>
              </w:rPr>
              <w:t>并</w:t>
            </w:r>
            <w:r>
              <w:rPr>
                <w:rFonts w:eastAsiaTheme="minorEastAsia"/>
                <w:sz w:val="24"/>
              </w:rPr>
              <w:t>新增一套国内先进的全自动静压型蒸压砖成套设备</w:t>
            </w:r>
            <w:r>
              <w:rPr>
                <w:rFonts w:hint="eastAsia" w:eastAsiaTheme="minorEastAsia"/>
                <w:sz w:val="24"/>
              </w:rPr>
              <w:t>，</w:t>
            </w:r>
            <w:r>
              <w:rPr>
                <w:sz w:val="24"/>
              </w:rPr>
              <w:t>主要</w:t>
            </w:r>
            <w:r>
              <w:rPr>
                <w:rFonts w:hint="eastAsia"/>
                <w:sz w:val="24"/>
              </w:rPr>
              <w:t>建设一条</w:t>
            </w:r>
            <w:r>
              <w:rPr>
                <w:rFonts w:eastAsiaTheme="minorEastAsia"/>
                <w:sz w:val="24"/>
              </w:rPr>
              <w:t>蒸压灰砂砖</w:t>
            </w:r>
            <w:r>
              <w:rPr>
                <w:rFonts w:hint="eastAsia" w:eastAsiaTheme="minorEastAsia"/>
                <w:sz w:val="24"/>
              </w:rPr>
              <w:t>生产线</w:t>
            </w:r>
            <w:r>
              <w:rPr>
                <w:rFonts w:hint="eastAsia"/>
                <w:sz w:val="24"/>
              </w:rPr>
              <w:t>，</w:t>
            </w:r>
            <w:r>
              <w:rPr>
                <w:sz w:val="24"/>
              </w:rPr>
              <w:t>项目建成后可</w:t>
            </w:r>
            <w:r>
              <w:rPr>
                <w:rFonts w:hint="eastAsia"/>
                <w:sz w:val="24"/>
              </w:rPr>
              <w:t>生产</w:t>
            </w:r>
            <w:r>
              <w:rPr>
                <w:rFonts w:eastAsiaTheme="minorEastAsia"/>
                <w:sz w:val="24"/>
              </w:rPr>
              <w:t>蒸压灰砂砖</w:t>
            </w:r>
            <w:r>
              <w:rPr>
                <w:rFonts w:hint="eastAsia"/>
                <w:sz w:val="24"/>
              </w:rPr>
              <w:t>4</w:t>
            </w:r>
            <w:r>
              <w:rPr>
                <w:sz w:val="24"/>
              </w:rPr>
              <w:t>.4万立方米。</w:t>
            </w:r>
            <w:r>
              <w:rPr>
                <w:rFonts w:hint="eastAsia"/>
                <w:sz w:val="24"/>
              </w:rPr>
              <w:t>新建</w:t>
            </w:r>
            <w:r>
              <w:rPr>
                <w:sz w:val="24"/>
              </w:rPr>
              <w:t>项目组成及主要环境问题见下表。</w:t>
            </w:r>
          </w:p>
          <w:p>
            <w:pPr>
              <w:pStyle w:val="61"/>
              <w:rPr>
                <w:sz w:val="21"/>
                <w:szCs w:val="21"/>
              </w:rPr>
            </w:pPr>
          </w:p>
          <w:p>
            <w:pPr>
              <w:pStyle w:val="61"/>
              <w:rPr>
                <w:sz w:val="21"/>
                <w:szCs w:val="21"/>
              </w:rPr>
            </w:pPr>
            <w:r>
              <w:rPr>
                <w:sz w:val="21"/>
                <w:szCs w:val="21"/>
              </w:rPr>
              <w:t xml:space="preserve">表2-1 </w:t>
            </w:r>
            <w:r>
              <w:rPr>
                <w:rFonts w:hint="eastAsia"/>
                <w:sz w:val="21"/>
                <w:szCs w:val="21"/>
              </w:rPr>
              <w:t>新建</w:t>
            </w:r>
            <w:r>
              <w:rPr>
                <w:sz w:val="21"/>
                <w:szCs w:val="21"/>
              </w:rPr>
              <w:t>项目组成及主要环境问题</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09"/>
              <w:gridCol w:w="845"/>
              <w:gridCol w:w="4281"/>
              <w:gridCol w:w="1081"/>
              <w:gridCol w:w="92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35" w:hRule="atLeast"/>
              </w:trPr>
              <w:tc>
                <w:tcPr>
                  <w:tcW w:w="903" w:type="pct"/>
                  <w:gridSpan w:val="2"/>
                  <w:vMerge w:val="restart"/>
                  <w:vAlign w:val="center"/>
                </w:tcPr>
                <w:p>
                  <w:pPr>
                    <w:pStyle w:val="80"/>
                    <w:spacing w:line="228" w:lineRule="auto"/>
                    <w:rPr>
                      <w:rFonts w:ascii="Times New Roman" w:hAnsi="Times New Roman"/>
                      <w:szCs w:val="21"/>
                    </w:rPr>
                  </w:pPr>
                  <w:r>
                    <w:rPr>
                      <w:rFonts w:ascii="Times New Roman" w:hAnsi="Times New Roman"/>
                      <w:szCs w:val="21"/>
                    </w:rPr>
                    <w:t>项目组成</w:t>
                  </w:r>
                </w:p>
              </w:tc>
              <w:tc>
                <w:tcPr>
                  <w:tcW w:w="2487" w:type="pct"/>
                  <w:vMerge w:val="restart"/>
                  <w:vAlign w:val="center"/>
                </w:tcPr>
                <w:p>
                  <w:pPr>
                    <w:pStyle w:val="80"/>
                    <w:spacing w:line="228" w:lineRule="auto"/>
                    <w:rPr>
                      <w:rFonts w:ascii="Times New Roman" w:hAnsi="Times New Roman"/>
                      <w:szCs w:val="21"/>
                    </w:rPr>
                  </w:pPr>
                  <w:r>
                    <w:rPr>
                      <w:rFonts w:ascii="Times New Roman" w:hAnsi="Times New Roman"/>
                      <w:szCs w:val="21"/>
                    </w:rPr>
                    <w:t>建设内容及规模</w:t>
                  </w:r>
                </w:p>
              </w:tc>
              <w:tc>
                <w:tcPr>
                  <w:tcW w:w="1167" w:type="pct"/>
                  <w:gridSpan w:val="2"/>
                  <w:vAlign w:val="center"/>
                </w:tcPr>
                <w:p>
                  <w:pPr>
                    <w:pStyle w:val="80"/>
                    <w:spacing w:line="228" w:lineRule="auto"/>
                    <w:rPr>
                      <w:rFonts w:ascii="Times New Roman" w:hAnsi="Times New Roman"/>
                      <w:szCs w:val="21"/>
                    </w:rPr>
                  </w:pPr>
                  <w:r>
                    <w:rPr>
                      <w:rFonts w:ascii="Times New Roman" w:hAnsi="Times New Roman"/>
                      <w:szCs w:val="21"/>
                    </w:rPr>
                    <w:t>可能产生的环境问题</w:t>
                  </w:r>
                </w:p>
              </w:tc>
              <w:tc>
                <w:tcPr>
                  <w:tcW w:w="443" w:type="pct"/>
                  <w:vMerge w:val="restart"/>
                  <w:vAlign w:val="center"/>
                </w:tcPr>
                <w:p>
                  <w:pPr>
                    <w:pStyle w:val="80"/>
                    <w:spacing w:line="228" w:lineRule="auto"/>
                    <w:rPr>
                      <w:rFonts w:ascii="Times New Roman" w:hAnsi="Times New Roman"/>
                      <w:szCs w:val="21"/>
                    </w:rPr>
                  </w:pPr>
                  <w:r>
                    <w:rPr>
                      <w:rFonts w:ascii="Times New Roman" w:hAnsi="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0" w:hRule="atLeast"/>
              </w:trPr>
              <w:tc>
                <w:tcPr>
                  <w:tcW w:w="903" w:type="pct"/>
                  <w:gridSpan w:val="2"/>
                  <w:vMerge w:val="continue"/>
                  <w:vAlign w:val="center"/>
                </w:tcPr>
                <w:p>
                  <w:pPr>
                    <w:pStyle w:val="79"/>
                    <w:spacing w:line="228" w:lineRule="auto"/>
                    <w:jc w:val="both"/>
                    <w:rPr>
                      <w:rFonts w:ascii="Times New Roman" w:hAnsi="Times New Roman"/>
                    </w:rPr>
                  </w:pPr>
                </w:p>
              </w:tc>
              <w:tc>
                <w:tcPr>
                  <w:tcW w:w="2487" w:type="pct"/>
                  <w:vMerge w:val="continue"/>
                  <w:vAlign w:val="center"/>
                </w:tcPr>
                <w:p>
                  <w:pPr>
                    <w:pStyle w:val="79"/>
                    <w:spacing w:line="228" w:lineRule="auto"/>
                    <w:jc w:val="both"/>
                    <w:rPr>
                      <w:rFonts w:ascii="Times New Roman" w:hAnsi="Times New Roman"/>
                    </w:rPr>
                  </w:pPr>
                </w:p>
              </w:tc>
              <w:tc>
                <w:tcPr>
                  <w:tcW w:w="628" w:type="pct"/>
                  <w:vAlign w:val="center"/>
                </w:tcPr>
                <w:p>
                  <w:pPr>
                    <w:pStyle w:val="79"/>
                    <w:spacing w:line="228" w:lineRule="auto"/>
                    <w:jc w:val="both"/>
                    <w:rPr>
                      <w:rFonts w:ascii="Times New Roman" w:hAnsi="Times New Roman"/>
                      <w:b/>
                    </w:rPr>
                  </w:pPr>
                  <w:r>
                    <w:rPr>
                      <w:rFonts w:ascii="Times New Roman" w:hAnsi="Times New Roman"/>
                      <w:b/>
                    </w:rPr>
                    <w:t>施工期</w:t>
                  </w:r>
                </w:p>
              </w:tc>
              <w:tc>
                <w:tcPr>
                  <w:tcW w:w="539" w:type="pct"/>
                  <w:vAlign w:val="center"/>
                </w:tcPr>
                <w:p>
                  <w:pPr>
                    <w:pStyle w:val="79"/>
                    <w:spacing w:line="228" w:lineRule="auto"/>
                    <w:jc w:val="both"/>
                    <w:rPr>
                      <w:rFonts w:ascii="Times New Roman" w:hAnsi="Times New Roman"/>
                      <w:b/>
                    </w:rPr>
                  </w:pPr>
                  <w:r>
                    <w:rPr>
                      <w:rFonts w:ascii="Times New Roman" w:hAnsi="Times New Roman"/>
                      <w:b/>
                    </w:rPr>
                    <w:t>运营期</w:t>
                  </w:r>
                </w:p>
              </w:tc>
              <w:tc>
                <w:tcPr>
                  <w:tcW w:w="443" w:type="pct"/>
                  <w:vMerge w:val="continue"/>
                  <w:vAlign w:val="center"/>
                </w:tcPr>
                <w:p>
                  <w:pPr>
                    <w:pStyle w:val="79"/>
                    <w:spacing w:line="228" w:lineRule="auto"/>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624" w:hRule="atLeast"/>
              </w:trPr>
              <w:tc>
                <w:tcPr>
                  <w:tcW w:w="412" w:type="pct"/>
                  <w:vMerge w:val="restart"/>
                  <w:vAlign w:val="center"/>
                </w:tcPr>
                <w:p>
                  <w:pPr>
                    <w:pStyle w:val="79"/>
                    <w:spacing w:line="228" w:lineRule="auto"/>
                    <w:jc w:val="both"/>
                    <w:rPr>
                      <w:rFonts w:ascii="Times New Roman" w:hAnsi="Times New Roman"/>
                      <w:b/>
                      <w:bCs/>
                    </w:rPr>
                  </w:pPr>
                  <w:r>
                    <w:rPr>
                      <w:rFonts w:ascii="Times New Roman" w:hAnsi="Times New Roman"/>
                      <w:b/>
                      <w:bCs/>
                    </w:rPr>
                    <w:t>主体工程</w:t>
                  </w:r>
                </w:p>
              </w:tc>
              <w:tc>
                <w:tcPr>
                  <w:tcW w:w="491" w:type="pct"/>
                  <w:vMerge w:val="restart"/>
                  <w:vAlign w:val="center"/>
                </w:tcPr>
                <w:p>
                  <w:pPr>
                    <w:pStyle w:val="79"/>
                    <w:spacing w:line="228" w:lineRule="auto"/>
                    <w:jc w:val="both"/>
                    <w:rPr>
                      <w:rFonts w:ascii="Times New Roman" w:hAnsi="Times New Roman"/>
                    </w:rPr>
                  </w:pPr>
                  <w:r>
                    <w:rPr>
                      <w:rFonts w:ascii="Times New Roman" w:hAnsi="Times New Roman"/>
                    </w:rPr>
                    <w:t>生产区</w:t>
                  </w:r>
                </w:p>
              </w:tc>
              <w:tc>
                <w:tcPr>
                  <w:tcW w:w="2487" w:type="pct"/>
                  <w:vAlign w:val="center"/>
                </w:tcPr>
                <w:p>
                  <w:pPr>
                    <w:pStyle w:val="79"/>
                    <w:spacing w:line="228" w:lineRule="auto"/>
                    <w:jc w:val="both"/>
                    <w:rPr>
                      <w:rFonts w:ascii="Times New Roman" w:hAnsi="Times New Roman"/>
                    </w:rPr>
                  </w:pPr>
                  <w:r>
                    <w:rPr>
                      <w:rFonts w:ascii="Times New Roman" w:hAnsi="Times New Roman"/>
                    </w:rPr>
                    <w:t>生产车间为一层厂房，采用树脂瓦构建密闭厂房。生产区面积约660 m</w:t>
                  </w:r>
                  <w:r>
                    <w:rPr>
                      <w:rFonts w:ascii="Times New Roman" w:hAnsi="Times New Roman"/>
                      <w:vertAlign w:val="superscript"/>
                    </w:rPr>
                    <w:t>2</w:t>
                  </w:r>
                  <w:r>
                    <w:rPr>
                      <w:rFonts w:ascii="Times New Roman" w:hAnsi="Times New Roman"/>
                    </w:rPr>
                    <w:t>，主要设粉料筒仓区、配料搅拌区、模具成型区、</w:t>
                  </w:r>
                  <w:r>
                    <w:rPr>
                      <w:rFonts w:hint="eastAsia" w:ascii="Times New Roman" w:hAnsi="Times New Roman"/>
                      <w:lang w:eastAsia="zh-CN"/>
                    </w:rPr>
                    <w:t>蒸汽养护</w:t>
                  </w:r>
                  <w:r>
                    <w:rPr>
                      <w:rFonts w:ascii="Times New Roman" w:hAnsi="Times New Roman"/>
                    </w:rPr>
                    <w:t>区。布置设备有配料机、粉碎机、切割机等。</w:t>
                  </w:r>
                </w:p>
              </w:tc>
              <w:tc>
                <w:tcPr>
                  <w:tcW w:w="628" w:type="pct"/>
                  <w:vMerge w:val="restart"/>
                  <w:vAlign w:val="center"/>
                </w:tcPr>
                <w:p>
                  <w:pPr>
                    <w:pStyle w:val="79"/>
                    <w:spacing w:line="228" w:lineRule="auto"/>
                    <w:jc w:val="both"/>
                    <w:rPr>
                      <w:rFonts w:ascii="Times New Roman" w:hAnsi="Times New Roman"/>
                    </w:rPr>
                  </w:pPr>
                  <w:r>
                    <w:rPr>
                      <w:rFonts w:ascii="Times New Roman" w:hAnsi="Times New Roman"/>
                    </w:rPr>
                    <w:t>施工废水、施工期生活污水、施工作业噪声、施工车辆噪声、生活垃圾等</w:t>
                  </w:r>
                </w:p>
              </w:tc>
              <w:tc>
                <w:tcPr>
                  <w:tcW w:w="539" w:type="pct"/>
                  <w:vAlign w:val="center"/>
                </w:tcPr>
                <w:p>
                  <w:pPr>
                    <w:pStyle w:val="79"/>
                    <w:spacing w:line="228" w:lineRule="auto"/>
                    <w:jc w:val="both"/>
                    <w:rPr>
                      <w:rFonts w:ascii="Times New Roman" w:hAnsi="Times New Roman"/>
                    </w:rPr>
                  </w:pPr>
                  <w:r>
                    <w:rPr>
                      <w:rFonts w:ascii="Times New Roman" w:hAnsi="Times New Roman"/>
                    </w:rPr>
                    <w:t>粉尘、噪声、固废</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trPr>
              <w:tc>
                <w:tcPr>
                  <w:tcW w:w="412" w:type="pct"/>
                  <w:vMerge w:val="continue"/>
                  <w:vAlign w:val="center"/>
                </w:tcPr>
                <w:p>
                  <w:pPr>
                    <w:pStyle w:val="79"/>
                    <w:spacing w:line="228" w:lineRule="auto"/>
                    <w:jc w:val="both"/>
                    <w:rPr>
                      <w:rFonts w:ascii="Times New Roman" w:hAnsi="Times New Roman"/>
                      <w:b/>
                      <w:bCs/>
                    </w:rPr>
                  </w:pPr>
                </w:p>
              </w:tc>
              <w:tc>
                <w:tcPr>
                  <w:tcW w:w="491" w:type="pct"/>
                  <w:vMerge w:val="continue"/>
                  <w:vAlign w:val="center"/>
                </w:tcPr>
                <w:p>
                  <w:pPr>
                    <w:pStyle w:val="79"/>
                    <w:spacing w:line="228" w:lineRule="auto"/>
                    <w:jc w:val="both"/>
                    <w:rPr>
                      <w:rFonts w:ascii="Times New Roman" w:hAnsi="Times New Roman"/>
                    </w:rPr>
                  </w:pPr>
                </w:p>
              </w:tc>
              <w:tc>
                <w:tcPr>
                  <w:tcW w:w="2487" w:type="pct"/>
                  <w:vAlign w:val="center"/>
                </w:tcPr>
                <w:p>
                  <w:pPr>
                    <w:pStyle w:val="79"/>
                    <w:spacing w:line="228" w:lineRule="auto"/>
                    <w:jc w:val="both"/>
                    <w:rPr>
                      <w:rFonts w:ascii="Times New Roman" w:hAnsi="Times New Roman"/>
                    </w:rPr>
                  </w:pPr>
                  <w:r>
                    <w:rPr>
                      <w:rFonts w:hint="eastAsia" w:ascii="Times New Roman" w:hAnsi="Times New Roman"/>
                    </w:rPr>
                    <w:t>破碎区，将原生产线破碎工序改建在新生产车间内南侧 ，并将破碎工序置于封闭车间内</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p>
              </w:tc>
              <w:tc>
                <w:tcPr>
                  <w:tcW w:w="443" w:type="pct"/>
                  <w:vAlign w:val="center"/>
                </w:tcPr>
                <w:p>
                  <w:pPr>
                    <w:pStyle w:val="79"/>
                    <w:spacing w:line="228" w:lineRule="auto"/>
                    <w:jc w:val="both"/>
                    <w:rPr>
                      <w:rFonts w:ascii="Times New Roman" w:hAnsi="Times New Roman"/>
                      <w:b/>
                      <w:bCs/>
                    </w:rPr>
                  </w:pPr>
                  <w:r>
                    <w:rPr>
                      <w:rFonts w:hint="eastAsia" w:ascii="Times New Roman" w:hAnsi="Times New Roman"/>
                      <w:b/>
                      <w:bCs/>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trPr>
              <w:tc>
                <w:tcPr>
                  <w:tcW w:w="412" w:type="pct"/>
                  <w:vMerge w:val="restart"/>
                  <w:vAlign w:val="center"/>
                </w:tcPr>
                <w:p>
                  <w:pPr>
                    <w:pStyle w:val="79"/>
                    <w:spacing w:line="228" w:lineRule="auto"/>
                    <w:jc w:val="both"/>
                    <w:rPr>
                      <w:rFonts w:ascii="Times New Roman" w:hAnsi="Times New Roman"/>
                      <w:b/>
                      <w:bCs/>
                    </w:rPr>
                  </w:pPr>
                  <w:r>
                    <w:rPr>
                      <w:rFonts w:ascii="Times New Roman" w:hAnsi="Times New Roman"/>
                      <w:b/>
                      <w:bCs/>
                    </w:rPr>
                    <w:t>辅助</w:t>
                  </w:r>
                </w:p>
                <w:p>
                  <w:pPr>
                    <w:pStyle w:val="79"/>
                    <w:spacing w:line="228" w:lineRule="auto"/>
                    <w:jc w:val="both"/>
                    <w:rPr>
                      <w:rFonts w:ascii="Times New Roman" w:hAnsi="Times New Roman"/>
                      <w:b/>
                      <w:bCs/>
                    </w:rPr>
                  </w:pPr>
                  <w:r>
                    <w:rPr>
                      <w:rFonts w:ascii="Times New Roman" w:hAnsi="Times New Roman"/>
                      <w:b/>
                      <w:bCs/>
                    </w:rPr>
                    <w:t>工程</w:t>
                  </w:r>
                </w:p>
              </w:tc>
              <w:tc>
                <w:tcPr>
                  <w:tcW w:w="491" w:type="pct"/>
                  <w:vAlign w:val="center"/>
                </w:tcPr>
                <w:p>
                  <w:pPr>
                    <w:pStyle w:val="79"/>
                    <w:spacing w:line="228" w:lineRule="auto"/>
                    <w:jc w:val="both"/>
                    <w:rPr>
                      <w:rFonts w:ascii="Times New Roman" w:hAnsi="Times New Roman"/>
                    </w:rPr>
                  </w:pPr>
                  <w:r>
                    <w:rPr>
                      <w:rFonts w:ascii="Times New Roman" w:hAnsi="Times New Roman"/>
                    </w:rPr>
                    <w:t>摆渡区与轨道航吊</w:t>
                  </w:r>
                </w:p>
              </w:tc>
              <w:tc>
                <w:tcPr>
                  <w:tcW w:w="2487" w:type="pct"/>
                  <w:vAlign w:val="center"/>
                </w:tcPr>
                <w:p>
                  <w:pPr>
                    <w:pStyle w:val="79"/>
                    <w:spacing w:line="228" w:lineRule="auto"/>
                    <w:jc w:val="both"/>
                    <w:rPr>
                      <w:rFonts w:ascii="Times New Roman" w:hAnsi="Times New Roman"/>
                    </w:rPr>
                  </w:pPr>
                  <w:r>
                    <w:rPr>
                      <w:rFonts w:ascii="Times New Roman" w:hAnsi="Times New Roman"/>
                    </w:rPr>
                    <w:t>项目在配料机东侧设摆渡区，面积约30m</w:t>
                  </w:r>
                  <w:r>
                    <w:rPr>
                      <w:rFonts w:ascii="Times New Roman" w:hAnsi="Times New Roman"/>
                      <w:vertAlign w:val="superscript"/>
                    </w:rPr>
                    <w:t>2</w:t>
                  </w:r>
                  <w:r>
                    <w:rPr>
                      <w:rFonts w:ascii="Times New Roman" w:hAnsi="Times New Roman"/>
                    </w:rPr>
                    <w:t>，在蒸压釜</w:t>
                  </w:r>
                  <w:r>
                    <w:rPr>
                      <w:rFonts w:hint="eastAsia" w:ascii="Times New Roman" w:hAnsi="Times New Roman"/>
                    </w:rPr>
                    <w:t>西北</w:t>
                  </w:r>
                  <w:r>
                    <w:rPr>
                      <w:rFonts w:ascii="Times New Roman" w:hAnsi="Times New Roman"/>
                    </w:rPr>
                    <w:t>侧设摆渡区域，面积约160m</w:t>
                  </w:r>
                  <w:r>
                    <w:rPr>
                      <w:rFonts w:ascii="Times New Roman" w:hAnsi="Times New Roman"/>
                      <w:vertAlign w:val="superscript"/>
                    </w:rPr>
                    <w:t>2</w:t>
                  </w:r>
                  <w:r>
                    <w:rPr>
                      <w:rFonts w:ascii="Times New Roman" w:hAnsi="Times New Roman"/>
                    </w:rPr>
                    <w:t>。项目中部与东南侧设地移动轨道与航吊架。摆渡区、轨道与航吊主要用于成品、半成品的转运。</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噪声、粉尘</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养护区</w:t>
                  </w:r>
                </w:p>
              </w:tc>
              <w:tc>
                <w:tcPr>
                  <w:tcW w:w="2487" w:type="pct"/>
                  <w:vAlign w:val="center"/>
                </w:tcPr>
                <w:p>
                  <w:pPr>
                    <w:pStyle w:val="79"/>
                    <w:spacing w:line="228" w:lineRule="auto"/>
                    <w:jc w:val="both"/>
                    <w:rPr>
                      <w:rFonts w:ascii="Times New Roman" w:hAnsi="Times New Roman"/>
                    </w:rPr>
                  </w:pPr>
                  <w:r>
                    <w:rPr>
                      <w:rFonts w:ascii="Times New Roman" w:hAnsi="Times New Roman"/>
                    </w:rPr>
                    <w:t>项目轨道区域作为项目养护区，占地面积约为120 m</w:t>
                  </w:r>
                  <w:r>
                    <w:rPr>
                      <w:rFonts w:ascii="Times New Roman" w:hAnsi="Times New Roman"/>
                      <w:vertAlign w:val="superscript"/>
                    </w:rPr>
                    <w:t>2</w:t>
                  </w:r>
                  <w:r>
                    <w:rPr>
                      <w:rFonts w:ascii="Times New Roman" w:hAnsi="Times New Roman"/>
                    </w:rPr>
                    <w:t>。</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6" w:hRule="atLeast"/>
              </w:trPr>
              <w:tc>
                <w:tcPr>
                  <w:tcW w:w="412" w:type="pct"/>
                  <w:vMerge w:val="restart"/>
                  <w:vAlign w:val="center"/>
                </w:tcPr>
                <w:p>
                  <w:pPr>
                    <w:pStyle w:val="79"/>
                    <w:spacing w:line="228" w:lineRule="auto"/>
                    <w:jc w:val="both"/>
                    <w:rPr>
                      <w:rFonts w:ascii="Times New Roman" w:hAnsi="Times New Roman"/>
                      <w:b/>
                      <w:bCs/>
                    </w:rPr>
                  </w:pPr>
                  <w:r>
                    <w:rPr>
                      <w:rFonts w:ascii="Times New Roman" w:hAnsi="Times New Roman"/>
                      <w:b/>
                      <w:bCs/>
                    </w:rPr>
                    <w:t>公用工程与</w:t>
                  </w:r>
                </w:p>
              </w:tc>
              <w:tc>
                <w:tcPr>
                  <w:tcW w:w="491" w:type="pct"/>
                  <w:vAlign w:val="center"/>
                </w:tcPr>
                <w:p>
                  <w:pPr>
                    <w:pStyle w:val="79"/>
                    <w:spacing w:line="228" w:lineRule="auto"/>
                    <w:jc w:val="both"/>
                    <w:rPr>
                      <w:rFonts w:ascii="Times New Roman" w:hAnsi="Times New Roman"/>
                    </w:rPr>
                  </w:pPr>
                  <w:r>
                    <w:rPr>
                      <w:rFonts w:ascii="Times New Roman" w:hAnsi="Times New Roman"/>
                    </w:rPr>
                    <w:t>供电</w:t>
                  </w:r>
                </w:p>
              </w:tc>
              <w:tc>
                <w:tcPr>
                  <w:tcW w:w="2487" w:type="pct"/>
                  <w:vAlign w:val="center"/>
                </w:tcPr>
                <w:p>
                  <w:pPr>
                    <w:pStyle w:val="79"/>
                    <w:spacing w:line="228" w:lineRule="auto"/>
                    <w:jc w:val="both"/>
                    <w:rPr>
                      <w:rFonts w:ascii="Times New Roman" w:hAnsi="Times New Roman"/>
                    </w:rPr>
                  </w:pPr>
                  <w:r>
                    <w:rPr>
                      <w:rFonts w:ascii="Times New Roman" w:hAnsi="Times New Roman"/>
                    </w:rPr>
                    <w:t>市政电网提供</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rPr>
                  </w:pPr>
                  <w:r>
                    <w:rPr>
                      <w:rFonts w:ascii="Times New Roman" w:hAnsi="Times New Roma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70"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供水</w:t>
                  </w:r>
                </w:p>
              </w:tc>
              <w:tc>
                <w:tcPr>
                  <w:tcW w:w="2487" w:type="pct"/>
                  <w:vAlign w:val="center"/>
                </w:tcPr>
                <w:p>
                  <w:pPr>
                    <w:pStyle w:val="79"/>
                    <w:spacing w:line="228" w:lineRule="auto"/>
                    <w:jc w:val="both"/>
                    <w:rPr>
                      <w:rFonts w:ascii="Times New Roman" w:hAnsi="Times New Roman"/>
                    </w:rPr>
                  </w:pPr>
                  <w:r>
                    <w:rPr>
                      <w:rFonts w:ascii="Times New Roman" w:hAnsi="Times New Roman"/>
                    </w:rPr>
                    <w:t>生活用水使用自来水，由市政给水管网接入</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rPr>
                  </w:pPr>
                  <w:r>
                    <w:rPr>
                      <w:rFonts w:ascii="Times New Roman" w:hAnsi="Times New Roma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88"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供气</w:t>
                  </w:r>
                </w:p>
              </w:tc>
              <w:tc>
                <w:tcPr>
                  <w:tcW w:w="2487" w:type="pct"/>
                  <w:vAlign w:val="center"/>
                </w:tcPr>
                <w:p>
                  <w:pPr>
                    <w:pStyle w:val="79"/>
                    <w:spacing w:line="228" w:lineRule="auto"/>
                    <w:jc w:val="both"/>
                    <w:rPr>
                      <w:rFonts w:ascii="Times New Roman" w:hAnsi="Times New Roman"/>
                    </w:rPr>
                  </w:pPr>
                  <w:r>
                    <w:rPr>
                      <w:rFonts w:ascii="Times New Roman" w:hAnsi="Times New Roman"/>
                    </w:rPr>
                    <w:t>卧式蒸汽锅炉4t/h</w:t>
                  </w:r>
                  <w:r>
                    <w:rPr>
                      <w:rFonts w:hint="eastAsia" w:ascii="Times New Roman" w:hAnsi="Times New Roman"/>
                    </w:rPr>
                    <w:t>，废气经1</w:t>
                  </w:r>
                  <w:r>
                    <w:rPr>
                      <w:rFonts w:ascii="Times New Roman" w:hAnsi="Times New Roman"/>
                    </w:rPr>
                    <w:t>5</w:t>
                  </w:r>
                  <w:r>
                    <w:rPr>
                      <w:rFonts w:hint="eastAsia" w:ascii="Times New Roman" w:hAnsi="Times New Roman"/>
                    </w:rPr>
                    <w:t>米排气筒排放</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hint="eastAsia" w:ascii="Times New Roman" w:hAnsi="Times New Roman"/>
                      <w:b/>
                      <w:bCs/>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63" w:hRule="atLeast"/>
              </w:trPr>
              <w:tc>
                <w:tcPr>
                  <w:tcW w:w="412" w:type="pct"/>
                  <w:vAlign w:val="center"/>
                </w:tcPr>
                <w:p>
                  <w:pPr>
                    <w:spacing w:line="228" w:lineRule="auto"/>
                    <w:rPr>
                      <w:b/>
                      <w:bCs/>
                      <w:szCs w:val="21"/>
                    </w:rPr>
                  </w:pPr>
                  <w:r>
                    <w:rPr>
                      <w:b/>
                      <w:bCs/>
                      <w:szCs w:val="21"/>
                    </w:rPr>
                    <w:t>办公</w:t>
                  </w:r>
                </w:p>
                <w:p>
                  <w:pPr>
                    <w:pStyle w:val="79"/>
                    <w:spacing w:line="228" w:lineRule="auto"/>
                    <w:jc w:val="both"/>
                    <w:rPr>
                      <w:rFonts w:ascii="Times New Roman" w:hAnsi="Times New Roman"/>
                      <w:b/>
                      <w:bCs/>
                    </w:rPr>
                  </w:pPr>
                  <w:r>
                    <w:rPr>
                      <w:rFonts w:ascii="Times New Roman" w:hAnsi="Times New Roman"/>
                      <w:b/>
                      <w:bCs/>
                    </w:rPr>
                    <w:t>生活设施</w:t>
                  </w:r>
                </w:p>
              </w:tc>
              <w:tc>
                <w:tcPr>
                  <w:tcW w:w="491" w:type="pct"/>
                  <w:vAlign w:val="center"/>
                </w:tcPr>
                <w:p>
                  <w:pPr>
                    <w:pStyle w:val="79"/>
                    <w:spacing w:line="228" w:lineRule="auto"/>
                    <w:jc w:val="both"/>
                    <w:rPr>
                      <w:rFonts w:ascii="Times New Roman" w:hAnsi="Times New Roman"/>
                    </w:rPr>
                  </w:pPr>
                  <w:r>
                    <w:rPr>
                      <w:rFonts w:ascii="Times New Roman" w:hAnsi="Times New Roman"/>
                    </w:rPr>
                    <w:t>办公室</w:t>
                  </w:r>
                </w:p>
              </w:tc>
              <w:tc>
                <w:tcPr>
                  <w:tcW w:w="2487" w:type="pct"/>
                  <w:vAlign w:val="center"/>
                </w:tcPr>
                <w:p>
                  <w:pPr>
                    <w:pStyle w:val="79"/>
                    <w:spacing w:line="228" w:lineRule="auto"/>
                    <w:jc w:val="both"/>
                    <w:rPr>
                      <w:rFonts w:ascii="Times New Roman" w:hAnsi="Times New Roman"/>
                    </w:rPr>
                  </w:pPr>
                  <w:r>
                    <w:rPr>
                      <w:rFonts w:ascii="Times New Roman" w:hAnsi="Times New Roman"/>
                    </w:rPr>
                    <w:t>位于车间东北侧，面积约73m</w:t>
                  </w:r>
                  <w:r>
                    <w:rPr>
                      <w:rFonts w:ascii="Times New Roman" w:hAnsi="Times New Roman"/>
                      <w:vertAlign w:val="superscript"/>
                    </w:rPr>
                    <w:t>2</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生活污水、生活垃圾</w:t>
                  </w:r>
                </w:p>
              </w:tc>
              <w:tc>
                <w:tcPr>
                  <w:tcW w:w="443" w:type="pct"/>
                  <w:vAlign w:val="center"/>
                </w:tcPr>
                <w:p>
                  <w:pPr>
                    <w:pStyle w:val="79"/>
                    <w:spacing w:line="228" w:lineRule="auto"/>
                    <w:jc w:val="both"/>
                    <w:rPr>
                      <w:rFonts w:ascii="Times New Roman" w:hAnsi="Times New Roman"/>
                    </w:rPr>
                  </w:pPr>
                  <w:r>
                    <w:rPr>
                      <w:rFonts w:ascii="Times New Roman" w:hAnsi="Times New Roma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23" w:hRule="atLeast"/>
              </w:trPr>
              <w:tc>
                <w:tcPr>
                  <w:tcW w:w="412" w:type="pct"/>
                  <w:vMerge w:val="restart"/>
                  <w:vAlign w:val="center"/>
                </w:tcPr>
                <w:p>
                  <w:pPr>
                    <w:pStyle w:val="79"/>
                    <w:spacing w:line="228" w:lineRule="auto"/>
                    <w:jc w:val="both"/>
                    <w:rPr>
                      <w:rFonts w:ascii="Times New Roman" w:hAnsi="Times New Roman"/>
                      <w:b/>
                      <w:bCs/>
                    </w:rPr>
                  </w:pPr>
                  <w:r>
                    <w:rPr>
                      <w:rFonts w:ascii="Times New Roman" w:hAnsi="Times New Roman"/>
                      <w:b/>
                      <w:bCs/>
                    </w:rPr>
                    <w:t>仓储工程</w:t>
                  </w:r>
                </w:p>
              </w:tc>
              <w:tc>
                <w:tcPr>
                  <w:tcW w:w="491" w:type="pct"/>
                  <w:vAlign w:val="center"/>
                </w:tcPr>
                <w:p>
                  <w:pPr>
                    <w:pStyle w:val="79"/>
                    <w:spacing w:line="228" w:lineRule="auto"/>
                    <w:jc w:val="both"/>
                    <w:rPr>
                      <w:rFonts w:ascii="Times New Roman" w:hAnsi="Times New Roman"/>
                    </w:rPr>
                  </w:pPr>
                  <w:r>
                    <w:rPr>
                      <w:rFonts w:ascii="Times New Roman" w:hAnsi="Times New Roman"/>
                    </w:rPr>
                    <w:t>原材料区</w:t>
                  </w:r>
                </w:p>
              </w:tc>
              <w:tc>
                <w:tcPr>
                  <w:tcW w:w="2487" w:type="pct"/>
                  <w:vAlign w:val="center"/>
                </w:tcPr>
                <w:p>
                  <w:pPr>
                    <w:pStyle w:val="79"/>
                    <w:spacing w:line="228" w:lineRule="auto"/>
                    <w:jc w:val="both"/>
                    <w:rPr>
                      <w:rFonts w:ascii="Times New Roman" w:hAnsi="Times New Roman"/>
                    </w:rPr>
                  </w:pPr>
                  <w:r>
                    <w:rPr>
                      <w:rFonts w:ascii="Times New Roman" w:hAnsi="Times New Roman"/>
                    </w:rPr>
                    <w:t>生产间西侧</w:t>
                  </w:r>
                  <w:r>
                    <w:rPr>
                      <w:rFonts w:hint="eastAsia" w:ascii="Times New Roman" w:hAnsi="Times New Roman"/>
                    </w:rPr>
                    <w:t>设置4个粉料仓，其中3个用于存放干渣，1个用于存放水泥，</w:t>
                  </w:r>
                  <w:r>
                    <w:rPr>
                      <w:rFonts w:ascii="Times New Roman" w:hAnsi="Times New Roman"/>
                    </w:rPr>
                    <w:t>面积约30m</w:t>
                  </w:r>
                  <w:r>
                    <w:rPr>
                      <w:rFonts w:ascii="Times New Roman" w:hAnsi="Times New Roman"/>
                      <w:vertAlign w:val="superscript"/>
                    </w:rPr>
                    <w:t>2</w:t>
                  </w:r>
                  <w:r>
                    <w:rPr>
                      <w:rFonts w:ascii="Times New Roman" w:hAnsi="Times New Roman"/>
                    </w:rPr>
                    <w:t xml:space="preserve">，配备喷雾装置； </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23" w:hRule="atLeast"/>
              </w:trPr>
              <w:tc>
                <w:tcPr>
                  <w:tcW w:w="412" w:type="pct"/>
                  <w:vMerge w:val="continue"/>
                  <w:vAlign w:val="center"/>
                </w:tcPr>
                <w:p>
                  <w:pPr>
                    <w:pStyle w:val="79"/>
                    <w:spacing w:line="228" w:lineRule="auto"/>
                    <w:jc w:val="both"/>
                    <w:rPr>
                      <w:rFonts w:ascii="Times New Roman" w:hAnsi="Times New Roman"/>
                      <w:b/>
                      <w:bCs/>
                    </w:rPr>
                  </w:pPr>
                </w:p>
              </w:tc>
              <w:tc>
                <w:tcPr>
                  <w:tcW w:w="491" w:type="pct"/>
                  <w:vAlign w:val="center"/>
                </w:tcPr>
                <w:p>
                  <w:pPr>
                    <w:pStyle w:val="79"/>
                    <w:spacing w:line="228" w:lineRule="auto"/>
                    <w:jc w:val="both"/>
                    <w:rPr>
                      <w:rFonts w:ascii="Times New Roman" w:hAnsi="Times New Roman"/>
                    </w:rPr>
                  </w:pPr>
                  <w:r>
                    <w:rPr>
                      <w:rFonts w:ascii="Times New Roman" w:hAnsi="Times New Roman"/>
                    </w:rPr>
                    <w:t>成品区</w:t>
                  </w:r>
                </w:p>
              </w:tc>
              <w:tc>
                <w:tcPr>
                  <w:tcW w:w="2487" w:type="pct"/>
                  <w:vAlign w:val="center"/>
                </w:tcPr>
                <w:p>
                  <w:pPr>
                    <w:pStyle w:val="79"/>
                    <w:spacing w:line="228" w:lineRule="auto"/>
                    <w:jc w:val="both"/>
                    <w:rPr>
                      <w:rFonts w:ascii="Times New Roman" w:hAnsi="Times New Roman"/>
                    </w:rPr>
                  </w:pPr>
                  <w:r>
                    <w:rPr>
                      <w:rFonts w:ascii="Times New Roman" w:hAnsi="Times New Roman"/>
                    </w:rPr>
                    <w:t>位于生产车间外东侧，面积约100m</w:t>
                  </w:r>
                  <w:r>
                    <w:rPr>
                      <w:rFonts w:ascii="Times New Roman" w:hAnsi="Times New Roman"/>
                      <w:vertAlign w:val="superscript"/>
                    </w:rPr>
                    <w:t>2</w:t>
                  </w:r>
                  <w:r>
                    <w:rPr>
                      <w:rFonts w:ascii="Times New Roman" w:hAnsi="Times New Roman"/>
                    </w:rPr>
                    <w:t>。</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07" w:hRule="atLeast"/>
              </w:trPr>
              <w:tc>
                <w:tcPr>
                  <w:tcW w:w="412" w:type="pct"/>
                  <w:vMerge w:val="restart"/>
                  <w:vAlign w:val="center"/>
                </w:tcPr>
                <w:p>
                  <w:pPr>
                    <w:pStyle w:val="79"/>
                    <w:spacing w:line="228" w:lineRule="auto"/>
                    <w:jc w:val="both"/>
                    <w:rPr>
                      <w:rFonts w:ascii="Times New Roman" w:hAnsi="Times New Roman"/>
                      <w:b/>
                      <w:bCs/>
                    </w:rPr>
                  </w:pPr>
                  <w:r>
                    <w:rPr>
                      <w:rFonts w:ascii="Times New Roman" w:hAnsi="Times New Roman"/>
                      <w:b/>
                      <w:bCs/>
                    </w:rPr>
                    <w:t>环保工程</w:t>
                  </w:r>
                </w:p>
              </w:tc>
              <w:tc>
                <w:tcPr>
                  <w:tcW w:w="491" w:type="pct"/>
                  <w:vAlign w:val="center"/>
                </w:tcPr>
                <w:p>
                  <w:pPr>
                    <w:pStyle w:val="79"/>
                    <w:spacing w:line="228" w:lineRule="auto"/>
                    <w:jc w:val="both"/>
                    <w:rPr>
                      <w:rFonts w:ascii="Times New Roman" w:hAnsi="Times New Roman"/>
                    </w:rPr>
                  </w:pPr>
                  <w:r>
                    <w:rPr>
                      <w:rFonts w:ascii="Times New Roman" w:hAnsi="Times New Roman"/>
                    </w:rPr>
                    <w:t>生活污水</w:t>
                  </w:r>
                </w:p>
              </w:tc>
              <w:tc>
                <w:tcPr>
                  <w:tcW w:w="2487" w:type="pct"/>
                  <w:vAlign w:val="center"/>
                </w:tcPr>
                <w:p>
                  <w:pPr>
                    <w:pStyle w:val="79"/>
                    <w:spacing w:line="228" w:lineRule="auto"/>
                    <w:jc w:val="both"/>
                    <w:rPr>
                      <w:rFonts w:ascii="Times New Roman" w:hAnsi="Times New Roman"/>
                    </w:rPr>
                  </w:pPr>
                  <w:r>
                    <w:rPr>
                      <w:rFonts w:ascii="Times New Roman" w:hAnsi="Times New Roman"/>
                    </w:rPr>
                    <w:t>进入虎林砖厂预处理池（10m</w:t>
                  </w:r>
                  <w:r>
                    <w:rPr>
                      <w:rFonts w:ascii="Times New Roman" w:hAnsi="Times New Roman"/>
                      <w:vertAlign w:val="superscript"/>
                    </w:rPr>
                    <w:t>3</w:t>
                  </w:r>
                  <w:r>
                    <w:rPr>
                      <w:rFonts w:ascii="Times New Roman" w:hAnsi="Times New Roman"/>
                    </w:rPr>
                    <w:t>）处理，</w:t>
                  </w:r>
                  <w:r>
                    <w:rPr>
                      <w:rFonts w:hint="eastAsia" w:ascii="Times New Roman" w:hAnsi="Times New Roman"/>
                    </w:rPr>
                    <w:t>交由大英县洁达环保科技有限公司收集处理后达标排放。</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生活污水</w:t>
                  </w:r>
                </w:p>
              </w:tc>
              <w:tc>
                <w:tcPr>
                  <w:tcW w:w="443" w:type="pct"/>
                  <w:vAlign w:val="center"/>
                </w:tcPr>
                <w:p>
                  <w:pPr>
                    <w:pStyle w:val="79"/>
                    <w:spacing w:line="228" w:lineRule="auto"/>
                    <w:jc w:val="both"/>
                    <w:rPr>
                      <w:rFonts w:ascii="Times New Roman" w:hAnsi="Times New Roman"/>
                    </w:rPr>
                  </w:pPr>
                  <w:r>
                    <w:rPr>
                      <w:rFonts w:ascii="Times New Roman" w:hAnsi="Times New Roma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07"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生产废水</w:t>
                  </w:r>
                </w:p>
              </w:tc>
              <w:tc>
                <w:tcPr>
                  <w:tcW w:w="2487" w:type="pct"/>
                  <w:vAlign w:val="center"/>
                </w:tcPr>
                <w:p>
                  <w:pPr>
                    <w:pStyle w:val="79"/>
                    <w:spacing w:line="228" w:lineRule="auto"/>
                    <w:jc w:val="both"/>
                    <w:rPr>
                      <w:rFonts w:ascii="Times New Roman" w:hAnsi="Times New Roman"/>
                    </w:rPr>
                  </w:pPr>
                  <w:r>
                    <w:rPr>
                      <w:rFonts w:hint="eastAsia" w:ascii="Times New Roman" w:hAnsi="Times New Roman"/>
                    </w:rPr>
                    <w:t>修建导流沟，将废水</w:t>
                  </w:r>
                  <w:r>
                    <w:rPr>
                      <w:rFonts w:ascii="Times New Roman" w:hAnsi="Times New Roman"/>
                    </w:rPr>
                    <w:t>引入沉淀池（30m</w:t>
                  </w:r>
                  <w:r>
                    <w:rPr>
                      <w:rFonts w:ascii="Times New Roman" w:hAnsi="Times New Roman"/>
                      <w:vertAlign w:val="superscript"/>
                    </w:rPr>
                    <w:t>3</w:t>
                  </w:r>
                  <w:r>
                    <w:rPr>
                      <w:rFonts w:ascii="Times New Roman" w:hAnsi="Times New Roman"/>
                    </w:rPr>
                    <w:t>）处理后回用于生产，不外排。</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rPr>
                      <w:rFonts w:ascii="Times New Roman" w:hAnsi="Times New Roman"/>
                    </w:rPr>
                  </w:pPr>
                  <w:r>
                    <w:rPr>
                      <w:rFonts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hint="eastAsia" w:ascii="Times New Roman" w:hAnsi="Times New Roman"/>
                      <w:b/>
                      <w:bCs/>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07"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hint="eastAsia" w:ascii="Times New Roman" w:hAnsi="Times New Roman"/>
                    </w:rPr>
                    <w:t>洗车废水</w:t>
                  </w:r>
                </w:p>
              </w:tc>
              <w:tc>
                <w:tcPr>
                  <w:tcW w:w="2487" w:type="pct"/>
                  <w:vAlign w:val="center"/>
                </w:tcPr>
                <w:p>
                  <w:pPr>
                    <w:pStyle w:val="79"/>
                    <w:spacing w:line="228" w:lineRule="auto"/>
                    <w:jc w:val="both"/>
                    <w:rPr>
                      <w:rFonts w:ascii="Times New Roman" w:hAnsi="Times New Roman"/>
                    </w:rPr>
                  </w:pPr>
                  <w:r>
                    <w:rPr>
                      <w:rFonts w:ascii="Times New Roman" w:hAnsi="Times New Roman"/>
                    </w:rPr>
                    <w:t>引入沉淀池（2m</w:t>
                  </w:r>
                  <w:r>
                    <w:rPr>
                      <w:rFonts w:ascii="Times New Roman" w:hAnsi="Times New Roman"/>
                      <w:vertAlign w:val="superscript"/>
                    </w:rPr>
                    <w:t>3</w:t>
                  </w:r>
                  <w:r>
                    <w:rPr>
                      <w:rFonts w:ascii="Times New Roman" w:hAnsi="Times New Roman"/>
                    </w:rPr>
                    <w:t>）处理后</w:t>
                  </w:r>
                  <w:r>
                    <w:rPr>
                      <w:rFonts w:hint="eastAsia" w:ascii="Times New Roman" w:hAnsi="Times New Roman"/>
                    </w:rPr>
                    <w:t>用于厂区洒水降尘</w:t>
                  </w:r>
                  <w:r>
                    <w:rPr>
                      <w:rFonts w:ascii="Times New Roman" w:hAnsi="Times New Roman"/>
                    </w:rPr>
                    <w:t>，不外排。</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rPr>
                      <w:rFonts w:ascii="Times New Roman" w:hAnsi="Times New Roman"/>
                    </w:rPr>
                  </w:pPr>
                  <w:r>
                    <w:rPr>
                      <w:rFonts w:hint="eastAsia" w:ascii="Times New Roman" w:hAnsi="Times New Roman"/>
                    </w:rPr>
                    <w:t>/</w:t>
                  </w:r>
                </w:p>
              </w:tc>
              <w:tc>
                <w:tcPr>
                  <w:tcW w:w="443" w:type="pct"/>
                  <w:vAlign w:val="center"/>
                </w:tcPr>
                <w:p>
                  <w:pPr>
                    <w:pStyle w:val="79"/>
                    <w:spacing w:line="228" w:lineRule="auto"/>
                    <w:jc w:val="both"/>
                    <w:rPr>
                      <w:rFonts w:ascii="Times New Roman" w:hAnsi="Times New Roman"/>
                      <w:b/>
                      <w:bCs/>
                    </w:rPr>
                  </w:pPr>
                  <w:r>
                    <w:rPr>
                      <w:rFonts w:hint="eastAsia" w:ascii="Times New Roman" w:hAnsi="Times New Roman"/>
                      <w:b/>
                      <w:bC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58"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粉尘</w:t>
                  </w:r>
                </w:p>
              </w:tc>
              <w:tc>
                <w:tcPr>
                  <w:tcW w:w="2487" w:type="pct"/>
                  <w:vAlign w:val="center"/>
                </w:tcPr>
                <w:p>
                  <w:pPr>
                    <w:pStyle w:val="79"/>
                    <w:spacing w:line="228" w:lineRule="auto"/>
                    <w:jc w:val="both"/>
                    <w:rPr>
                      <w:rFonts w:ascii="Times New Roman" w:hAnsi="Times New Roman"/>
                    </w:rPr>
                  </w:pPr>
                  <w:r>
                    <w:rPr>
                      <w:rFonts w:ascii="Times New Roman" w:hAnsi="Times New Roman"/>
                    </w:rPr>
                    <w:t>设置布袋除尘器1套，15m排气筒1根。</w:t>
                  </w:r>
                  <w:r>
                    <w:rPr>
                      <w:rFonts w:hint="eastAsia" w:ascii="Times New Roman" w:hAnsi="Times New Roman"/>
                    </w:rPr>
                    <w:t>设置雾炮机1台，车间内设置喷雾降尘装置，原生产车间加设喷雾除尘设施。</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粉尘</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r>
                    <w:rPr>
                      <w:rFonts w:hint="eastAsia" w:ascii="Times New Roman" w:hAnsi="Times New Roman"/>
                      <w:b/>
                      <w:bCs/>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16" w:hRule="atLeast"/>
              </w:trPr>
              <w:tc>
                <w:tcPr>
                  <w:tcW w:w="412" w:type="pct"/>
                  <w:vMerge w:val="continue"/>
                  <w:vAlign w:val="center"/>
                </w:tcPr>
                <w:p>
                  <w:pPr>
                    <w:pStyle w:val="79"/>
                    <w:spacing w:line="228" w:lineRule="auto"/>
                    <w:jc w:val="both"/>
                    <w:rPr>
                      <w:rFonts w:ascii="Times New Roman" w:hAnsi="Times New Roman"/>
                    </w:rPr>
                  </w:pPr>
                </w:p>
              </w:tc>
              <w:tc>
                <w:tcPr>
                  <w:tcW w:w="491" w:type="pct"/>
                  <w:vAlign w:val="center"/>
                </w:tcPr>
                <w:p>
                  <w:pPr>
                    <w:pStyle w:val="79"/>
                    <w:spacing w:line="228" w:lineRule="auto"/>
                    <w:jc w:val="both"/>
                    <w:rPr>
                      <w:rFonts w:ascii="Times New Roman" w:hAnsi="Times New Roman"/>
                    </w:rPr>
                  </w:pPr>
                  <w:r>
                    <w:rPr>
                      <w:rFonts w:ascii="Times New Roman" w:hAnsi="Times New Roman"/>
                    </w:rPr>
                    <w:t>固废</w:t>
                  </w:r>
                </w:p>
              </w:tc>
              <w:tc>
                <w:tcPr>
                  <w:tcW w:w="2487" w:type="pct"/>
                  <w:vAlign w:val="center"/>
                </w:tcPr>
                <w:p>
                  <w:pPr>
                    <w:pStyle w:val="79"/>
                    <w:spacing w:line="228" w:lineRule="auto"/>
                    <w:jc w:val="both"/>
                    <w:rPr>
                      <w:rFonts w:ascii="Times New Roman" w:hAnsi="Times New Roman"/>
                    </w:rPr>
                  </w:pPr>
                  <w:r>
                    <w:rPr>
                      <w:rFonts w:ascii="Times New Roman" w:hAnsi="Times New Roman"/>
                    </w:rPr>
                    <w:t>生活垃圾设垃圾桶收集，由环卫部门清运。</w:t>
                  </w:r>
                </w:p>
              </w:tc>
              <w:tc>
                <w:tcPr>
                  <w:tcW w:w="628" w:type="pct"/>
                  <w:vMerge w:val="continue"/>
                  <w:vAlign w:val="center"/>
                </w:tcPr>
                <w:p>
                  <w:pPr>
                    <w:pStyle w:val="79"/>
                    <w:spacing w:line="228" w:lineRule="auto"/>
                    <w:jc w:val="both"/>
                    <w:rPr>
                      <w:rFonts w:ascii="Times New Roman" w:hAnsi="Times New Roman"/>
                    </w:rPr>
                  </w:pPr>
                </w:p>
              </w:tc>
              <w:tc>
                <w:tcPr>
                  <w:tcW w:w="539" w:type="pct"/>
                  <w:vAlign w:val="center"/>
                </w:tcPr>
                <w:p>
                  <w:pPr>
                    <w:pStyle w:val="79"/>
                    <w:spacing w:line="228" w:lineRule="auto"/>
                    <w:jc w:val="both"/>
                    <w:rPr>
                      <w:rFonts w:ascii="Times New Roman" w:hAnsi="Times New Roman"/>
                    </w:rPr>
                  </w:pPr>
                  <w:r>
                    <w:rPr>
                      <w:rFonts w:ascii="Times New Roman" w:hAnsi="Times New Roman"/>
                    </w:rPr>
                    <w:t>固废</w:t>
                  </w:r>
                </w:p>
              </w:tc>
              <w:tc>
                <w:tcPr>
                  <w:tcW w:w="443" w:type="pct"/>
                  <w:vAlign w:val="center"/>
                </w:tcPr>
                <w:p>
                  <w:pPr>
                    <w:pStyle w:val="79"/>
                    <w:spacing w:line="228" w:lineRule="auto"/>
                    <w:jc w:val="both"/>
                    <w:rPr>
                      <w:rFonts w:ascii="Times New Roman" w:hAnsi="Times New Roman"/>
                      <w:b/>
                      <w:bCs/>
                    </w:rPr>
                  </w:pPr>
                  <w:r>
                    <w:rPr>
                      <w:rFonts w:ascii="Times New Roman" w:hAnsi="Times New Roman"/>
                      <w:b/>
                      <w:bCs/>
                    </w:rPr>
                    <w:t>新建</w:t>
                  </w:r>
                </w:p>
              </w:tc>
            </w:tr>
          </w:tbl>
          <w:p>
            <w:pPr>
              <w:pStyle w:val="12"/>
              <w:spacing w:line="360" w:lineRule="auto"/>
              <w:ind w:left="0" w:right="0" w:firstLine="0"/>
            </w:pPr>
            <w:r>
              <w:rPr>
                <w:b/>
                <w:sz w:val="24"/>
              </w:rPr>
              <w:t>3</w:t>
            </w:r>
            <w:r>
              <w:rPr>
                <w:rFonts w:eastAsiaTheme="minorEastAsia"/>
                <w:b/>
                <w:bCs/>
                <w:sz w:val="24"/>
              </w:rPr>
              <w:t>、项目</w:t>
            </w:r>
            <w:r>
              <w:rPr>
                <w:b/>
                <w:sz w:val="24"/>
              </w:rPr>
              <w:t>主要产品及产能</w:t>
            </w:r>
          </w:p>
          <w:p>
            <w:pPr>
              <w:adjustRightInd w:val="0"/>
              <w:snapToGrid w:val="0"/>
              <w:spacing w:line="360" w:lineRule="auto"/>
              <w:ind w:firstLine="482" w:firstLineChars="200"/>
              <w:rPr>
                <w:b/>
                <w:bCs/>
                <w:sz w:val="24"/>
              </w:rPr>
            </w:pPr>
            <w:r>
              <w:rPr>
                <w:b/>
                <w:bCs/>
                <w:sz w:val="24"/>
              </w:rPr>
              <w:t>本项目蒸压灰砂砖</w:t>
            </w:r>
            <w:r>
              <w:rPr>
                <w:rFonts w:hint="eastAsia"/>
                <w:b/>
                <w:bCs/>
                <w:sz w:val="24"/>
              </w:rPr>
              <w:t>生产线年产能为4</w:t>
            </w:r>
            <w:r>
              <w:rPr>
                <w:b/>
                <w:bCs/>
                <w:sz w:val="24"/>
              </w:rPr>
              <w:t>.4万立方米</w:t>
            </w:r>
            <w:r>
              <w:rPr>
                <w:rFonts w:hint="eastAsia"/>
                <w:b/>
                <w:bCs/>
                <w:sz w:val="24"/>
              </w:rPr>
              <w:t>，采用</w:t>
            </w:r>
            <w:r>
              <w:rPr>
                <w:rFonts w:hint="eastAsia" w:eastAsiaTheme="minorEastAsia"/>
                <w:b/>
                <w:bCs/>
                <w:sz w:val="24"/>
              </w:rPr>
              <w:t>一般固废干渣</w:t>
            </w:r>
            <w:r>
              <w:rPr>
                <w:rFonts w:eastAsiaTheme="minorEastAsia"/>
                <w:b/>
                <w:bCs/>
                <w:sz w:val="24"/>
              </w:rPr>
              <w:t>作为主要原料，水泥作为辅料，</w:t>
            </w:r>
            <w:r>
              <w:rPr>
                <w:rFonts w:hint="eastAsia" w:eastAsiaTheme="minorEastAsia"/>
                <w:b/>
                <w:bCs/>
                <w:sz w:val="24"/>
              </w:rPr>
              <w:t>干渣和水泥的配比为9:</w:t>
            </w:r>
            <w:r>
              <w:rPr>
                <w:rFonts w:eastAsiaTheme="minorEastAsia"/>
                <w:b/>
                <w:bCs/>
                <w:sz w:val="24"/>
              </w:rPr>
              <w:t>1</w:t>
            </w:r>
            <w:r>
              <w:rPr>
                <w:rFonts w:hint="eastAsia" w:eastAsiaTheme="minorEastAsia"/>
                <w:b/>
                <w:bCs/>
                <w:sz w:val="24"/>
              </w:rPr>
              <w:t>；原</w:t>
            </w:r>
            <w:r>
              <w:rPr>
                <w:b/>
                <w:bCs/>
                <w:sz w:val="24"/>
              </w:rPr>
              <w:t>蒸</w:t>
            </w:r>
            <w:r>
              <w:rPr>
                <w:rFonts w:hint="eastAsia"/>
                <w:b/>
                <w:bCs/>
                <w:sz w:val="24"/>
                <w:lang w:eastAsia="zh-CN"/>
              </w:rPr>
              <w:t>压</w:t>
            </w:r>
            <w:r>
              <w:rPr>
                <w:b/>
                <w:bCs/>
                <w:sz w:val="24"/>
              </w:rPr>
              <w:t>砖</w:t>
            </w:r>
            <w:r>
              <w:rPr>
                <w:rFonts w:hint="eastAsia"/>
                <w:b/>
                <w:bCs/>
                <w:sz w:val="24"/>
              </w:rPr>
              <w:t>生产线年产能由</w:t>
            </w:r>
            <w:r>
              <w:rPr>
                <w:b/>
                <w:bCs/>
                <w:sz w:val="24"/>
              </w:rPr>
              <w:t>8万立方米</w:t>
            </w:r>
            <w:r>
              <w:rPr>
                <w:rFonts w:hint="eastAsia"/>
                <w:b/>
                <w:bCs/>
                <w:sz w:val="24"/>
              </w:rPr>
              <w:t>降低为3</w:t>
            </w:r>
            <w:r>
              <w:rPr>
                <w:b/>
                <w:bCs/>
                <w:sz w:val="24"/>
              </w:rPr>
              <w:t>.6</w:t>
            </w:r>
            <w:r>
              <w:rPr>
                <w:rFonts w:hint="eastAsia"/>
                <w:b/>
                <w:bCs/>
                <w:sz w:val="24"/>
              </w:rPr>
              <w:t>万</w:t>
            </w:r>
            <w:r>
              <w:rPr>
                <w:b/>
                <w:bCs/>
                <w:sz w:val="24"/>
              </w:rPr>
              <w:t>立方米</w:t>
            </w:r>
            <w:r>
              <w:rPr>
                <w:rFonts w:hint="eastAsia"/>
                <w:b/>
                <w:bCs/>
                <w:sz w:val="24"/>
              </w:rPr>
              <w:t>，</w:t>
            </w:r>
            <w:r>
              <w:rPr>
                <w:rFonts w:hint="eastAsia" w:eastAsiaTheme="minorEastAsia"/>
                <w:b/>
                <w:bCs/>
                <w:sz w:val="24"/>
              </w:rPr>
              <w:t>原</w:t>
            </w:r>
            <w:r>
              <w:rPr>
                <w:b/>
                <w:bCs/>
                <w:sz w:val="24"/>
              </w:rPr>
              <w:t>蒸</w:t>
            </w:r>
            <w:r>
              <w:rPr>
                <w:rFonts w:hint="eastAsia"/>
                <w:b/>
                <w:bCs/>
                <w:sz w:val="24"/>
                <w:lang w:eastAsia="zh-CN"/>
              </w:rPr>
              <w:t>压</w:t>
            </w:r>
            <w:r>
              <w:rPr>
                <w:b/>
                <w:bCs/>
                <w:sz w:val="24"/>
              </w:rPr>
              <w:t>砖</w:t>
            </w:r>
            <w:r>
              <w:rPr>
                <w:rFonts w:hint="eastAsia"/>
                <w:b/>
                <w:bCs/>
                <w:sz w:val="24"/>
              </w:rPr>
              <w:t>生产线的生产时间及原辅料总量相应减少6</w:t>
            </w:r>
            <w:r>
              <w:rPr>
                <w:b/>
                <w:bCs/>
                <w:sz w:val="24"/>
              </w:rPr>
              <w:t>0%</w:t>
            </w:r>
            <w:r>
              <w:rPr>
                <w:rFonts w:hint="eastAsia"/>
                <w:b/>
                <w:bCs/>
                <w:sz w:val="24"/>
              </w:rPr>
              <w:t>，原生产线原料成分及配比保持不变，技改后利用成品石灰粉替代原石灰块参与生产，减少粉尘的产生，项目改建后</w:t>
            </w:r>
            <w:r>
              <w:rPr>
                <w:b/>
                <w:bCs/>
                <w:sz w:val="24"/>
              </w:rPr>
              <w:t>年产轻质建筑材料8万立方米</w:t>
            </w:r>
            <w:r>
              <w:rPr>
                <w:rFonts w:hint="eastAsia"/>
                <w:b/>
                <w:bCs/>
                <w:sz w:val="24"/>
              </w:rPr>
              <w:t>保持不变</w:t>
            </w:r>
            <w:r>
              <w:rPr>
                <w:b/>
                <w:bCs/>
                <w:sz w:val="24"/>
              </w:rPr>
              <w:t>，</w:t>
            </w:r>
            <w:r>
              <w:rPr>
                <w:rFonts w:hint="eastAsia"/>
                <w:b/>
                <w:bCs/>
                <w:sz w:val="24"/>
              </w:rPr>
              <w:t>其中</w:t>
            </w:r>
            <w:r>
              <w:rPr>
                <w:b/>
                <w:bCs/>
                <w:sz w:val="24"/>
              </w:rPr>
              <w:t>具体产品方案见下表。</w:t>
            </w:r>
          </w:p>
          <w:p>
            <w:pPr>
              <w:pStyle w:val="61"/>
              <w:rPr>
                <w:sz w:val="21"/>
                <w:szCs w:val="21"/>
              </w:rPr>
            </w:pPr>
            <w:r>
              <w:rPr>
                <w:sz w:val="21"/>
                <w:szCs w:val="21"/>
              </w:rPr>
              <w:t>表2-2生产规模及产品方案一览表</w:t>
            </w:r>
          </w:p>
          <w:tbl>
            <w:tblPr>
              <w:tblStyle w:val="25"/>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26"/>
              <w:gridCol w:w="2109"/>
              <w:gridCol w:w="2053"/>
              <w:gridCol w:w="796"/>
              <w:gridCol w:w="768"/>
              <w:gridCol w:w="904"/>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jc w:val="center"/>
              </w:trPr>
              <w:tc>
                <w:tcPr>
                  <w:tcW w:w="664" w:type="pct"/>
                  <w:vAlign w:val="center"/>
                </w:tcPr>
                <w:p>
                  <w:pPr>
                    <w:widowControl/>
                    <w:jc w:val="center"/>
                    <w:textAlignment w:val="center"/>
                    <w:rPr>
                      <w:b/>
                      <w:bCs/>
                      <w:szCs w:val="21"/>
                    </w:rPr>
                  </w:pPr>
                  <w:r>
                    <w:rPr>
                      <w:b/>
                      <w:bCs/>
                      <w:kern w:val="0"/>
                      <w:szCs w:val="21"/>
                    </w:rPr>
                    <w:t>名称</w:t>
                  </w:r>
                </w:p>
              </w:tc>
              <w:tc>
                <w:tcPr>
                  <w:tcW w:w="1243" w:type="pct"/>
                  <w:vAlign w:val="center"/>
                </w:tcPr>
                <w:p>
                  <w:pPr>
                    <w:widowControl/>
                    <w:jc w:val="center"/>
                    <w:textAlignment w:val="center"/>
                    <w:rPr>
                      <w:b/>
                      <w:bCs/>
                      <w:kern w:val="0"/>
                      <w:szCs w:val="21"/>
                    </w:rPr>
                  </w:pPr>
                  <w:r>
                    <w:rPr>
                      <w:b/>
                      <w:bCs/>
                      <w:kern w:val="0"/>
                      <w:szCs w:val="21"/>
                    </w:rPr>
                    <w:t>产品样式</w:t>
                  </w:r>
                </w:p>
              </w:tc>
              <w:tc>
                <w:tcPr>
                  <w:tcW w:w="1210" w:type="pct"/>
                  <w:vAlign w:val="center"/>
                </w:tcPr>
                <w:p>
                  <w:pPr>
                    <w:widowControl/>
                    <w:jc w:val="center"/>
                    <w:textAlignment w:val="center"/>
                    <w:rPr>
                      <w:b/>
                      <w:bCs/>
                      <w:szCs w:val="21"/>
                    </w:rPr>
                  </w:pPr>
                  <w:r>
                    <w:rPr>
                      <w:b/>
                      <w:bCs/>
                      <w:kern w:val="0"/>
                      <w:szCs w:val="21"/>
                    </w:rPr>
                    <w:t>规格</w:t>
                  </w:r>
                </w:p>
              </w:tc>
              <w:tc>
                <w:tcPr>
                  <w:tcW w:w="469" w:type="pct"/>
                  <w:vAlign w:val="center"/>
                </w:tcPr>
                <w:p>
                  <w:pPr>
                    <w:widowControl/>
                    <w:jc w:val="center"/>
                    <w:textAlignment w:val="center"/>
                    <w:rPr>
                      <w:b/>
                      <w:bCs/>
                      <w:szCs w:val="21"/>
                    </w:rPr>
                  </w:pPr>
                  <w:r>
                    <w:rPr>
                      <w:b/>
                      <w:bCs/>
                      <w:kern w:val="0"/>
                      <w:szCs w:val="21"/>
                    </w:rPr>
                    <w:t>技改前年产能</w:t>
                  </w:r>
                </w:p>
              </w:tc>
              <w:tc>
                <w:tcPr>
                  <w:tcW w:w="453" w:type="pct"/>
                </w:tcPr>
                <w:p>
                  <w:pPr>
                    <w:widowControl/>
                    <w:jc w:val="center"/>
                    <w:textAlignment w:val="center"/>
                    <w:rPr>
                      <w:b/>
                      <w:bCs/>
                      <w:kern w:val="0"/>
                      <w:szCs w:val="21"/>
                    </w:rPr>
                  </w:pPr>
                  <w:r>
                    <w:rPr>
                      <w:b/>
                      <w:bCs/>
                      <w:kern w:val="0"/>
                      <w:szCs w:val="21"/>
                    </w:rPr>
                    <w:t>技改前后产能</w:t>
                  </w:r>
                </w:p>
              </w:tc>
              <w:tc>
                <w:tcPr>
                  <w:tcW w:w="533" w:type="pct"/>
                  <w:vAlign w:val="center"/>
                </w:tcPr>
                <w:p>
                  <w:pPr>
                    <w:widowControl/>
                    <w:jc w:val="center"/>
                    <w:textAlignment w:val="center"/>
                    <w:rPr>
                      <w:b/>
                      <w:bCs/>
                      <w:kern w:val="0"/>
                      <w:szCs w:val="21"/>
                    </w:rPr>
                  </w:pPr>
                  <w:r>
                    <w:rPr>
                      <w:b/>
                      <w:bCs/>
                      <w:kern w:val="0"/>
                      <w:szCs w:val="21"/>
                    </w:rPr>
                    <w:t>变化量</w:t>
                  </w:r>
                </w:p>
              </w:tc>
              <w:tc>
                <w:tcPr>
                  <w:tcW w:w="428" w:type="pct"/>
                  <w:vAlign w:val="center"/>
                </w:tcPr>
                <w:p>
                  <w:pPr>
                    <w:widowControl/>
                    <w:jc w:val="center"/>
                    <w:textAlignment w:val="center"/>
                    <w:rPr>
                      <w:b/>
                      <w:bCs/>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664" w:type="pct"/>
                  <w:vAlign w:val="center"/>
                </w:tcPr>
                <w:p>
                  <w:pPr>
                    <w:rPr>
                      <w:b/>
                      <w:bCs/>
                      <w:szCs w:val="21"/>
                    </w:rPr>
                  </w:pPr>
                  <w:r>
                    <w:rPr>
                      <w:b/>
                      <w:bCs/>
                      <w:szCs w:val="21"/>
                    </w:rPr>
                    <w:t>蒸压灰砂砖</w:t>
                  </w:r>
                </w:p>
              </w:tc>
              <w:tc>
                <w:tcPr>
                  <w:tcW w:w="1243" w:type="pct"/>
                  <w:vAlign w:val="center"/>
                </w:tcPr>
                <w:p>
                  <w:pPr>
                    <w:widowControl/>
                    <w:jc w:val="center"/>
                    <w:textAlignment w:val="center"/>
                    <w:rPr>
                      <w:szCs w:val="21"/>
                    </w:rPr>
                  </w:pPr>
                  <w:r>
                    <w:rPr>
                      <w:szCs w:val="21"/>
                    </w:rPr>
                    <w:drawing>
                      <wp:inline distT="0" distB="0" distL="0" distR="0">
                        <wp:extent cx="1208405" cy="1383665"/>
                        <wp:effectExtent l="0" t="0" r="0" b="6985"/>
                        <wp:docPr id="2046308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8793"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2032" cy="1410509"/>
                                </a:xfrm>
                                <a:prstGeom prst="rect">
                                  <a:avLst/>
                                </a:prstGeom>
                                <a:noFill/>
                                <a:ln>
                                  <a:noFill/>
                                </a:ln>
                              </pic:spPr>
                            </pic:pic>
                          </a:graphicData>
                        </a:graphic>
                      </wp:inline>
                    </w:drawing>
                  </w:r>
                </w:p>
              </w:tc>
              <w:tc>
                <w:tcPr>
                  <w:tcW w:w="1210" w:type="pct"/>
                  <w:vAlign w:val="center"/>
                </w:tcPr>
                <w:p>
                  <w:pPr>
                    <w:widowControl/>
                    <w:textAlignment w:val="center"/>
                    <w:rPr>
                      <w:szCs w:val="21"/>
                    </w:rPr>
                  </w:pPr>
                  <w:r>
                    <w:rPr>
                      <w:szCs w:val="21"/>
                    </w:rPr>
                    <w:t>240mmx115mmx53mm</w:t>
                  </w:r>
                </w:p>
              </w:tc>
              <w:tc>
                <w:tcPr>
                  <w:tcW w:w="469" w:type="pct"/>
                  <w:vAlign w:val="center"/>
                </w:tcPr>
                <w:p>
                  <w:pPr>
                    <w:widowControl/>
                    <w:jc w:val="center"/>
                    <w:rPr>
                      <w:szCs w:val="21"/>
                    </w:rPr>
                  </w:pPr>
                  <w:r>
                    <w:rPr>
                      <w:szCs w:val="21"/>
                    </w:rPr>
                    <w:t>0</w:t>
                  </w:r>
                </w:p>
              </w:tc>
              <w:tc>
                <w:tcPr>
                  <w:tcW w:w="453" w:type="pct"/>
                  <w:vAlign w:val="center"/>
                </w:tcPr>
                <w:p>
                  <w:pPr>
                    <w:widowControl/>
                    <w:jc w:val="center"/>
                    <w:rPr>
                      <w:szCs w:val="21"/>
                    </w:rPr>
                  </w:pPr>
                  <w:r>
                    <w:rPr>
                      <w:szCs w:val="21"/>
                    </w:rPr>
                    <w:t>4.4万m</w:t>
                  </w:r>
                  <w:r>
                    <w:rPr>
                      <w:szCs w:val="21"/>
                      <w:vertAlign w:val="superscript"/>
                    </w:rPr>
                    <w:t>3</w:t>
                  </w:r>
                </w:p>
              </w:tc>
              <w:tc>
                <w:tcPr>
                  <w:tcW w:w="533" w:type="pct"/>
                  <w:vAlign w:val="center"/>
                </w:tcPr>
                <w:p>
                  <w:pPr>
                    <w:widowControl/>
                    <w:jc w:val="center"/>
                    <w:rPr>
                      <w:szCs w:val="21"/>
                    </w:rPr>
                  </w:pPr>
                  <w:r>
                    <w:rPr>
                      <w:szCs w:val="21"/>
                    </w:rPr>
                    <w:t>+4.4万m</w:t>
                  </w:r>
                  <w:r>
                    <w:rPr>
                      <w:szCs w:val="21"/>
                      <w:vertAlign w:val="superscript"/>
                    </w:rPr>
                    <w:t>3</w:t>
                  </w:r>
                </w:p>
              </w:tc>
              <w:tc>
                <w:tcPr>
                  <w:tcW w:w="428" w:type="pct"/>
                  <w:vAlign w:val="center"/>
                </w:tcPr>
                <w:p>
                  <w:pPr>
                    <w:widowControl/>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664" w:type="pct"/>
                  <w:vAlign w:val="center"/>
                </w:tcPr>
                <w:p>
                  <w:pPr>
                    <w:jc w:val="center"/>
                    <w:rPr>
                      <w:b/>
                      <w:bCs/>
                      <w:szCs w:val="21"/>
                    </w:rPr>
                  </w:pPr>
                  <w:r>
                    <w:rPr>
                      <w:b/>
                      <w:bCs/>
                      <w:szCs w:val="21"/>
                    </w:rPr>
                    <w:t>蒸养砖</w:t>
                  </w:r>
                </w:p>
              </w:tc>
              <w:tc>
                <w:tcPr>
                  <w:tcW w:w="1243" w:type="pct"/>
                  <w:vAlign w:val="center"/>
                </w:tcPr>
                <w:p>
                  <w:pPr>
                    <w:widowControl/>
                    <w:jc w:val="center"/>
                    <w:textAlignment w:val="center"/>
                    <w:rPr>
                      <w:szCs w:val="21"/>
                    </w:rPr>
                  </w:pPr>
                  <w:r>
                    <w:rPr>
                      <w:szCs w:val="21"/>
                    </w:rPr>
                    <w:drawing>
                      <wp:inline distT="0" distB="0" distL="0" distR="0">
                        <wp:extent cx="1205865" cy="1017270"/>
                        <wp:effectExtent l="0" t="0" r="0" b="0"/>
                        <wp:docPr id="4" name="图片 4" descr="C:\Users\PC028\AppData\Local\Temp\WeChat Files\0b45f470ab3f44c7a15888636daa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028\AppData\Local\Temp\WeChat Files\0b45f470ab3f44c7a15888636daa140.png"/>
                                <pic:cNvPicPr>
                                  <a:picLocks noChangeAspect="1" noChangeArrowheads="1"/>
                                </pic:cNvPicPr>
                              </pic:nvPicPr>
                              <pic:blipFill>
                                <a:blip r:embed="rId13" cstate="print"/>
                                <a:srcRect/>
                                <a:stretch>
                                  <a:fillRect/>
                                </a:stretch>
                              </pic:blipFill>
                              <pic:spPr>
                                <a:xfrm>
                                  <a:off x="0" y="0"/>
                                  <a:ext cx="1218075" cy="1027751"/>
                                </a:xfrm>
                                <a:prstGeom prst="rect">
                                  <a:avLst/>
                                </a:prstGeom>
                                <a:noFill/>
                                <a:ln w="9525">
                                  <a:noFill/>
                                  <a:miter lim="800000"/>
                                  <a:headEnd/>
                                  <a:tailEnd/>
                                </a:ln>
                              </pic:spPr>
                            </pic:pic>
                          </a:graphicData>
                        </a:graphic>
                      </wp:inline>
                    </w:drawing>
                  </w:r>
                </w:p>
              </w:tc>
              <w:tc>
                <w:tcPr>
                  <w:tcW w:w="1210" w:type="pct"/>
                  <w:vAlign w:val="center"/>
                </w:tcPr>
                <w:p>
                  <w:pPr>
                    <w:widowControl/>
                    <w:textAlignment w:val="center"/>
                    <w:rPr>
                      <w:szCs w:val="21"/>
                    </w:rPr>
                  </w:pPr>
                  <w:r>
                    <w:rPr>
                      <w:szCs w:val="21"/>
                    </w:rPr>
                    <w:t>600mm×200mm×厚度，(厚度为100mm、120mm、150mm、200mm、240mm不等)</w:t>
                  </w:r>
                </w:p>
              </w:tc>
              <w:tc>
                <w:tcPr>
                  <w:tcW w:w="469" w:type="pct"/>
                  <w:vAlign w:val="center"/>
                </w:tcPr>
                <w:p>
                  <w:pPr>
                    <w:widowControl/>
                    <w:jc w:val="center"/>
                    <w:rPr>
                      <w:szCs w:val="21"/>
                    </w:rPr>
                  </w:pPr>
                  <w:r>
                    <w:rPr>
                      <w:szCs w:val="21"/>
                    </w:rPr>
                    <w:t>8万m</w:t>
                  </w:r>
                  <w:r>
                    <w:rPr>
                      <w:szCs w:val="21"/>
                      <w:vertAlign w:val="superscript"/>
                    </w:rPr>
                    <w:t>3</w:t>
                  </w:r>
                </w:p>
              </w:tc>
              <w:tc>
                <w:tcPr>
                  <w:tcW w:w="453" w:type="pct"/>
                  <w:vAlign w:val="center"/>
                </w:tcPr>
                <w:p>
                  <w:pPr>
                    <w:widowControl/>
                    <w:jc w:val="center"/>
                    <w:rPr>
                      <w:szCs w:val="21"/>
                    </w:rPr>
                  </w:pPr>
                  <w:r>
                    <w:rPr>
                      <w:szCs w:val="21"/>
                    </w:rPr>
                    <w:t>3.6万m</w:t>
                  </w:r>
                  <w:r>
                    <w:rPr>
                      <w:szCs w:val="21"/>
                      <w:vertAlign w:val="superscript"/>
                    </w:rPr>
                    <w:t>3</w:t>
                  </w:r>
                </w:p>
              </w:tc>
              <w:tc>
                <w:tcPr>
                  <w:tcW w:w="533" w:type="pct"/>
                  <w:vAlign w:val="center"/>
                </w:tcPr>
                <w:p>
                  <w:pPr>
                    <w:widowControl/>
                    <w:jc w:val="center"/>
                    <w:rPr>
                      <w:szCs w:val="21"/>
                    </w:rPr>
                  </w:pPr>
                  <w:r>
                    <w:rPr>
                      <w:szCs w:val="21"/>
                    </w:rPr>
                    <w:t>-4.4万m</w:t>
                  </w:r>
                  <w:r>
                    <w:rPr>
                      <w:szCs w:val="21"/>
                      <w:vertAlign w:val="superscript"/>
                    </w:rPr>
                    <w:t>3</w:t>
                  </w:r>
                </w:p>
              </w:tc>
              <w:tc>
                <w:tcPr>
                  <w:tcW w:w="428" w:type="pct"/>
                  <w:vAlign w:val="center"/>
                </w:tcPr>
                <w:p>
                  <w:pPr>
                    <w:widowControl/>
                    <w:jc w:val="center"/>
                    <w:rPr>
                      <w:szCs w:val="21"/>
                    </w:rPr>
                  </w:pPr>
                  <w:r>
                    <w:rPr>
                      <w:szCs w:val="21"/>
                    </w:rPr>
                    <w:t>/</w:t>
                  </w:r>
                </w:p>
              </w:tc>
            </w:tr>
          </w:tbl>
          <w:p>
            <w:pPr>
              <w:spacing w:before="120" w:beforeLines="50" w:line="360" w:lineRule="auto"/>
              <w:rPr>
                <w:b/>
                <w:sz w:val="24"/>
              </w:rPr>
            </w:pPr>
            <w:r>
              <w:rPr>
                <w:b/>
                <w:sz w:val="24"/>
              </w:rPr>
              <w:t>4</w:t>
            </w:r>
            <w:r>
              <w:rPr>
                <w:rFonts w:eastAsiaTheme="minorEastAsia"/>
                <w:b/>
                <w:sz w:val="24"/>
              </w:rPr>
              <w:t>、</w:t>
            </w:r>
            <w:r>
              <w:rPr>
                <w:b/>
                <w:sz w:val="24"/>
              </w:rPr>
              <w:t>项目主要设备</w:t>
            </w:r>
          </w:p>
          <w:p>
            <w:pPr>
              <w:adjustRightInd w:val="0"/>
              <w:snapToGrid w:val="0"/>
              <w:spacing w:line="360" w:lineRule="auto"/>
              <w:ind w:firstLine="480" w:firstLineChars="200"/>
              <w:rPr>
                <w:sz w:val="24"/>
              </w:rPr>
            </w:pPr>
            <w:r>
              <w:rPr>
                <w:sz w:val="24"/>
              </w:rPr>
              <w:t>经查询《部分工业行业淘汰落后生产工艺装备和产品指导目录》（2010年本），本项目所用设备均不属于淘汰落后设备，项目主要设备如下表所示：</w:t>
            </w:r>
          </w:p>
          <w:p>
            <w:pPr>
              <w:pStyle w:val="61"/>
              <w:rPr>
                <w:sz w:val="21"/>
                <w:szCs w:val="21"/>
              </w:rPr>
            </w:pPr>
            <w:r>
              <w:rPr>
                <w:sz w:val="21"/>
                <w:szCs w:val="21"/>
              </w:rPr>
              <w:t>表2-3 项目主要生产设备表</w:t>
            </w:r>
          </w:p>
          <w:tbl>
            <w:tblPr>
              <w:tblStyle w:val="25"/>
              <w:tblW w:w="496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668"/>
              <w:gridCol w:w="1604"/>
              <w:gridCol w:w="2222"/>
              <w:gridCol w:w="1419"/>
              <w:gridCol w:w="820"/>
              <w:gridCol w:w="1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adjustRightInd w:val="0"/>
                    <w:snapToGrid w:val="0"/>
                    <w:jc w:val="center"/>
                    <w:rPr>
                      <w:b/>
                      <w:szCs w:val="21"/>
                    </w:rPr>
                  </w:pPr>
                  <w:r>
                    <w:rPr>
                      <w:b/>
                      <w:szCs w:val="21"/>
                    </w:rPr>
                    <w:t>序号</w:t>
                  </w:r>
                </w:p>
              </w:tc>
              <w:tc>
                <w:tcPr>
                  <w:tcW w:w="390" w:type="pct"/>
                  <w:vAlign w:val="center"/>
                </w:tcPr>
                <w:p>
                  <w:pPr>
                    <w:adjustRightInd w:val="0"/>
                    <w:snapToGrid w:val="0"/>
                    <w:jc w:val="center"/>
                    <w:rPr>
                      <w:b/>
                      <w:szCs w:val="21"/>
                    </w:rPr>
                  </w:pPr>
                  <w:r>
                    <w:rPr>
                      <w:b/>
                      <w:szCs w:val="21"/>
                    </w:rPr>
                    <w:t>生产单元</w:t>
                  </w:r>
                </w:p>
              </w:tc>
              <w:tc>
                <w:tcPr>
                  <w:tcW w:w="937" w:type="pct"/>
                  <w:vAlign w:val="center"/>
                </w:tcPr>
                <w:p>
                  <w:pPr>
                    <w:adjustRightInd w:val="0"/>
                    <w:snapToGrid w:val="0"/>
                    <w:jc w:val="center"/>
                    <w:rPr>
                      <w:b/>
                      <w:szCs w:val="21"/>
                    </w:rPr>
                  </w:pPr>
                  <w:r>
                    <w:rPr>
                      <w:b/>
                      <w:szCs w:val="21"/>
                    </w:rPr>
                    <w:t>主要工艺</w:t>
                  </w:r>
                </w:p>
              </w:tc>
              <w:tc>
                <w:tcPr>
                  <w:tcW w:w="1298" w:type="pct"/>
                  <w:vAlign w:val="center"/>
                </w:tcPr>
                <w:p>
                  <w:pPr>
                    <w:adjustRightInd w:val="0"/>
                    <w:snapToGrid w:val="0"/>
                    <w:jc w:val="center"/>
                    <w:rPr>
                      <w:b/>
                      <w:szCs w:val="21"/>
                    </w:rPr>
                  </w:pPr>
                  <w:r>
                    <w:rPr>
                      <w:b/>
                      <w:szCs w:val="21"/>
                    </w:rPr>
                    <w:t>设备名称</w:t>
                  </w:r>
                </w:p>
              </w:tc>
              <w:tc>
                <w:tcPr>
                  <w:tcW w:w="829" w:type="pct"/>
                  <w:vAlign w:val="center"/>
                </w:tcPr>
                <w:p>
                  <w:pPr>
                    <w:adjustRightInd w:val="0"/>
                    <w:snapToGrid w:val="0"/>
                    <w:jc w:val="center"/>
                    <w:rPr>
                      <w:b/>
                      <w:szCs w:val="21"/>
                    </w:rPr>
                  </w:pPr>
                  <w:r>
                    <w:rPr>
                      <w:b/>
                      <w:szCs w:val="21"/>
                    </w:rPr>
                    <w:t>型号规格</w:t>
                  </w:r>
                </w:p>
              </w:tc>
              <w:tc>
                <w:tcPr>
                  <w:tcW w:w="479" w:type="pct"/>
                  <w:vAlign w:val="center"/>
                </w:tcPr>
                <w:p>
                  <w:pPr>
                    <w:adjustRightInd w:val="0"/>
                    <w:snapToGrid w:val="0"/>
                    <w:jc w:val="center"/>
                    <w:rPr>
                      <w:b/>
                      <w:szCs w:val="21"/>
                    </w:rPr>
                  </w:pPr>
                  <w:r>
                    <w:rPr>
                      <w:b/>
                      <w:szCs w:val="21"/>
                    </w:rPr>
                    <w:t>数量</w:t>
                  </w:r>
                </w:p>
              </w:tc>
              <w:tc>
                <w:tcPr>
                  <w:tcW w:w="705" w:type="pct"/>
                  <w:vAlign w:val="center"/>
                </w:tcPr>
                <w:p>
                  <w:pPr>
                    <w:adjustRightInd w:val="0"/>
                    <w:snapToGrid w:val="0"/>
                    <w:jc w:val="center"/>
                    <w:rPr>
                      <w:b/>
                      <w:szCs w:val="21"/>
                    </w:rPr>
                  </w:pPr>
                  <w:r>
                    <w:rPr>
                      <w:b/>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restart"/>
                  <w:vAlign w:val="center"/>
                </w:tcPr>
                <w:p>
                  <w:pPr>
                    <w:snapToGrid w:val="0"/>
                    <w:jc w:val="center"/>
                    <w:rPr>
                      <w:b/>
                      <w:bCs/>
                      <w:szCs w:val="21"/>
                    </w:rPr>
                  </w:pPr>
                  <w:r>
                    <w:rPr>
                      <w:rFonts w:hint="eastAsia"/>
                      <w:b/>
                      <w:bCs/>
                      <w:szCs w:val="21"/>
                    </w:rPr>
                    <w:t>蒸压灰砂砖生产线</w:t>
                  </w: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vAlign w:val="center"/>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vAlign w:val="center"/>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snapToGrid w:val="0"/>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p>
              </w:tc>
              <w:tc>
                <w:tcPr>
                  <w:tcW w:w="1298" w:type="pct"/>
                  <w:vAlign w:val="center"/>
                </w:tcPr>
                <w:p>
                  <w:pPr>
                    <w:snapToGrid w:val="0"/>
                    <w:jc w:val="center"/>
                    <w:rPr>
                      <w:szCs w:val="21"/>
                    </w:rPr>
                  </w:pPr>
                </w:p>
              </w:tc>
              <w:tc>
                <w:tcPr>
                  <w:tcW w:w="829" w:type="pct"/>
                  <w:vAlign w:val="center"/>
                </w:tcPr>
                <w:p>
                  <w:pPr>
                    <w:snapToGrid w:val="0"/>
                    <w:jc w:val="center"/>
                    <w:rPr>
                      <w:szCs w:val="21"/>
                    </w:rPr>
                  </w:pPr>
                </w:p>
              </w:tc>
              <w:tc>
                <w:tcPr>
                  <w:tcW w:w="479" w:type="pct"/>
                  <w:vAlign w:val="center"/>
                </w:tcPr>
                <w:p>
                  <w:pPr>
                    <w:jc w:val="center"/>
                    <w:rPr>
                      <w:szCs w:val="21"/>
                    </w:rPr>
                  </w:pPr>
                </w:p>
              </w:tc>
              <w:tc>
                <w:tcPr>
                  <w:tcW w:w="705" w:type="pct"/>
                </w:tcPr>
                <w:p>
                  <w:pPr>
                    <w:snapToGrid w:val="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restart"/>
                  <w:vAlign w:val="center"/>
                </w:tcPr>
                <w:p>
                  <w:pPr>
                    <w:snapToGrid w:val="0"/>
                    <w:jc w:val="center"/>
                    <w:rPr>
                      <w:szCs w:val="21"/>
                    </w:rPr>
                  </w:pPr>
                  <w:r>
                    <w:rPr>
                      <w:rFonts w:hint="eastAsia"/>
                      <w:szCs w:val="21"/>
                    </w:rPr>
                    <w:t>蒸养砖生产线</w:t>
                  </w:r>
                </w:p>
              </w:tc>
              <w:tc>
                <w:tcPr>
                  <w:tcW w:w="937" w:type="pct"/>
                  <w:vAlign w:val="center"/>
                </w:tcPr>
                <w:p>
                  <w:pPr>
                    <w:snapToGrid w:val="0"/>
                    <w:jc w:val="center"/>
                    <w:rPr>
                      <w:szCs w:val="21"/>
                    </w:rPr>
                  </w:pPr>
                  <w:r>
                    <w:rPr>
                      <w:rFonts w:hint="eastAsia"/>
                      <w:szCs w:val="21"/>
                    </w:rPr>
                    <w:t>建筑垃圾</w:t>
                  </w:r>
                  <w:r>
                    <w:rPr>
                      <w:szCs w:val="21"/>
                    </w:rPr>
                    <w:t>粉碎</w:t>
                  </w:r>
                </w:p>
              </w:tc>
              <w:tc>
                <w:tcPr>
                  <w:tcW w:w="1298" w:type="pct"/>
                  <w:vAlign w:val="center"/>
                </w:tcPr>
                <w:p>
                  <w:pPr>
                    <w:snapToGrid w:val="0"/>
                    <w:jc w:val="center"/>
                    <w:rPr>
                      <w:szCs w:val="21"/>
                    </w:rPr>
                  </w:pPr>
                  <w:r>
                    <w:rPr>
                      <w:rFonts w:hint="eastAsia"/>
                      <w:szCs w:val="21"/>
                    </w:rPr>
                    <w:t>湿式</w:t>
                  </w:r>
                  <w:r>
                    <w:rPr>
                      <w:szCs w:val="21"/>
                    </w:rPr>
                    <w:t>球磨机</w:t>
                  </w:r>
                </w:p>
              </w:tc>
              <w:tc>
                <w:tcPr>
                  <w:tcW w:w="829" w:type="pct"/>
                  <w:vAlign w:val="center"/>
                </w:tcPr>
                <w:p>
                  <w:pPr>
                    <w:snapToGrid w:val="0"/>
                    <w:jc w:val="center"/>
                    <w:rPr>
                      <w:szCs w:val="21"/>
                    </w:rPr>
                  </w:pPr>
                  <w:r>
                    <w:rPr>
                      <w:rFonts w:hint="eastAsia"/>
                      <w:szCs w:val="21"/>
                    </w:rPr>
                    <w:t>Φ1200-4500</w:t>
                  </w:r>
                </w:p>
              </w:tc>
              <w:tc>
                <w:tcPr>
                  <w:tcW w:w="479" w:type="pct"/>
                  <w:vAlign w:val="center"/>
                </w:tcPr>
                <w:p>
                  <w:pPr>
                    <w:jc w:val="center"/>
                    <w:rPr>
                      <w:szCs w:val="21"/>
                    </w:rPr>
                  </w:pPr>
                  <w:r>
                    <w:rPr>
                      <w:rFonts w:hint="eastAsia"/>
                      <w:szCs w:val="21"/>
                    </w:rPr>
                    <w:t>1台</w:t>
                  </w:r>
                </w:p>
              </w:tc>
              <w:tc>
                <w:tcPr>
                  <w:tcW w:w="705" w:type="pct"/>
                  <w:vAlign w:val="center"/>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szCs w:val="21"/>
                    </w:rPr>
                    <w:t>粉碎</w:t>
                  </w:r>
                </w:p>
              </w:tc>
              <w:tc>
                <w:tcPr>
                  <w:tcW w:w="1298" w:type="pct"/>
                  <w:vAlign w:val="center"/>
                </w:tcPr>
                <w:p>
                  <w:pPr>
                    <w:snapToGrid w:val="0"/>
                    <w:jc w:val="center"/>
                    <w:rPr>
                      <w:szCs w:val="21"/>
                    </w:rPr>
                  </w:pPr>
                  <w:r>
                    <w:rPr>
                      <w:rFonts w:hint="eastAsia"/>
                      <w:szCs w:val="21"/>
                    </w:rPr>
                    <w:t>干式</w:t>
                  </w:r>
                  <w:r>
                    <w:rPr>
                      <w:szCs w:val="21"/>
                    </w:rPr>
                    <w:t>球磨机</w:t>
                  </w:r>
                </w:p>
              </w:tc>
              <w:tc>
                <w:tcPr>
                  <w:tcW w:w="829" w:type="pct"/>
                  <w:vAlign w:val="center"/>
                </w:tcPr>
                <w:p>
                  <w:pPr>
                    <w:snapToGrid w:val="0"/>
                    <w:jc w:val="center"/>
                    <w:rPr>
                      <w:szCs w:val="21"/>
                    </w:rPr>
                  </w:pPr>
                  <w:r>
                    <w:rPr>
                      <w:rFonts w:hint="eastAsia"/>
                      <w:szCs w:val="21"/>
                    </w:rPr>
                    <w:t>Φ1200-4500</w:t>
                  </w:r>
                </w:p>
              </w:tc>
              <w:tc>
                <w:tcPr>
                  <w:tcW w:w="479" w:type="pct"/>
                  <w:vAlign w:val="center"/>
                </w:tcPr>
                <w:p>
                  <w:pPr>
                    <w:jc w:val="center"/>
                    <w:rPr>
                      <w:szCs w:val="21"/>
                    </w:rPr>
                  </w:pPr>
                  <w:r>
                    <w:rPr>
                      <w:rFonts w:hint="eastAsia"/>
                      <w:szCs w:val="21"/>
                    </w:rPr>
                    <w:t>1台</w:t>
                  </w:r>
                </w:p>
              </w:tc>
              <w:tc>
                <w:tcPr>
                  <w:tcW w:w="705" w:type="pct"/>
                </w:tcPr>
                <w:p>
                  <w:pPr>
                    <w:snapToGrid w:val="0"/>
                    <w:jc w:val="center"/>
                    <w:rPr>
                      <w:szCs w:val="21"/>
                    </w:rPr>
                  </w:pPr>
                  <w:r>
                    <w:rPr>
                      <w:rFonts w:hint="eastAsia"/>
                      <w:szCs w:val="21"/>
                    </w:rPr>
                    <w:t>已建</w:t>
                  </w:r>
                </w:p>
                <w:p>
                  <w:pPr>
                    <w:snapToGrid w:val="0"/>
                    <w:jc w:val="center"/>
                    <w:rPr>
                      <w:szCs w:val="21"/>
                    </w:rPr>
                  </w:pPr>
                  <w:r>
                    <w:rPr>
                      <w:rFonts w:hint="eastAsia"/>
                      <w:szCs w:val="21"/>
                    </w:rPr>
                    <w:t>（停用）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石灰块破碎</w:t>
                  </w:r>
                </w:p>
              </w:tc>
              <w:tc>
                <w:tcPr>
                  <w:tcW w:w="1298" w:type="pct"/>
                  <w:vAlign w:val="center"/>
                </w:tcPr>
                <w:p>
                  <w:pPr>
                    <w:snapToGrid w:val="0"/>
                    <w:jc w:val="center"/>
                    <w:rPr>
                      <w:szCs w:val="21"/>
                    </w:rPr>
                  </w:pPr>
                  <w:r>
                    <w:rPr>
                      <w:kern w:val="0"/>
                      <w:szCs w:val="21"/>
                    </w:rPr>
                    <w:t>破碎机</w:t>
                  </w:r>
                </w:p>
              </w:tc>
              <w:tc>
                <w:tcPr>
                  <w:tcW w:w="829" w:type="pct"/>
                  <w:vAlign w:val="center"/>
                </w:tcPr>
                <w:p>
                  <w:pPr>
                    <w:snapToGrid w:val="0"/>
                    <w:jc w:val="center"/>
                    <w:rPr>
                      <w:szCs w:val="21"/>
                    </w:rPr>
                  </w:pPr>
                  <w:r>
                    <w:rPr>
                      <w:rFonts w:hint="eastAsia"/>
                      <w:szCs w:val="21"/>
                    </w:rPr>
                    <w:t>/</w:t>
                  </w:r>
                </w:p>
              </w:tc>
              <w:tc>
                <w:tcPr>
                  <w:tcW w:w="479" w:type="pct"/>
                  <w:vAlign w:val="center"/>
                </w:tcPr>
                <w:p>
                  <w:pPr>
                    <w:jc w:val="center"/>
                    <w:rPr>
                      <w:szCs w:val="21"/>
                    </w:rPr>
                  </w:pPr>
                  <w:r>
                    <w:rPr>
                      <w:rFonts w:hint="eastAsia"/>
                      <w:kern w:val="0"/>
                      <w:szCs w:val="21"/>
                    </w:rPr>
                    <w:t>1台</w:t>
                  </w:r>
                </w:p>
              </w:tc>
              <w:tc>
                <w:tcPr>
                  <w:tcW w:w="705" w:type="pct"/>
                </w:tcPr>
                <w:p>
                  <w:pPr>
                    <w:snapToGrid w:val="0"/>
                    <w:jc w:val="center"/>
                    <w:rPr>
                      <w:szCs w:val="21"/>
                    </w:rPr>
                  </w:pPr>
                  <w:r>
                    <w:rPr>
                      <w:rFonts w:hint="eastAsia"/>
                      <w:szCs w:val="21"/>
                    </w:rPr>
                    <w:t>已建</w:t>
                  </w:r>
                </w:p>
                <w:p>
                  <w:pPr>
                    <w:snapToGrid w:val="0"/>
                    <w:jc w:val="center"/>
                    <w:rPr>
                      <w:szCs w:val="21"/>
                    </w:rPr>
                  </w:pPr>
                  <w:r>
                    <w:rPr>
                      <w:rFonts w:hint="eastAsia"/>
                      <w:szCs w:val="21"/>
                    </w:rPr>
                    <w:t>（停用）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szCs w:val="21"/>
                    </w:rPr>
                    <w:t>原料混料</w:t>
                  </w:r>
                </w:p>
              </w:tc>
              <w:tc>
                <w:tcPr>
                  <w:tcW w:w="1298" w:type="pct"/>
                  <w:vAlign w:val="center"/>
                </w:tcPr>
                <w:p>
                  <w:pPr>
                    <w:snapToGrid w:val="0"/>
                    <w:jc w:val="center"/>
                    <w:rPr>
                      <w:szCs w:val="21"/>
                    </w:rPr>
                  </w:pPr>
                  <w:r>
                    <w:rPr>
                      <w:szCs w:val="21"/>
                    </w:rPr>
                    <w:t>配料</w:t>
                  </w:r>
                  <w:r>
                    <w:rPr>
                      <w:rFonts w:hint="eastAsia"/>
                      <w:kern w:val="0"/>
                      <w:szCs w:val="21"/>
                    </w:rPr>
                    <w:t>搅拌</w:t>
                  </w:r>
                  <w:r>
                    <w:rPr>
                      <w:szCs w:val="21"/>
                    </w:rPr>
                    <w:t>机</w:t>
                  </w:r>
                </w:p>
              </w:tc>
              <w:tc>
                <w:tcPr>
                  <w:tcW w:w="829" w:type="pct"/>
                  <w:vAlign w:val="center"/>
                </w:tcPr>
                <w:p>
                  <w:pPr>
                    <w:snapToGrid w:val="0"/>
                    <w:jc w:val="center"/>
                    <w:rPr>
                      <w:szCs w:val="21"/>
                    </w:rPr>
                  </w:pPr>
                  <w:r>
                    <w:rPr>
                      <w:rFonts w:hint="eastAsia"/>
                      <w:kern w:val="0"/>
                      <w:szCs w:val="21"/>
                    </w:rPr>
                    <w:t>S1140</w:t>
                  </w:r>
                </w:p>
              </w:tc>
              <w:tc>
                <w:tcPr>
                  <w:tcW w:w="479" w:type="pct"/>
                  <w:vAlign w:val="center"/>
                </w:tcPr>
                <w:p>
                  <w:pPr>
                    <w:jc w:val="center"/>
                    <w:rPr>
                      <w:szCs w:val="21"/>
                    </w:rPr>
                  </w:pPr>
                  <w:r>
                    <w:rPr>
                      <w:szCs w:val="21"/>
                    </w:rPr>
                    <w:t>1台</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szCs w:val="21"/>
                    </w:rPr>
                    <w:t>成品切割</w:t>
                  </w:r>
                </w:p>
              </w:tc>
              <w:tc>
                <w:tcPr>
                  <w:tcW w:w="1298" w:type="pct"/>
                  <w:vAlign w:val="center"/>
                </w:tcPr>
                <w:p>
                  <w:pPr>
                    <w:snapToGrid w:val="0"/>
                    <w:jc w:val="center"/>
                    <w:rPr>
                      <w:szCs w:val="21"/>
                    </w:rPr>
                  </w:pPr>
                  <w:r>
                    <w:rPr>
                      <w:szCs w:val="21"/>
                    </w:rPr>
                    <w:t>成型机组</w:t>
                  </w:r>
                  <w:r>
                    <w:rPr>
                      <w:rFonts w:hint="eastAsia"/>
                      <w:szCs w:val="21"/>
                    </w:rPr>
                    <w:t>（切割机）</w:t>
                  </w:r>
                </w:p>
              </w:tc>
              <w:tc>
                <w:tcPr>
                  <w:tcW w:w="829" w:type="pct"/>
                  <w:vAlign w:val="center"/>
                </w:tcPr>
                <w:p>
                  <w:pPr>
                    <w:snapToGrid w:val="0"/>
                    <w:jc w:val="center"/>
                    <w:rPr>
                      <w:szCs w:val="21"/>
                    </w:rPr>
                  </w:pPr>
                  <w:r>
                    <w:rPr>
                      <w:rFonts w:hint="eastAsia"/>
                      <w:szCs w:val="21"/>
                    </w:rPr>
                    <w:t>JQF4.2</w:t>
                  </w:r>
                </w:p>
              </w:tc>
              <w:tc>
                <w:tcPr>
                  <w:tcW w:w="479" w:type="pct"/>
                  <w:vAlign w:val="center"/>
                </w:tcPr>
                <w:p>
                  <w:pPr>
                    <w:jc w:val="center"/>
                    <w:rPr>
                      <w:szCs w:val="21"/>
                    </w:rPr>
                  </w:pPr>
                  <w:r>
                    <w:rPr>
                      <w:szCs w:val="21"/>
                    </w:rPr>
                    <w:t>1台</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rFonts w:hint="eastAsia" w:eastAsia="宋体"/>
                      <w:szCs w:val="21"/>
                      <w:lang w:eastAsia="zh-CN"/>
                    </w:rPr>
                  </w:pPr>
                  <w:r>
                    <w:rPr>
                      <w:rFonts w:hint="eastAsia"/>
                      <w:szCs w:val="21"/>
                      <w:lang w:eastAsia="zh-CN"/>
                    </w:rPr>
                    <w:t>蒸汽养护</w:t>
                  </w:r>
                </w:p>
              </w:tc>
              <w:tc>
                <w:tcPr>
                  <w:tcW w:w="1298" w:type="pct"/>
                  <w:vAlign w:val="center"/>
                </w:tcPr>
                <w:p>
                  <w:pPr>
                    <w:snapToGrid w:val="0"/>
                    <w:jc w:val="center"/>
                    <w:rPr>
                      <w:szCs w:val="21"/>
                    </w:rPr>
                  </w:pPr>
                  <w:r>
                    <w:rPr>
                      <w:szCs w:val="21"/>
                    </w:rPr>
                    <w:t>蒸压</w:t>
                  </w:r>
                  <w:r>
                    <w:rPr>
                      <w:rFonts w:hint="eastAsia"/>
                      <w:szCs w:val="21"/>
                    </w:rPr>
                    <w:t>釜</w:t>
                  </w:r>
                </w:p>
              </w:tc>
              <w:tc>
                <w:tcPr>
                  <w:tcW w:w="829" w:type="pct"/>
                  <w:vAlign w:val="center"/>
                </w:tcPr>
                <w:p>
                  <w:pPr>
                    <w:snapToGrid w:val="0"/>
                    <w:jc w:val="center"/>
                    <w:rPr>
                      <w:szCs w:val="21"/>
                    </w:rPr>
                  </w:pPr>
                  <w:r>
                    <w:rPr>
                      <w:rFonts w:hint="eastAsia"/>
                      <w:szCs w:val="21"/>
                    </w:rPr>
                    <w:t>22.12*26</w:t>
                  </w:r>
                </w:p>
              </w:tc>
              <w:tc>
                <w:tcPr>
                  <w:tcW w:w="479" w:type="pct"/>
                  <w:vAlign w:val="center"/>
                </w:tcPr>
                <w:p>
                  <w:pPr>
                    <w:jc w:val="center"/>
                    <w:rPr>
                      <w:szCs w:val="21"/>
                    </w:rPr>
                  </w:pPr>
                  <w:r>
                    <w:rPr>
                      <w:rFonts w:hint="eastAsia"/>
                      <w:szCs w:val="21"/>
                    </w:rPr>
                    <w:t>3套</w:t>
                  </w:r>
                </w:p>
              </w:tc>
              <w:tc>
                <w:tcPr>
                  <w:tcW w:w="705" w:type="pct"/>
                </w:tcPr>
                <w:p>
                  <w:pPr>
                    <w:snapToGrid w:val="0"/>
                    <w:jc w:val="center"/>
                    <w:rPr>
                      <w:szCs w:val="21"/>
                    </w:rPr>
                  </w:pPr>
                  <w:r>
                    <w:rPr>
                      <w:rFonts w:hint="eastAsia"/>
                      <w:szCs w:val="21"/>
                    </w:rPr>
                    <w:t>已建</w:t>
                  </w:r>
                </w:p>
                <w:p>
                  <w:pPr>
                    <w:snapToGrid w:val="0"/>
                    <w:jc w:val="center"/>
                    <w:rPr>
                      <w:szCs w:val="21"/>
                    </w:rPr>
                  </w:pPr>
                  <w:r>
                    <w:rPr>
                      <w:rFonts w:hint="eastAsia"/>
                      <w:szCs w:val="21"/>
                    </w:rPr>
                    <w:t>（共用）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水泥储存</w:t>
                  </w:r>
                </w:p>
              </w:tc>
              <w:tc>
                <w:tcPr>
                  <w:tcW w:w="1298" w:type="pct"/>
                  <w:vAlign w:val="center"/>
                </w:tcPr>
                <w:p>
                  <w:pPr>
                    <w:snapToGrid w:val="0"/>
                    <w:jc w:val="center"/>
                    <w:rPr>
                      <w:szCs w:val="21"/>
                    </w:rPr>
                  </w:pPr>
                  <w:r>
                    <w:rPr>
                      <w:kern w:val="0"/>
                      <w:szCs w:val="21"/>
                    </w:rPr>
                    <w:t>水泥</w:t>
                  </w:r>
                  <w:r>
                    <w:rPr>
                      <w:rFonts w:hint="eastAsia"/>
                      <w:kern w:val="0"/>
                      <w:szCs w:val="21"/>
                    </w:rPr>
                    <w:t>罐</w:t>
                  </w:r>
                </w:p>
              </w:tc>
              <w:tc>
                <w:tcPr>
                  <w:tcW w:w="829" w:type="pct"/>
                  <w:vAlign w:val="center"/>
                </w:tcPr>
                <w:p>
                  <w:pPr>
                    <w:snapToGrid w:val="0"/>
                    <w:jc w:val="center"/>
                    <w:rPr>
                      <w:szCs w:val="21"/>
                    </w:rPr>
                  </w:pPr>
                  <w:r>
                    <w:rPr>
                      <w:rFonts w:hint="eastAsia"/>
                      <w:kern w:val="0"/>
                      <w:szCs w:val="21"/>
                    </w:rPr>
                    <w:t>60m</w:t>
                  </w:r>
                  <w:r>
                    <w:rPr>
                      <w:rFonts w:hint="eastAsia"/>
                      <w:kern w:val="0"/>
                      <w:szCs w:val="21"/>
                      <w:vertAlign w:val="superscript"/>
                    </w:rPr>
                    <w:t>3</w:t>
                  </w:r>
                </w:p>
              </w:tc>
              <w:tc>
                <w:tcPr>
                  <w:tcW w:w="479" w:type="pct"/>
                  <w:vAlign w:val="center"/>
                </w:tcPr>
                <w:p>
                  <w:pPr>
                    <w:jc w:val="center"/>
                    <w:rPr>
                      <w:szCs w:val="21"/>
                    </w:rPr>
                  </w:pPr>
                  <w:r>
                    <w:rPr>
                      <w:kern w:val="0"/>
                      <w:szCs w:val="21"/>
                    </w:rPr>
                    <w:t>1个</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粉煤灰储存</w:t>
                  </w:r>
                </w:p>
              </w:tc>
              <w:tc>
                <w:tcPr>
                  <w:tcW w:w="1298" w:type="pct"/>
                  <w:vAlign w:val="center"/>
                </w:tcPr>
                <w:p>
                  <w:pPr>
                    <w:snapToGrid w:val="0"/>
                    <w:jc w:val="center"/>
                    <w:rPr>
                      <w:szCs w:val="21"/>
                    </w:rPr>
                  </w:pPr>
                  <w:r>
                    <w:rPr>
                      <w:kern w:val="0"/>
                      <w:szCs w:val="21"/>
                    </w:rPr>
                    <w:t>粉煤灰</w:t>
                  </w:r>
                  <w:r>
                    <w:rPr>
                      <w:rFonts w:hint="eastAsia"/>
                      <w:kern w:val="0"/>
                      <w:szCs w:val="21"/>
                    </w:rPr>
                    <w:t>罐</w:t>
                  </w:r>
                </w:p>
              </w:tc>
              <w:tc>
                <w:tcPr>
                  <w:tcW w:w="829" w:type="pct"/>
                  <w:vAlign w:val="center"/>
                </w:tcPr>
                <w:p>
                  <w:pPr>
                    <w:snapToGrid w:val="0"/>
                    <w:jc w:val="center"/>
                    <w:rPr>
                      <w:szCs w:val="21"/>
                    </w:rPr>
                  </w:pPr>
                  <w:r>
                    <w:rPr>
                      <w:rFonts w:hint="eastAsia"/>
                      <w:kern w:val="0"/>
                      <w:szCs w:val="21"/>
                    </w:rPr>
                    <w:t>60m</w:t>
                  </w:r>
                  <w:r>
                    <w:rPr>
                      <w:rFonts w:hint="eastAsia"/>
                      <w:kern w:val="0"/>
                      <w:szCs w:val="21"/>
                      <w:vertAlign w:val="superscript"/>
                    </w:rPr>
                    <w:t>3</w:t>
                  </w:r>
                </w:p>
              </w:tc>
              <w:tc>
                <w:tcPr>
                  <w:tcW w:w="479" w:type="pct"/>
                  <w:vAlign w:val="center"/>
                </w:tcPr>
                <w:p>
                  <w:pPr>
                    <w:jc w:val="center"/>
                    <w:rPr>
                      <w:szCs w:val="21"/>
                    </w:rPr>
                  </w:pPr>
                  <w:r>
                    <w:rPr>
                      <w:kern w:val="0"/>
                      <w:szCs w:val="21"/>
                    </w:rPr>
                    <w:t>1个</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石灰储存</w:t>
                  </w:r>
                </w:p>
              </w:tc>
              <w:tc>
                <w:tcPr>
                  <w:tcW w:w="1298" w:type="pct"/>
                  <w:vAlign w:val="center"/>
                </w:tcPr>
                <w:p>
                  <w:pPr>
                    <w:snapToGrid w:val="0"/>
                    <w:jc w:val="center"/>
                    <w:rPr>
                      <w:szCs w:val="21"/>
                    </w:rPr>
                  </w:pPr>
                  <w:r>
                    <w:rPr>
                      <w:kern w:val="0"/>
                      <w:szCs w:val="21"/>
                    </w:rPr>
                    <w:t>白灰仓罐</w:t>
                  </w:r>
                </w:p>
              </w:tc>
              <w:tc>
                <w:tcPr>
                  <w:tcW w:w="829" w:type="pct"/>
                  <w:vAlign w:val="center"/>
                </w:tcPr>
                <w:p>
                  <w:pPr>
                    <w:snapToGrid w:val="0"/>
                    <w:jc w:val="center"/>
                    <w:rPr>
                      <w:szCs w:val="21"/>
                    </w:rPr>
                  </w:pPr>
                  <w:r>
                    <w:rPr>
                      <w:rFonts w:hint="eastAsia"/>
                      <w:kern w:val="0"/>
                      <w:szCs w:val="21"/>
                    </w:rPr>
                    <w:t>60m</w:t>
                  </w:r>
                  <w:r>
                    <w:rPr>
                      <w:rFonts w:hint="eastAsia"/>
                      <w:kern w:val="0"/>
                      <w:szCs w:val="21"/>
                      <w:vertAlign w:val="superscript"/>
                    </w:rPr>
                    <w:t>3</w:t>
                  </w:r>
                  <w:r>
                    <w:rPr>
                      <w:rFonts w:hint="eastAsia"/>
                      <w:kern w:val="0"/>
                      <w:szCs w:val="21"/>
                    </w:rPr>
                    <w:t>*2</w:t>
                  </w:r>
                </w:p>
              </w:tc>
              <w:tc>
                <w:tcPr>
                  <w:tcW w:w="479" w:type="pct"/>
                  <w:vAlign w:val="center"/>
                </w:tcPr>
                <w:p>
                  <w:pPr>
                    <w:jc w:val="center"/>
                    <w:rPr>
                      <w:szCs w:val="21"/>
                    </w:rPr>
                  </w:pPr>
                  <w:r>
                    <w:rPr>
                      <w:rFonts w:hint="eastAsia"/>
                      <w:kern w:val="0"/>
                      <w:szCs w:val="21"/>
                    </w:rPr>
                    <w:t>2个</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提供蒸汽</w:t>
                  </w:r>
                </w:p>
              </w:tc>
              <w:tc>
                <w:tcPr>
                  <w:tcW w:w="1298" w:type="pct"/>
                  <w:vAlign w:val="center"/>
                </w:tcPr>
                <w:p>
                  <w:pPr>
                    <w:snapToGrid w:val="0"/>
                    <w:jc w:val="center"/>
                    <w:rPr>
                      <w:szCs w:val="21"/>
                    </w:rPr>
                  </w:pPr>
                  <w:r>
                    <w:rPr>
                      <w:rFonts w:hint="eastAsia"/>
                      <w:kern w:val="0"/>
                      <w:szCs w:val="21"/>
                    </w:rPr>
                    <w:t>卧式蒸汽</w:t>
                  </w:r>
                  <w:r>
                    <w:rPr>
                      <w:kern w:val="0"/>
                      <w:szCs w:val="21"/>
                    </w:rPr>
                    <w:t>锅炉</w:t>
                  </w:r>
                </w:p>
              </w:tc>
              <w:tc>
                <w:tcPr>
                  <w:tcW w:w="829" w:type="pct"/>
                  <w:vAlign w:val="center"/>
                </w:tcPr>
                <w:p>
                  <w:pPr>
                    <w:snapToGrid w:val="0"/>
                    <w:jc w:val="center"/>
                    <w:rPr>
                      <w:szCs w:val="21"/>
                    </w:rPr>
                  </w:pPr>
                  <w:r>
                    <w:rPr>
                      <w:kern w:val="0"/>
                      <w:szCs w:val="21"/>
                    </w:rPr>
                    <w:t>4t/h</w:t>
                  </w:r>
                </w:p>
              </w:tc>
              <w:tc>
                <w:tcPr>
                  <w:tcW w:w="479" w:type="pct"/>
                  <w:vAlign w:val="center"/>
                </w:tcPr>
                <w:p>
                  <w:pPr>
                    <w:jc w:val="center"/>
                    <w:rPr>
                      <w:szCs w:val="21"/>
                    </w:rPr>
                  </w:pPr>
                  <w:r>
                    <w:rPr>
                      <w:kern w:val="0"/>
                      <w:szCs w:val="21"/>
                    </w:rPr>
                    <w:t>1台</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物料调度</w:t>
                  </w:r>
                </w:p>
              </w:tc>
              <w:tc>
                <w:tcPr>
                  <w:tcW w:w="1298" w:type="pct"/>
                  <w:vAlign w:val="center"/>
                </w:tcPr>
                <w:p>
                  <w:pPr>
                    <w:snapToGrid w:val="0"/>
                    <w:jc w:val="center"/>
                    <w:rPr>
                      <w:szCs w:val="21"/>
                    </w:rPr>
                  </w:pPr>
                  <w:r>
                    <w:rPr>
                      <w:kern w:val="0"/>
                      <w:szCs w:val="21"/>
                    </w:rPr>
                    <w:t>牵引机</w:t>
                  </w:r>
                </w:p>
              </w:tc>
              <w:tc>
                <w:tcPr>
                  <w:tcW w:w="829" w:type="pct"/>
                  <w:vAlign w:val="center"/>
                </w:tcPr>
                <w:p>
                  <w:pPr>
                    <w:snapToGrid w:val="0"/>
                    <w:jc w:val="center"/>
                    <w:rPr>
                      <w:szCs w:val="21"/>
                    </w:rPr>
                  </w:pPr>
                  <w:r>
                    <w:rPr>
                      <w:rFonts w:hint="eastAsia"/>
                      <w:szCs w:val="21"/>
                    </w:rPr>
                    <w:t>/</w:t>
                  </w:r>
                </w:p>
              </w:tc>
              <w:tc>
                <w:tcPr>
                  <w:tcW w:w="479" w:type="pct"/>
                  <w:vAlign w:val="center"/>
                </w:tcPr>
                <w:p>
                  <w:pPr>
                    <w:jc w:val="center"/>
                    <w:rPr>
                      <w:szCs w:val="21"/>
                    </w:rPr>
                  </w:pPr>
                  <w:r>
                    <w:rPr>
                      <w:rFonts w:hint="eastAsia"/>
                      <w:kern w:val="0"/>
                      <w:szCs w:val="21"/>
                    </w:rPr>
                    <w:t>2套</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Merge w:val="continue"/>
                  <w:vAlign w:val="center"/>
                </w:tcPr>
                <w:p>
                  <w:pPr>
                    <w:snapToGrid w:val="0"/>
                    <w:jc w:val="center"/>
                    <w:rPr>
                      <w:szCs w:val="21"/>
                    </w:rPr>
                  </w:pPr>
                </w:p>
              </w:tc>
              <w:tc>
                <w:tcPr>
                  <w:tcW w:w="937" w:type="pct"/>
                  <w:vAlign w:val="center"/>
                </w:tcPr>
                <w:p>
                  <w:pPr>
                    <w:snapToGrid w:val="0"/>
                    <w:jc w:val="center"/>
                    <w:rPr>
                      <w:szCs w:val="21"/>
                    </w:rPr>
                  </w:pPr>
                  <w:r>
                    <w:rPr>
                      <w:kern w:val="0"/>
                      <w:szCs w:val="21"/>
                    </w:rPr>
                    <w:t>物料调度</w:t>
                  </w:r>
                </w:p>
              </w:tc>
              <w:tc>
                <w:tcPr>
                  <w:tcW w:w="1298" w:type="pct"/>
                  <w:vAlign w:val="center"/>
                </w:tcPr>
                <w:p>
                  <w:pPr>
                    <w:snapToGrid w:val="0"/>
                    <w:jc w:val="center"/>
                    <w:rPr>
                      <w:szCs w:val="21"/>
                    </w:rPr>
                  </w:pPr>
                  <w:r>
                    <w:rPr>
                      <w:rFonts w:hint="eastAsia"/>
                      <w:kern w:val="0"/>
                      <w:szCs w:val="21"/>
                    </w:rPr>
                    <w:t>航吊架</w:t>
                  </w:r>
                </w:p>
              </w:tc>
              <w:tc>
                <w:tcPr>
                  <w:tcW w:w="829" w:type="pct"/>
                  <w:vAlign w:val="center"/>
                </w:tcPr>
                <w:p>
                  <w:pPr>
                    <w:snapToGrid w:val="0"/>
                    <w:jc w:val="center"/>
                    <w:rPr>
                      <w:szCs w:val="21"/>
                    </w:rPr>
                  </w:pPr>
                  <w:r>
                    <w:rPr>
                      <w:rFonts w:hint="eastAsia"/>
                      <w:szCs w:val="21"/>
                    </w:rPr>
                    <w:t>/</w:t>
                  </w:r>
                </w:p>
              </w:tc>
              <w:tc>
                <w:tcPr>
                  <w:tcW w:w="479" w:type="pct"/>
                  <w:vAlign w:val="center"/>
                </w:tcPr>
                <w:p>
                  <w:pPr>
                    <w:jc w:val="center"/>
                    <w:rPr>
                      <w:szCs w:val="21"/>
                    </w:rPr>
                  </w:pPr>
                  <w:r>
                    <w:rPr>
                      <w:rFonts w:hint="eastAsia"/>
                      <w:kern w:val="0"/>
                      <w:szCs w:val="21"/>
                    </w:rPr>
                    <w:t>2套</w:t>
                  </w:r>
                </w:p>
              </w:tc>
              <w:tc>
                <w:tcPr>
                  <w:tcW w:w="705" w:type="pct"/>
                </w:tcPr>
                <w:p>
                  <w:pPr>
                    <w:snapToGrid w:val="0"/>
                    <w:jc w:val="center"/>
                    <w:rPr>
                      <w:szCs w:val="21"/>
                    </w:rPr>
                  </w:pPr>
                  <w:r>
                    <w:rPr>
                      <w:rFonts w:hint="eastAsia"/>
                      <w:szCs w:val="21"/>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pPr>
                    <w:pStyle w:val="78"/>
                    <w:numPr>
                      <w:ilvl w:val="0"/>
                      <w:numId w:val="2"/>
                    </w:numPr>
                    <w:adjustRightInd w:val="0"/>
                    <w:snapToGrid w:val="0"/>
                    <w:ind w:left="547" w:leftChars="50" w:hanging="442" w:firstLineChars="0"/>
                    <w:jc w:val="center"/>
                    <w:rPr>
                      <w:szCs w:val="21"/>
                    </w:rPr>
                  </w:pPr>
                </w:p>
              </w:tc>
              <w:tc>
                <w:tcPr>
                  <w:tcW w:w="390" w:type="pct"/>
                  <w:vAlign w:val="center"/>
                </w:tcPr>
                <w:p>
                  <w:pPr>
                    <w:snapToGrid w:val="0"/>
                    <w:jc w:val="center"/>
                    <w:rPr>
                      <w:szCs w:val="21"/>
                    </w:rPr>
                  </w:pPr>
                  <w:r>
                    <w:rPr>
                      <w:rFonts w:hint="eastAsia"/>
                      <w:szCs w:val="21"/>
                    </w:rPr>
                    <w:t>环保设备</w:t>
                  </w:r>
                </w:p>
              </w:tc>
              <w:tc>
                <w:tcPr>
                  <w:tcW w:w="937" w:type="pct"/>
                  <w:vAlign w:val="center"/>
                </w:tcPr>
                <w:p>
                  <w:pPr>
                    <w:snapToGrid w:val="0"/>
                    <w:jc w:val="center"/>
                    <w:rPr>
                      <w:kern w:val="0"/>
                      <w:szCs w:val="21"/>
                    </w:rPr>
                  </w:pPr>
                  <w:r>
                    <w:rPr>
                      <w:rFonts w:hint="eastAsia"/>
                      <w:kern w:val="0"/>
                      <w:szCs w:val="21"/>
                    </w:rPr>
                    <w:t>除尘</w:t>
                  </w:r>
                </w:p>
              </w:tc>
              <w:tc>
                <w:tcPr>
                  <w:tcW w:w="1298" w:type="pct"/>
                  <w:vAlign w:val="center"/>
                </w:tcPr>
                <w:p>
                  <w:pPr>
                    <w:snapToGrid w:val="0"/>
                    <w:jc w:val="center"/>
                    <w:rPr>
                      <w:kern w:val="0"/>
                      <w:szCs w:val="21"/>
                    </w:rPr>
                  </w:pPr>
                  <w:r>
                    <w:rPr>
                      <w:rFonts w:hint="eastAsia"/>
                      <w:kern w:val="0"/>
                      <w:szCs w:val="21"/>
                    </w:rPr>
                    <w:t>布袋除尘器</w:t>
                  </w:r>
                </w:p>
              </w:tc>
              <w:tc>
                <w:tcPr>
                  <w:tcW w:w="829" w:type="pct"/>
                  <w:vAlign w:val="center"/>
                </w:tcPr>
                <w:p>
                  <w:pPr>
                    <w:snapToGrid w:val="0"/>
                    <w:jc w:val="center"/>
                    <w:rPr>
                      <w:szCs w:val="21"/>
                    </w:rPr>
                  </w:pPr>
                  <w:r>
                    <w:rPr>
                      <w:rFonts w:hint="eastAsia"/>
                      <w:szCs w:val="21"/>
                    </w:rPr>
                    <w:t>/</w:t>
                  </w:r>
                </w:p>
              </w:tc>
              <w:tc>
                <w:tcPr>
                  <w:tcW w:w="479" w:type="pct"/>
                  <w:vAlign w:val="center"/>
                </w:tcPr>
                <w:p>
                  <w:pPr>
                    <w:jc w:val="center"/>
                    <w:rPr>
                      <w:kern w:val="0"/>
                      <w:szCs w:val="21"/>
                    </w:rPr>
                  </w:pPr>
                  <w:r>
                    <w:rPr>
                      <w:kern w:val="0"/>
                      <w:szCs w:val="21"/>
                    </w:rPr>
                    <w:t>1</w:t>
                  </w:r>
                  <w:r>
                    <w:rPr>
                      <w:rFonts w:hint="eastAsia"/>
                      <w:kern w:val="0"/>
                      <w:szCs w:val="21"/>
                    </w:rPr>
                    <w:t>套</w:t>
                  </w:r>
                </w:p>
              </w:tc>
              <w:tc>
                <w:tcPr>
                  <w:tcW w:w="705" w:type="pct"/>
                  <w:vAlign w:val="center"/>
                </w:tcPr>
                <w:p>
                  <w:pPr>
                    <w:snapToGrid w:val="0"/>
                    <w:jc w:val="center"/>
                    <w:rPr>
                      <w:szCs w:val="21"/>
                    </w:rPr>
                  </w:pPr>
                  <w:r>
                    <w:rPr>
                      <w:rFonts w:hint="eastAsia"/>
                      <w:szCs w:val="21"/>
                    </w:rPr>
                    <w:t>新增</w:t>
                  </w:r>
                </w:p>
              </w:tc>
            </w:tr>
          </w:tbl>
          <w:p>
            <w:pPr>
              <w:pStyle w:val="2"/>
            </w:pPr>
          </w:p>
          <w:p>
            <w:pPr>
              <w:pStyle w:val="62"/>
              <w:spacing w:before="120" w:beforeLines="50"/>
              <w:ind w:firstLine="0"/>
              <w:rPr>
                <w:rFonts w:ascii="Times New Roman" w:hAnsi="Times New Roman"/>
                <w:b/>
              </w:rPr>
            </w:pPr>
            <w:r>
              <w:rPr>
                <w:rFonts w:ascii="Times New Roman" w:hAnsi="Times New Roman"/>
                <w:b/>
              </w:rPr>
              <w:t>5</w:t>
            </w:r>
            <w:r>
              <w:rPr>
                <w:rFonts w:ascii="Times New Roman" w:hAnsi="Times New Roman" w:eastAsiaTheme="minorEastAsia"/>
                <w:b/>
                <w:bCs w:val="0"/>
              </w:rPr>
              <w:t>、</w:t>
            </w:r>
            <w:r>
              <w:rPr>
                <w:rFonts w:ascii="Times New Roman" w:hAnsi="Times New Roman"/>
                <w:b/>
              </w:rPr>
              <w:t>主要原辅材料及燃料的种类和用量</w:t>
            </w:r>
          </w:p>
          <w:p>
            <w:pPr>
              <w:adjustRightInd w:val="0"/>
              <w:snapToGrid w:val="0"/>
              <w:spacing w:line="360" w:lineRule="auto"/>
              <w:ind w:firstLine="482" w:firstLineChars="200"/>
              <w:rPr>
                <w:b/>
                <w:bCs/>
                <w:sz w:val="24"/>
              </w:rPr>
            </w:pPr>
            <w:r>
              <w:rPr>
                <w:b/>
                <w:bCs/>
                <w:sz w:val="24"/>
              </w:rPr>
              <w:t>5.1原辅材料种类与用量</w:t>
            </w:r>
          </w:p>
          <w:p>
            <w:pPr>
              <w:adjustRightInd w:val="0"/>
              <w:snapToGrid w:val="0"/>
              <w:spacing w:line="360" w:lineRule="auto"/>
              <w:ind w:firstLine="480" w:firstLineChars="200"/>
              <w:rPr>
                <w:sz w:val="24"/>
              </w:rPr>
            </w:pPr>
            <w:r>
              <w:rPr>
                <w:sz w:val="24"/>
              </w:rPr>
              <w:t>本项目主要原辅料为基岩屑厌氧热回收处理后的干渣和水泥，具体使用情况见下表：</w:t>
            </w:r>
          </w:p>
          <w:p>
            <w:pPr>
              <w:pStyle w:val="61"/>
              <w:rPr>
                <w:sz w:val="21"/>
                <w:szCs w:val="21"/>
              </w:rPr>
            </w:pPr>
            <w:r>
              <w:rPr>
                <w:rFonts w:hint="eastAsia"/>
                <w:sz w:val="21"/>
                <w:szCs w:val="21"/>
              </w:rPr>
              <w:t>表</w:t>
            </w:r>
            <w:r>
              <w:rPr>
                <w:sz w:val="21"/>
                <w:szCs w:val="21"/>
              </w:rPr>
              <w:t>2-4 主要原辅材料及能源消耗表</w:t>
            </w:r>
          </w:p>
          <w:tbl>
            <w:tblPr>
              <w:tblStyle w:val="25"/>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13"/>
              <w:gridCol w:w="472"/>
              <w:gridCol w:w="945"/>
              <w:gridCol w:w="711"/>
              <w:gridCol w:w="1103"/>
              <w:gridCol w:w="592"/>
              <w:gridCol w:w="604"/>
              <w:gridCol w:w="797"/>
              <w:gridCol w:w="890"/>
              <w:gridCol w:w="797"/>
              <w:gridCol w:w="795"/>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3" w:hRule="atLeast"/>
                <w:jc w:val="center"/>
              </w:trPr>
              <w:tc>
                <w:tcPr>
                  <w:tcW w:w="182" w:type="pct"/>
                  <w:vMerge w:val="restart"/>
                  <w:vAlign w:val="center"/>
                </w:tcPr>
                <w:p>
                  <w:pPr>
                    <w:pStyle w:val="64"/>
                    <w:snapToGrid w:val="0"/>
                    <w:rPr>
                      <w:rFonts w:ascii="Times New Roman" w:hAnsi="Times New Roman"/>
                      <w:b/>
                    </w:rPr>
                  </w:pPr>
                  <w:r>
                    <w:rPr>
                      <w:rFonts w:ascii="Times New Roman" w:hAnsi="Times New Roman"/>
                      <w:b/>
                    </w:rPr>
                    <w:t>序号</w:t>
                  </w:r>
                </w:p>
              </w:tc>
              <w:tc>
                <w:tcPr>
                  <w:tcW w:w="274" w:type="pct"/>
                  <w:vMerge w:val="restart"/>
                  <w:vAlign w:val="center"/>
                </w:tcPr>
                <w:p>
                  <w:pPr>
                    <w:pStyle w:val="64"/>
                    <w:snapToGrid w:val="0"/>
                    <w:rPr>
                      <w:rFonts w:ascii="Times New Roman" w:hAnsi="Times New Roman"/>
                      <w:b/>
                    </w:rPr>
                  </w:pPr>
                  <w:r>
                    <w:rPr>
                      <w:rFonts w:ascii="Times New Roman" w:hAnsi="Times New Roman"/>
                      <w:b/>
                    </w:rPr>
                    <w:t>生产线</w:t>
                  </w:r>
                </w:p>
              </w:tc>
              <w:tc>
                <w:tcPr>
                  <w:tcW w:w="2297" w:type="pct"/>
                  <w:gridSpan w:val="5"/>
                  <w:vAlign w:val="center"/>
                </w:tcPr>
                <w:p>
                  <w:pPr>
                    <w:pStyle w:val="64"/>
                    <w:snapToGrid w:val="0"/>
                    <w:rPr>
                      <w:rFonts w:ascii="Times New Roman" w:hAnsi="Times New Roman"/>
                      <w:b/>
                    </w:rPr>
                  </w:pPr>
                  <w:r>
                    <w:rPr>
                      <w:rFonts w:ascii="Times New Roman" w:hAnsi="Times New Roman"/>
                      <w:b/>
                    </w:rPr>
                    <w:t>技改后原辅料</w:t>
                  </w:r>
                </w:p>
              </w:tc>
              <w:tc>
                <w:tcPr>
                  <w:tcW w:w="2247" w:type="pct"/>
                  <w:gridSpan w:val="5"/>
                  <w:vAlign w:val="center"/>
                </w:tcPr>
                <w:p>
                  <w:pPr>
                    <w:pStyle w:val="64"/>
                    <w:snapToGrid w:val="0"/>
                    <w:rPr>
                      <w:rFonts w:ascii="Times New Roman" w:hAnsi="Times New Roman"/>
                      <w:b/>
                    </w:rPr>
                  </w:pPr>
                  <w:r>
                    <w:rPr>
                      <w:rFonts w:ascii="Times New Roman" w:hAnsi="Times New Roman"/>
                      <w:b/>
                    </w:rPr>
                    <w:t>技改前原辅料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3" w:hRule="atLeast"/>
                <w:jc w:val="center"/>
              </w:trPr>
              <w:tc>
                <w:tcPr>
                  <w:tcW w:w="182" w:type="pct"/>
                  <w:vMerge w:val="continue"/>
                  <w:vAlign w:val="center"/>
                </w:tcPr>
                <w:p>
                  <w:pPr>
                    <w:pStyle w:val="64"/>
                    <w:snapToGrid w:val="0"/>
                    <w:rPr>
                      <w:rFonts w:ascii="Times New Roman" w:hAnsi="Times New Roman"/>
                      <w:b/>
                    </w:rPr>
                  </w:pPr>
                </w:p>
              </w:tc>
              <w:tc>
                <w:tcPr>
                  <w:tcW w:w="274" w:type="pct"/>
                  <w:vMerge w:val="continue"/>
                  <w:vAlign w:val="center"/>
                </w:tcPr>
                <w:p>
                  <w:pPr>
                    <w:pStyle w:val="64"/>
                    <w:snapToGrid w:val="0"/>
                    <w:rPr>
                      <w:rFonts w:ascii="Times New Roman" w:hAnsi="Times New Roman"/>
                      <w:b/>
                    </w:rPr>
                  </w:pPr>
                </w:p>
              </w:tc>
              <w:tc>
                <w:tcPr>
                  <w:tcW w:w="549" w:type="pct"/>
                  <w:vAlign w:val="center"/>
                </w:tcPr>
                <w:p>
                  <w:pPr>
                    <w:pStyle w:val="64"/>
                    <w:snapToGrid w:val="0"/>
                    <w:rPr>
                      <w:rFonts w:ascii="Times New Roman" w:hAnsi="Times New Roman"/>
                      <w:b/>
                    </w:rPr>
                  </w:pPr>
                  <w:r>
                    <w:rPr>
                      <w:rFonts w:ascii="Times New Roman" w:hAnsi="Times New Roman"/>
                      <w:b/>
                    </w:rPr>
                    <w:t>原辅材料名称</w:t>
                  </w:r>
                </w:p>
              </w:tc>
              <w:tc>
                <w:tcPr>
                  <w:tcW w:w="413" w:type="pct"/>
                  <w:vAlign w:val="center"/>
                </w:tcPr>
                <w:p>
                  <w:pPr>
                    <w:pStyle w:val="64"/>
                    <w:snapToGrid w:val="0"/>
                    <w:rPr>
                      <w:rFonts w:ascii="Times New Roman" w:hAnsi="Times New Roman"/>
                      <w:b/>
                    </w:rPr>
                  </w:pPr>
                  <w:r>
                    <w:rPr>
                      <w:rFonts w:ascii="Times New Roman" w:hAnsi="Times New Roman"/>
                      <w:b/>
                    </w:rPr>
                    <w:t>年用量</w:t>
                  </w:r>
                </w:p>
              </w:tc>
              <w:tc>
                <w:tcPr>
                  <w:tcW w:w="641" w:type="pct"/>
                  <w:vAlign w:val="center"/>
                </w:tcPr>
                <w:p>
                  <w:pPr>
                    <w:pStyle w:val="64"/>
                    <w:snapToGrid w:val="0"/>
                    <w:rPr>
                      <w:rFonts w:ascii="Times New Roman" w:hAnsi="Times New Roman"/>
                      <w:b/>
                    </w:rPr>
                  </w:pPr>
                  <w:r>
                    <w:rPr>
                      <w:rFonts w:ascii="Times New Roman" w:hAnsi="Times New Roman"/>
                      <w:b/>
                    </w:rPr>
                    <w:t>形态</w:t>
                  </w:r>
                </w:p>
              </w:tc>
              <w:tc>
                <w:tcPr>
                  <w:tcW w:w="344" w:type="pct"/>
                  <w:vAlign w:val="center"/>
                </w:tcPr>
                <w:p>
                  <w:pPr>
                    <w:pStyle w:val="64"/>
                    <w:snapToGrid w:val="0"/>
                    <w:rPr>
                      <w:rFonts w:ascii="Times New Roman" w:hAnsi="Times New Roman"/>
                      <w:b/>
                    </w:rPr>
                  </w:pPr>
                  <w:r>
                    <w:rPr>
                      <w:rFonts w:ascii="Times New Roman" w:hAnsi="Times New Roman"/>
                      <w:b/>
                    </w:rPr>
                    <w:t>储存方式</w:t>
                  </w:r>
                </w:p>
              </w:tc>
              <w:tc>
                <w:tcPr>
                  <w:tcW w:w="351" w:type="pct"/>
                  <w:vAlign w:val="center"/>
                </w:tcPr>
                <w:p>
                  <w:pPr>
                    <w:pStyle w:val="64"/>
                    <w:snapToGrid w:val="0"/>
                    <w:rPr>
                      <w:rFonts w:ascii="Times New Roman" w:hAnsi="Times New Roman"/>
                      <w:b/>
                    </w:rPr>
                  </w:pPr>
                  <w:r>
                    <w:rPr>
                      <w:rFonts w:ascii="Times New Roman" w:hAnsi="Times New Roman"/>
                      <w:b/>
                    </w:rPr>
                    <w:t>来源</w:t>
                  </w:r>
                </w:p>
              </w:tc>
              <w:tc>
                <w:tcPr>
                  <w:tcW w:w="463" w:type="pct"/>
                  <w:vAlign w:val="center"/>
                </w:tcPr>
                <w:p>
                  <w:pPr>
                    <w:pStyle w:val="64"/>
                    <w:snapToGrid w:val="0"/>
                    <w:rPr>
                      <w:rFonts w:ascii="Times New Roman" w:hAnsi="Times New Roman"/>
                      <w:b/>
                    </w:rPr>
                  </w:pPr>
                  <w:r>
                    <w:rPr>
                      <w:rFonts w:ascii="Times New Roman" w:hAnsi="Times New Roman"/>
                      <w:b/>
                    </w:rPr>
                    <w:t>原辅材料名称</w:t>
                  </w:r>
                </w:p>
              </w:tc>
              <w:tc>
                <w:tcPr>
                  <w:tcW w:w="517" w:type="pct"/>
                  <w:vAlign w:val="center"/>
                </w:tcPr>
                <w:p>
                  <w:pPr>
                    <w:pStyle w:val="64"/>
                    <w:snapToGrid w:val="0"/>
                    <w:rPr>
                      <w:rFonts w:ascii="Times New Roman" w:hAnsi="Times New Roman"/>
                      <w:b/>
                    </w:rPr>
                  </w:pPr>
                  <w:r>
                    <w:rPr>
                      <w:rFonts w:ascii="Times New Roman" w:hAnsi="Times New Roman"/>
                      <w:b/>
                    </w:rPr>
                    <w:t>年用量</w:t>
                  </w:r>
                </w:p>
              </w:tc>
              <w:tc>
                <w:tcPr>
                  <w:tcW w:w="463" w:type="pct"/>
                  <w:vAlign w:val="center"/>
                </w:tcPr>
                <w:p>
                  <w:pPr>
                    <w:pStyle w:val="64"/>
                    <w:snapToGrid w:val="0"/>
                    <w:rPr>
                      <w:rFonts w:ascii="Times New Roman" w:hAnsi="Times New Roman"/>
                      <w:b/>
                    </w:rPr>
                  </w:pPr>
                  <w:r>
                    <w:rPr>
                      <w:rFonts w:ascii="Times New Roman" w:hAnsi="Times New Roman"/>
                      <w:b/>
                    </w:rPr>
                    <w:t>形态</w:t>
                  </w:r>
                </w:p>
              </w:tc>
              <w:tc>
                <w:tcPr>
                  <w:tcW w:w="462" w:type="pct"/>
                  <w:vAlign w:val="center"/>
                </w:tcPr>
                <w:p>
                  <w:pPr>
                    <w:pStyle w:val="64"/>
                    <w:snapToGrid w:val="0"/>
                    <w:rPr>
                      <w:rFonts w:ascii="Times New Roman" w:hAnsi="Times New Roman"/>
                      <w:b/>
                    </w:rPr>
                  </w:pPr>
                  <w:r>
                    <w:rPr>
                      <w:rFonts w:ascii="Times New Roman" w:hAnsi="Times New Roman"/>
                      <w:b/>
                    </w:rPr>
                    <w:t>储存方式</w:t>
                  </w:r>
                </w:p>
              </w:tc>
              <w:tc>
                <w:tcPr>
                  <w:tcW w:w="342" w:type="pct"/>
                  <w:vAlign w:val="center"/>
                </w:tcPr>
                <w:p>
                  <w:pPr>
                    <w:pStyle w:val="64"/>
                    <w:snapToGrid w:val="0"/>
                    <w:rPr>
                      <w:rFonts w:ascii="Times New Roman" w:hAnsi="Times New Roman"/>
                      <w:b/>
                    </w:rPr>
                  </w:pPr>
                  <w:r>
                    <w:rPr>
                      <w:rFonts w:ascii="Times New Roman" w:hAnsi="Times New Roman"/>
                      <w:b/>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jc w:val="center"/>
              </w:trPr>
              <w:tc>
                <w:tcPr>
                  <w:tcW w:w="182" w:type="pct"/>
                  <w:vAlign w:val="center"/>
                </w:tcPr>
                <w:p>
                  <w:pPr>
                    <w:pStyle w:val="64"/>
                    <w:snapToGrid w:val="0"/>
                    <w:rPr>
                      <w:rFonts w:ascii="Times New Roman" w:hAnsi="Times New Roman"/>
                    </w:rPr>
                  </w:pPr>
                  <w:r>
                    <w:rPr>
                      <w:rFonts w:ascii="Times New Roman" w:hAnsi="Times New Roman"/>
                    </w:rPr>
                    <w:t>1</w:t>
                  </w:r>
                </w:p>
              </w:tc>
              <w:tc>
                <w:tcPr>
                  <w:tcW w:w="274" w:type="pct"/>
                  <w:vMerge w:val="restart"/>
                  <w:vAlign w:val="center"/>
                </w:tcPr>
                <w:p>
                  <w:pPr>
                    <w:spacing w:line="360" w:lineRule="exact"/>
                    <w:jc w:val="center"/>
                    <w:rPr>
                      <w:rFonts w:eastAsiaTheme="minorEastAsia"/>
                      <w:b/>
                      <w:bCs/>
                      <w:spacing w:val="-5"/>
                      <w:w w:val="101"/>
                      <w:szCs w:val="21"/>
                    </w:rPr>
                  </w:pPr>
                  <w:r>
                    <w:rPr>
                      <w:rFonts w:eastAsiaTheme="minorEastAsia"/>
                      <w:b/>
                      <w:bCs/>
                      <w:spacing w:val="-5"/>
                      <w:w w:val="101"/>
                      <w:szCs w:val="21"/>
                    </w:rPr>
                    <w:t>新增蒸压砖生产线</w:t>
                  </w:r>
                </w:p>
              </w:tc>
              <w:tc>
                <w:tcPr>
                  <w:tcW w:w="549" w:type="pct"/>
                  <w:vAlign w:val="center"/>
                </w:tcPr>
                <w:p>
                  <w:pPr>
                    <w:spacing w:line="360" w:lineRule="exact"/>
                    <w:jc w:val="center"/>
                    <w:rPr>
                      <w:szCs w:val="21"/>
                    </w:rPr>
                  </w:pPr>
                  <w:r>
                    <w:rPr>
                      <w:rFonts w:eastAsiaTheme="minorEastAsia"/>
                      <w:spacing w:val="-5"/>
                      <w:w w:val="101"/>
                      <w:szCs w:val="21"/>
                    </w:rPr>
                    <w:t>干渣</w:t>
                  </w:r>
                </w:p>
              </w:tc>
              <w:tc>
                <w:tcPr>
                  <w:tcW w:w="413" w:type="pct"/>
                  <w:vAlign w:val="center"/>
                </w:tcPr>
                <w:p>
                  <w:pPr>
                    <w:spacing w:line="360" w:lineRule="exact"/>
                    <w:jc w:val="center"/>
                    <w:rPr>
                      <w:szCs w:val="21"/>
                    </w:rPr>
                  </w:pPr>
                  <w:r>
                    <w:rPr>
                      <w:szCs w:val="21"/>
                    </w:rPr>
                    <w:t>83100 t</w:t>
                  </w:r>
                </w:p>
              </w:tc>
              <w:tc>
                <w:tcPr>
                  <w:tcW w:w="641" w:type="pct"/>
                  <w:vAlign w:val="center"/>
                </w:tcPr>
                <w:p>
                  <w:pPr>
                    <w:jc w:val="center"/>
                    <w:rPr>
                      <w:szCs w:val="21"/>
                    </w:rPr>
                  </w:pPr>
                  <w:r>
                    <w:rPr>
                      <w:szCs w:val="21"/>
                    </w:rPr>
                    <w:t>粉末状粒径0.1</w:t>
                  </w:r>
                  <w:r>
                    <w:rPr>
                      <w:szCs w:val="21"/>
                      <w:shd w:val="clear" w:color="auto" w:fill="FFFFFF"/>
                    </w:rPr>
                    <w:t xml:space="preserve"> mm</w:t>
                  </w:r>
                </w:p>
              </w:tc>
              <w:tc>
                <w:tcPr>
                  <w:tcW w:w="344" w:type="pct"/>
                  <w:vAlign w:val="center"/>
                </w:tcPr>
                <w:p>
                  <w:pPr>
                    <w:spacing w:line="360" w:lineRule="exact"/>
                    <w:jc w:val="center"/>
                    <w:rPr>
                      <w:szCs w:val="21"/>
                    </w:rPr>
                  </w:pPr>
                  <w:r>
                    <w:rPr>
                      <w:szCs w:val="21"/>
                    </w:rPr>
                    <w:t>粉料仓</w:t>
                  </w:r>
                </w:p>
              </w:tc>
              <w:tc>
                <w:tcPr>
                  <w:tcW w:w="351" w:type="pct"/>
                  <w:vAlign w:val="center"/>
                </w:tcPr>
                <w:p>
                  <w:pPr>
                    <w:spacing w:line="360" w:lineRule="exact"/>
                    <w:jc w:val="center"/>
                    <w:rPr>
                      <w:szCs w:val="21"/>
                    </w:rPr>
                  </w:pPr>
                  <w:r>
                    <w:rPr>
                      <w:rFonts w:hint="eastAsia"/>
                      <w:szCs w:val="21"/>
                    </w:rPr>
                    <w:t>永津环保公司</w:t>
                  </w:r>
                </w:p>
              </w:tc>
              <w:tc>
                <w:tcPr>
                  <w:tcW w:w="463" w:type="pct"/>
                  <w:vAlign w:val="center"/>
                </w:tcPr>
                <w:p>
                  <w:pPr>
                    <w:spacing w:line="360" w:lineRule="exact"/>
                    <w:jc w:val="center"/>
                    <w:rPr>
                      <w:szCs w:val="21"/>
                    </w:rPr>
                  </w:pPr>
                  <w:r>
                    <w:rPr>
                      <w:szCs w:val="21"/>
                    </w:rPr>
                    <w:t>/</w:t>
                  </w:r>
                </w:p>
              </w:tc>
              <w:tc>
                <w:tcPr>
                  <w:tcW w:w="517" w:type="pct"/>
                  <w:vAlign w:val="center"/>
                </w:tcPr>
                <w:p>
                  <w:pPr>
                    <w:pStyle w:val="64"/>
                    <w:snapToGrid w:val="0"/>
                    <w:rPr>
                      <w:rFonts w:ascii="Times New Roman" w:hAnsi="Times New Roman"/>
                    </w:rPr>
                  </w:pPr>
                  <w:r>
                    <w:rPr>
                      <w:rFonts w:ascii="Times New Roman" w:hAnsi="Times New Roman"/>
                    </w:rPr>
                    <w:t>/</w:t>
                  </w:r>
                </w:p>
              </w:tc>
              <w:tc>
                <w:tcPr>
                  <w:tcW w:w="463" w:type="pct"/>
                  <w:vAlign w:val="center"/>
                </w:tcPr>
                <w:p>
                  <w:pPr>
                    <w:pStyle w:val="64"/>
                    <w:snapToGrid w:val="0"/>
                    <w:rPr>
                      <w:rFonts w:ascii="Times New Roman" w:hAnsi="Times New Roman"/>
                    </w:rPr>
                  </w:pPr>
                  <w:r>
                    <w:rPr>
                      <w:rFonts w:ascii="Times New Roman" w:hAnsi="Times New Roman"/>
                    </w:rPr>
                    <w:t>/</w:t>
                  </w:r>
                </w:p>
              </w:tc>
              <w:tc>
                <w:tcPr>
                  <w:tcW w:w="462" w:type="pct"/>
                  <w:vAlign w:val="center"/>
                </w:tcPr>
                <w:p>
                  <w:pPr>
                    <w:pStyle w:val="64"/>
                    <w:snapToGrid w:val="0"/>
                    <w:rPr>
                      <w:rFonts w:ascii="Times New Roman" w:hAnsi="Times New Roman"/>
                    </w:rPr>
                  </w:pPr>
                  <w:r>
                    <w:rPr>
                      <w:rFonts w:ascii="Times New Roman" w:hAnsi="Times New Roman"/>
                    </w:rPr>
                    <w:t>/</w:t>
                  </w:r>
                </w:p>
              </w:tc>
              <w:tc>
                <w:tcPr>
                  <w:tcW w:w="342" w:type="pct"/>
                  <w:vAlign w:val="center"/>
                </w:tcPr>
                <w:p>
                  <w:pPr>
                    <w:pStyle w:val="64"/>
                    <w:snapToGrid w:val="0"/>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2</w:t>
                  </w:r>
                </w:p>
              </w:tc>
              <w:tc>
                <w:tcPr>
                  <w:tcW w:w="274" w:type="pct"/>
                  <w:vMerge w:val="continue"/>
                  <w:vAlign w:val="center"/>
                </w:tcPr>
                <w:p>
                  <w:pPr>
                    <w:spacing w:line="360" w:lineRule="exact"/>
                    <w:jc w:val="center"/>
                    <w:rPr>
                      <w:b/>
                      <w:bCs/>
                      <w:szCs w:val="21"/>
                    </w:rPr>
                  </w:pPr>
                </w:p>
              </w:tc>
              <w:tc>
                <w:tcPr>
                  <w:tcW w:w="549" w:type="pct"/>
                  <w:vAlign w:val="center"/>
                </w:tcPr>
                <w:p>
                  <w:pPr>
                    <w:spacing w:line="360" w:lineRule="exact"/>
                    <w:jc w:val="center"/>
                    <w:rPr>
                      <w:szCs w:val="21"/>
                    </w:rPr>
                  </w:pPr>
                  <w:r>
                    <w:rPr>
                      <w:szCs w:val="21"/>
                    </w:rPr>
                    <w:t>水泥</w:t>
                  </w:r>
                </w:p>
              </w:tc>
              <w:tc>
                <w:tcPr>
                  <w:tcW w:w="413" w:type="pct"/>
                  <w:vAlign w:val="center"/>
                </w:tcPr>
                <w:p>
                  <w:pPr>
                    <w:spacing w:line="360" w:lineRule="exact"/>
                    <w:jc w:val="center"/>
                    <w:rPr>
                      <w:szCs w:val="21"/>
                    </w:rPr>
                  </w:pPr>
                  <w:r>
                    <w:rPr>
                      <w:szCs w:val="21"/>
                    </w:rPr>
                    <w:t>9230 t</w:t>
                  </w:r>
                </w:p>
              </w:tc>
              <w:tc>
                <w:tcPr>
                  <w:tcW w:w="641" w:type="pct"/>
                  <w:vAlign w:val="center"/>
                </w:tcPr>
                <w:p>
                  <w:pPr>
                    <w:jc w:val="center"/>
                    <w:rPr>
                      <w:szCs w:val="21"/>
                    </w:rPr>
                  </w:pPr>
                  <w:r>
                    <w:rPr>
                      <w:szCs w:val="21"/>
                    </w:rPr>
                    <w:t>粉末状粒径</w:t>
                  </w:r>
                  <w:r>
                    <w:rPr>
                      <w:szCs w:val="21"/>
                      <w:shd w:val="clear" w:color="auto" w:fill="FFFFFF"/>
                    </w:rPr>
                    <w:t>0.04mm</w:t>
                  </w:r>
                </w:p>
              </w:tc>
              <w:tc>
                <w:tcPr>
                  <w:tcW w:w="344" w:type="pct"/>
                  <w:vAlign w:val="center"/>
                </w:tcPr>
                <w:p>
                  <w:pPr>
                    <w:spacing w:line="360" w:lineRule="exact"/>
                    <w:jc w:val="center"/>
                    <w:rPr>
                      <w:szCs w:val="21"/>
                    </w:rPr>
                  </w:pPr>
                  <w:r>
                    <w:rPr>
                      <w:szCs w:val="21"/>
                    </w:rPr>
                    <w:t>粉料仓</w:t>
                  </w:r>
                </w:p>
              </w:tc>
              <w:tc>
                <w:tcPr>
                  <w:tcW w:w="351" w:type="pct"/>
                  <w:vAlign w:val="center"/>
                </w:tcPr>
                <w:p>
                  <w:pPr>
                    <w:spacing w:line="360" w:lineRule="exact"/>
                    <w:jc w:val="center"/>
                    <w:rPr>
                      <w:szCs w:val="21"/>
                    </w:rPr>
                  </w:pPr>
                  <w:r>
                    <w:t>外购</w:t>
                  </w:r>
                </w:p>
              </w:tc>
              <w:tc>
                <w:tcPr>
                  <w:tcW w:w="463" w:type="pct"/>
                  <w:vAlign w:val="center"/>
                </w:tcPr>
                <w:p>
                  <w:pPr>
                    <w:spacing w:line="360" w:lineRule="exact"/>
                    <w:jc w:val="center"/>
                    <w:rPr>
                      <w:szCs w:val="21"/>
                    </w:rPr>
                  </w:pPr>
                  <w:r>
                    <w:rPr>
                      <w:szCs w:val="21"/>
                    </w:rPr>
                    <w:t>/</w:t>
                  </w:r>
                </w:p>
              </w:tc>
              <w:tc>
                <w:tcPr>
                  <w:tcW w:w="517" w:type="pct"/>
                  <w:vAlign w:val="center"/>
                </w:tcPr>
                <w:p>
                  <w:pPr>
                    <w:pStyle w:val="64"/>
                    <w:snapToGrid w:val="0"/>
                    <w:rPr>
                      <w:rFonts w:ascii="Times New Roman" w:hAnsi="Times New Roman"/>
                    </w:rPr>
                  </w:pPr>
                  <w:r>
                    <w:rPr>
                      <w:rFonts w:ascii="Times New Roman" w:hAnsi="Times New Roman"/>
                    </w:rPr>
                    <w:t>/</w:t>
                  </w:r>
                </w:p>
              </w:tc>
              <w:tc>
                <w:tcPr>
                  <w:tcW w:w="463" w:type="pct"/>
                  <w:vAlign w:val="center"/>
                </w:tcPr>
                <w:p>
                  <w:pPr>
                    <w:pStyle w:val="64"/>
                    <w:snapToGrid w:val="0"/>
                    <w:rPr>
                      <w:rFonts w:ascii="Times New Roman" w:hAnsi="Times New Roman"/>
                    </w:rPr>
                  </w:pPr>
                  <w:r>
                    <w:rPr>
                      <w:rFonts w:ascii="Times New Roman" w:hAnsi="Times New Roman"/>
                    </w:rPr>
                    <w:t>/</w:t>
                  </w:r>
                </w:p>
              </w:tc>
              <w:tc>
                <w:tcPr>
                  <w:tcW w:w="462" w:type="pct"/>
                  <w:vAlign w:val="center"/>
                </w:tcPr>
                <w:p>
                  <w:pPr>
                    <w:pStyle w:val="64"/>
                    <w:snapToGrid w:val="0"/>
                    <w:rPr>
                      <w:rFonts w:ascii="Times New Roman" w:hAnsi="Times New Roman"/>
                    </w:rPr>
                  </w:pPr>
                  <w:r>
                    <w:rPr>
                      <w:rFonts w:ascii="Times New Roman" w:hAnsi="Times New Roman"/>
                    </w:rPr>
                    <w:t>/</w:t>
                  </w:r>
                </w:p>
              </w:tc>
              <w:tc>
                <w:tcPr>
                  <w:tcW w:w="342" w:type="pct"/>
                  <w:vAlign w:val="center"/>
                </w:tcPr>
                <w:p>
                  <w:pPr>
                    <w:pStyle w:val="64"/>
                    <w:snapToGrid w:val="0"/>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3</w:t>
                  </w:r>
                </w:p>
              </w:tc>
              <w:tc>
                <w:tcPr>
                  <w:tcW w:w="274" w:type="pct"/>
                  <w:vMerge w:val="restart"/>
                  <w:vAlign w:val="center"/>
                </w:tcPr>
                <w:p>
                  <w:pPr>
                    <w:spacing w:line="360" w:lineRule="exact"/>
                    <w:jc w:val="center"/>
                    <w:rPr>
                      <w:b/>
                      <w:bCs/>
                      <w:szCs w:val="21"/>
                    </w:rPr>
                  </w:pPr>
                  <w:r>
                    <w:rPr>
                      <w:rFonts w:eastAsiaTheme="minorEastAsia"/>
                      <w:b/>
                      <w:bCs/>
                      <w:spacing w:val="-5"/>
                      <w:w w:val="101"/>
                      <w:szCs w:val="21"/>
                    </w:rPr>
                    <w:t>原蒸压砖生产线</w:t>
                  </w:r>
                </w:p>
              </w:tc>
              <w:tc>
                <w:tcPr>
                  <w:tcW w:w="549" w:type="pct"/>
                  <w:vAlign w:val="center"/>
                </w:tcPr>
                <w:p>
                  <w:pPr>
                    <w:spacing w:line="360" w:lineRule="exact"/>
                    <w:jc w:val="center"/>
                    <w:rPr>
                      <w:szCs w:val="21"/>
                    </w:rPr>
                  </w:pPr>
                  <w:r>
                    <w:rPr>
                      <w:szCs w:val="21"/>
                    </w:rPr>
                    <w:t>建筑垃圾</w:t>
                  </w:r>
                </w:p>
              </w:tc>
              <w:tc>
                <w:tcPr>
                  <w:tcW w:w="413" w:type="pct"/>
                  <w:vAlign w:val="center"/>
                </w:tcPr>
                <w:p>
                  <w:pPr>
                    <w:spacing w:line="360" w:lineRule="exact"/>
                    <w:jc w:val="center"/>
                    <w:rPr>
                      <w:szCs w:val="21"/>
                    </w:rPr>
                  </w:pPr>
                  <w:r>
                    <w:rPr>
                      <w:szCs w:val="21"/>
                    </w:rPr>
                    <w:t>13500 t</w:t>
                  </w:r>
                </w:p>
              </w:tc>
              <w:tc>
                <w:tcPr>
                  <w:tcW w:w="641" w:type="pct"/>
                  <w:vAlign w:val="center"/>
                </w:tcPr>
                <w:p>
                  <w:pPr>
                    <w:jc w:val="center"/>
                    <w:rPr>
                      <w:szCs w:val="21"/>
                    </w:rPr>
                  </w:pPr>
                  <w:r>
                    <w:rPr>
                      <w:szCs w:val="21"/>
                    </w:rPr>
                    <w:t>块状固体粒径15~50cm</w:t>
                  </w:r>
                </w:p>
              </w:tc>
              <w:tc>
                <w:tcPr>
                  <w:tcW w:w="344" w:type="pct"/>
                  <w:vAlign w:val="center"/>
                </w:tcPr>
                <w:p>
                  <w:pPr>
                    <w:spacing w:line="360" w:lineRule="exact"/>
                    <w:jc w:val="center"/>
                    <w:rPr>
                      <w:szCs w:val="21"/>
                    </w:rPr>
                  </w:pPr>
                  <w:r>
                    <w:rPr>
                      <w:szCs w:val="21"/>
                    </w:rPr>
                    <w:t>原料场堆存</w:t>
                  </w:r>
                </w:p>
              </w:tc>
              <w:tc>
                <w:tcPr>
                  <w:tcW w:w="351" w:type="pct"/>
                  <w:vAlign w:val="center"/>
                </w:tcPr>
                <w:p>
                  <w:pPr>
                    <w:spacing w:line="360" w:lineRule="exact"/>
                    <w:jc w:val="center"/>
                  </w:pPr>
                  <w:r>
                    <w:t>外购</w:t>
                  </w:r>
                </w:p>
              </w:tc>
              <w:tc>
                <w:tcPr>
                  <w:tcW w:w="463" w:type="pct"/>
                  <w:vAlign w:val="center"/>
                </w:tcPr>
                <w:p>
                  <w:pPr>
                    <w:spacing w:line="360" w:lineRule="exact"/>
                    <w:jc w:val="center"/>
                    <w:rPr>
                      <w:szCs w:val="21"/>
                    </w:rPr>
                  </w:pPr>
                  <w:r>
                    <w:rPr>
                      <w:szCs w:val="21"/>
                    </w:rPr>
                    <w:t>建筑垃圾</w:t>
                  </w:r>
                </w:p>
              </w:tc>
              <w:tc>
                <w:tcPr>
                  <w:tcW w:w="517" w:type="pct"/>
                  <w:vAlign w:val="center"/>
                </w:tcPr>
                <w:p>
                  <w:pPr>
                    <w:pStyle w:val="64"/>
                    <w:snapToGrid w:val="0"/>
                    <w:rPr>
                      <w:rFonts w:ascii="Times New Roman" w:hAnsi="Times New Roman"/>
                    </w:rPr>
                  </w:pPr>
                  <w:r>
                    <w:rPr>
                      <w:rFonts w:ascii="Times New Roman" w:hAnsi="Times New Roman"/>
                    </w:rPr>
                    <w:t>30000 t</w:t>
                  </w:r>
                </w:p>
              </w:tc>
              <w:tc>
                <w:tcPr>
                  <w:tcW w:w="463" w:type="pct"/>
                  <w:vAlign w:val="center"/>
                </w:tcPr>
                <w:p>
                  <w:pPr>
                    <w:pStyle w:val="64"/>
                    <w:snapToGrid w:val="0"/>
                    <w:rPr>
                      <w:rFonts w:ascii="Times New Roman" w:hAnsi="Times New Roman"/>
                    </w:rPr>
                  </w:pPr>
                  <w:r>
                    <w:rPr>
                      <w:rFonts w:ascii="Times New Roman" w:hAnsi="Times New Roman"/>
                    </w:rPr>
                    <w:t>块状固体</w:t>
                  </w:r>
                </w:p>
              </w:tc>
              <w:tc>
                <w:tcPr>
                  <w:tcW w:w="462" w:type="pct"/>
                  <w:vAlign w:val="center"/>
                </w:tcPr>
                <w:p>
                  <w:pPr>
                    <w:pStyle w:val="64"/>
                    <w:snapToGrid w:val="0"/>
                    <w:rPr>
                      <w:rFonts w:ascii="Times New Roman" w:hAnsi="Times New Roman"/>
                    </w:rPr>
                  </w:pPr>
                  <w:r>
                    <w:rPr>
                      <w:rFonts w:ascii="Times New Roman" w:hAnsi="Times New Roman"/>
                    </w:rPr>
                    <w:t>原料场堆存</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4</w:t>
                  </w:r>
                </w:p>
              </w:tc>
              <w:tc>
                <w:tcPr>
                  <w:tcW w:w="274" w:type="pct"/>
                  <w:vMerge w:val="continue"/>
                  <w:vAlign w:val="center"/>
                </w:tcPr>
                <w:p>
                  <w:pPr>
                    <w:spacing w:line="360" w:lineRule="exact"/>
                    <w:jc w:val="center"/>
                    <w:rPr>
                      <w:szCs w:val="21"/>
                    </w:rPr>
                  </w:pPr>
                </w:p>
              </w:tc>
              <w:tc>
                <w:tcPr>
                  <w:tcW w:w="549" w:type="pct"/>
                  <w:vAlign w:val="center"/>
                </w:tcPr>
                <w:p>
                  <w:pPr>
                    <w:spacing w:line="360" w:lineRule="exact"/>
                    <w:jc w:val="center"/>
                    <w:rPr>
                      <w:szCs w:val="21"/>
                    </w:rPr>
                  </w:pPr>
                  <w:r>
                    <w:rPr>
                      <w:szCs w:val="21"/>
                    </w:rPr>
                    <w:t>水泥</w:t>
                  </w:r>
                </w:p>
              </w:tc>
              <w:tc>
                <w:tcPr>
                  <w:tcW w:w="413" w:type="pct"/>
                  <w:vAlign w:val="center"/>
                </w:tcPr>
                <w:p>
                  <w:pPr>
                    <w:spacing w:line="360" w:lineRule="exact"/>
                    <w:jc w:val="center"/>
                    <w:rPr>
                      <w:szCs w:val="21"/>
                    </w:rPr>
                  </w:pPr>
                  <w:r>
                    <w:rPr>
                      <w:szCs w:val="21"/>
                    </w:rPr>
                    <w:t>4500 t</w:t>
                  </w:r>
                </w:p>
              </w:tc>
              <w:tc>
                <w:tcPr>
                  <w:tcW w:w="641" w:type="pct"/>
                  <w:vAlign w:val="center"/>
                </w:tcPr>
                <w:p>
                  <w:pPr>
                    <w:jc w:val="center"/>
                    <w:rPr>
                      <w:szCs w:val="21"/>
                    </w:rPr>
                  </w:pPr>
                  <w:r>
                    <w:rPr>
                      <w:szCs w:val="21"/>
                    </w:rPr>
                    <w:t>粉末状粒径</w:t>
                  </w:r>
                  <w:r>
                    <w:rPr>
                      <w:szCs w:val="21"/>
                      <w:shd w:val="clear" w:color="auto" w:fill="FFFFFF"/>
                    </w:rPr>
                    <w:t>0.04mm</w:t>
                  </w:r>
                </w:p>
              </w:tc>
              <w:tc>
                <w:tcPr>
                  <w:tcW w:w="344" w:type="pct"/>
                  <w:vAlign w:val="center"/>
                </w:tcPr>
                <w:p>
                  <w:pPr>
                    <w:spacing w:line="360" w:lineRule="exact"/>
                    <w:jc w:val="center"/>
                    <w:rPr>
                      <w:szCs w:val="21"/>
                    </w:rPr>
                  </w:pPr>
                  <w:r>
                    <w:rPr>
                      <w:szCs w:val="21"/>
                    </w:rPr>
                    <w:t>水泥筒仓</w:t>
                  </w:r>
                </w:p>
              </w:tc>
              <w:tc>
                <w:tcPr>
                  <w:tcW w:w="351" w:type="pct"/>
                  <w:vAlign w:val="center"/>
                </w:tcPr>
                <w:p>
                  <w:pPr>
                    <w:spacing w:line="360" w:lineRule="exact"/>
                    <w:jc w:val="center"/>
                  </w:pPr>
                  <w:r>
                    <w:t>外购</w:t>
                  </w:r>
                </w:p>
              </w:tc>
              <w:tc>
                <w:tcPr>
                  <w:tcW w:w="463" w:type="pct"/>
                  <w:vAlign w:val="center"/>
                </w:tcPr>
                <w:p>
                  <w:pPr>
                    <w:spacing w:line="360" w:lineRule="exact"/>
                    <w:jc w:val="center"/>
                    <w:rPr>
                      <w:szCs w:val="21"/>
                    </w:rPr>
                  </w:pPr>
                  <w:r>
                    <w:rPr>
                      <w:szCs w:val="21"/>
                    </w:rPr>
                    <w:t>水泥</w:t>
                  </w:r>
                </w:p>
              </w:tc>
              <w:tc>
                <w:tcPr>
                  <w:tcW w:w="517" w:type="pct"/>
                  <w:vAlign w:val="center"/>
                </w:tcPr>
                <w:p>
                  <w:pPr>
                    <w:pStyle w:val="64"/>
                    <w:snapToGrid w:val="0"/>
                    <w:rPr>
                      <w:rFonts w:ascii="Times New Roman" w:hAnsi="Times New Roman"/>
                    </w:rPr>
                  </w:pPr>
                  <w:r>
                    <w:rPr>
                      <w:rFonts w:ascii="Times New Roman" w:hAnsi="Times New Roman"/>
                    </w:rPr>
                    <w:t>10000 t</w:t>
                  </w:r>
                </w:p>
              </w:tc>
              <w:tc>
                <w:tcPr>
                  <w:tcW w:w="463" w:type="pct"/>
                  <w:vAlign w:val="center"/>
                </w:tcPr>
                <w:p>
                  <w:pPr>
                    <w:pStyle w:val="64"/>
                    <w:snapToGrid w:val="0"/>
                    <w:rPr>
                      <w:rFonts w:ascii="Times New Roman" w:hAnsi="Times New Roman"/>
                    </w:rPr>
                  </w:pPr>
                  <w:r>
                    <w:rPr>
                      <w:rFonts w:ascii="Times New Roman" w:hAnsi="Times New Roman"/>
                    </w:rPr>
                    <w:t>粉末状</w:t>
                  </w:r>
                </w:p>
              </w:tc>
              <w:tc>
                <w:tcPr>
                  <w:tcW w:w="462" w:type="pct"/>
                  <w:vAlign w:val="center"/>
                </w:tcPr>
                <w:p>
                  <w:pPr>
                    <w:pStyle w:val="64"/>
                    <w:snapToGrid w:val="0"/>
                    <w:rPr>
                      <w:rFonts w:ascii="Times New Roman" w:hAnsi="Times New Roman"/>
                    </w:rPr>
                  </w:pPr>
                  <w:r>
                    <w:rPr>
                      <w:rFonts w:ascii="Times New Roman" w:hAnsi="Times New Roman"/>
                    </w:rPr>
                    <w:t>水泥筒仓</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5</w:t>
                  </w:r>
                </w:p>
              </w:tc>
              <w:tc>
                <w:tcPr>
                  <w:tcW w:w="274" w:type="pct"/>
                  <w:vMerge w:val="continue"/>
                  <w:vAlign w:val="center"/>
                </w:tcPr>
                <w:p>
                  <w:pPr>
                    <w:spacing w:line="360" w:lineRule="exact"/>
                    <w:jc w:val="center"/>
                    <w:rPr>
                      <w:szCs w:val="21"/>
                    </w:rPr>
                  </w:pPr>
                </w:p>
              </w:tc>
              <w:tc>
                <w:tcPr>
                  <w:tcW w:w="549" w:type="pct"/>
                  <w:vAlign w:val="center"/>
                </w:tcPr>
                <w:p>
                  <w:pPr>
                    <w:spacing w:line="360" w:lineRule="exact"/>
                    <w:jc w:val="center"/>
                    <w:rPr>
                      <w:szCs w:val="21"/>
                    </w:rPr>
                  </w:pPr>
                  <w:r>
                    <w:rPr>
                      <w:szCs w:val="21"/>
                    </w:rPr>
                    <w:t>粉煤灰</w:t>
                  </w:r>
                </w:p>
              </w:tc>
              <w:tc>
                <w:tcPr>
                  <w:tcW w:w="413" w:type="pct"/>
                  <w:vAlign w:val="center"/>
                </w:tcPr>
                <w:p>
                  <w:pPr>
                    <w:spacing w:line="360" w:lineRule="exact"/>
                    <w:jc w:val="center"/>
                    <w:rPr>
                      <w:szCs w:val="21"/>
                    </w:rPr>
                  </w:pPr>
                  <w:r>
                    <w:rPr>
                      <w:szCs w:val="21"/>
                    </w:rPr>
                    <w:t>2250 t</w:t>
                  </w:r>
                </w:p>
              </w:tc>
              <w:tc>
                <w:tcPr>
                  <w:tcW w:w="641" w:type="pct"/>
                  <w:vAlign w:val="center"/>
                </w:tcPr>
                <w:p>
                  <w:pPr>
                    <w:jc w:val="center"/>
                    <w:rPr>
                      <w:szCs w:val="21"/>
                    </w:rPr>
                  </w:pPr>
                  <w:r>
                    <w:rPr>
                      <w:szCs w:val="21"/>
                    </w:rPr>
                    <w:t>粉末状粒径</w:t>
                  </w:r>
                  <w:r>
                    <w:rPr>
                      <w:szCs w:val="21"/>
                      <w:shd w:val="clear" w:color="auto" w:fill="FFFFFF"/>
                    </w:rPr>
                    <w:t>0.05mm</w:t>
                  </w:r>
                </w:p>
              </w:tc>
              <w:tc>
                <w:tcPr>
                  <w:tcW w:w="344" w:type="pct"/>
                  <w:vAlign w:val="center"/>
                </w:tcPr>
                <w:p>
                  <w:pPr>
                    <w:spacing w:line="360" w:lineRule="exact"/>
                    <w:jc w:val="center"/>
                    <w:rPr>
                      <w:szCs w:val="21"/>
                    </w:rPr>
                  </w:pPr>
                  <w:r>
                    <w:rPr>
                      <w:szCs w:val="21"/>
                    </w:rPr>
                    <w:t>粉料仓</w:t>
                  </w:r>
                </w:p>
              </w:tc>
              <w:tc>
                <w:tcPr>
                  <w:tcW w:w="351" w:type="pct"/>
                  <w:vAlign w:val="center"/>
                </w:tcPr>
                <w:p>
                  <w:pPr>
                    <w:spacing w:line="360" w:lineRule="exact"/>
                    <w:jc w:val="center"/>
                    <w:rPr>
                      <w:szCs w:val="21"/>
                    </w:rPr>
                  </w:pPr>
                  <w:r>
                    <w:t>外购</w:t>
                  </w:r>
                </w:p>
              </w:tc>
              <w:tc>
                <w:tcPr>
                  <w:tcW w:w="463" w:type="pct"/>
                  <w:vAlign w:val="center"/>
                </w:tcPr>
                <w:p>
                  <w:pPr>
                    <w:spacing w:line="360" w:lineRule="exact"/>
                    <w:jc w:val="center"/>
                    <w:rPr>
                      <w:szCs w:val="21"/>
                    </w:rPr>
                  </w:pPr>
                  <w:r>
                    <w:rPr>
                      <w:szCs w:val="21"/>
                    </w:rPr>
                    <w:t>粉煤灰</w:t>
                  </w:r>
                </w:p>
              </w:tc>
              <w:tc>
                <w:tcPr>
                  <w:tcW w:w="517" w:type="pct"/>
                  <w:vAlign w:val="center"/>
                </w:tcPr>
                <w:p>
                  <w:pPr>
                    <w:pStyle w:val="64"/>
                    <w:snapToGrid w:val="0"/>
                    <w:rPr>
                      <w:rFonts w:ascii="Times New Roman" w:hAnsi="Times New Roman"/>
                    </w:rPr>
                  </w:pPr>
                  <w:r>
                    <w:rPr>
                      <w:rFonts w:ascii="Times New Roman" w:hAnsi="Times New Roman"/>
                    </w:rPr>
                    <w:t>5000 t</w:t>
                  </w:r>
                </w:p>
              </w:tc>
              <w:tc>
                <w:tcPr>
                  <w:tcW w:w="463" w:type="pct"/>
                  <w:vAlign w:val="center"/>
                </w:tcPr>
                <w:p>
                  <w:pPr>
                    <w:pStyle w:val="64"/>
                    <w:snapToGrid w:val="0"/>
                    <w:rPr>
                      <w:rFonts w:ascii="Times New Roman" w:hAnsi="Times New Roman"/>
                    </w:rPr>
                  </w:pPr>
                  <w:r>
                    <w:rPr>
                      <w:rFonts w:ascii="Times New Roman" w:hAnsi="Times New Roman"/>
                    </w:rPr>
                    <w:t>粉末状</w:t>
                  </w:r>
                </w:p>
              </w:tc>
              <w:tc>
                <w:tcPr>
                  <w:tcW w:w="462" w:type="pct"/>
                  <w:vAlign w:val="center"/>
                </w:tcPr>
                <w:p>
                  <w:pPr>
                    <w:pStyle w:val="64"/>
                    <w:snapToGrid w:val="0"/>
                    <w:rPr>
                      <w:rFonts w:ascii="Times New Roman" w:hAnsi="Times New Roman"/>
                    </w:rPr>
                  </w:pPr>
                  <w:r>
                    <w:rPr>
                      <w:rFonts w:ascii="Times New Roman" w:hAnsi="Times New Roman"/>
                    </w:rPr>
                    <w:t>粉状</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6</w:t>
                  </w:r>
                </w:p>
              </w:tc>
              <w:tc>
                <w:tcPr>
                  <w:tcW w:w="274" w:type="pct"/>
                  <w:vMerge w:val="continue"/>
                  <w:vAlign w:val="center"/>
                </w:tcPr>
                <w:p>
                  <w:pPr>
                    <w:spacing w:line="360" w:lineRule="exact"/>
                    <w:jc w:val="center"/>
                    <w:rPr>
                      <w:szCs w:val="21"/>
                    </w:rPr>
                  </w:pPr>
                </w:p>
              </w:tc>
              <w:tc>
                <w:tcPr>
                  <w:tcW w:w="549" w:type="pct"/>
                  <w:vAlign w:val="center"/>
                </w:tcPr>
                <w:p>
                  <w:pPr>
                    <w:spacing w:line="360" w:lineRule="exact"/>
                    <w:jc w:val="center"/>
                    <w:rPr>
                      <w:szCs w:val="21"/>
                    </w:rPr>
                  </w:pPr>
                  <w:r>
                    <w:rPr>
                      <w:szCs w:val="21"/>
                    </w:rPr>
                    <w:t>石灰粉</w:t>
                  </w:r>
                </w:p>
              </w:tc>
              <w:tc>
                <w:tcPr>
                  <w:tcW w:w="413" w:type="pct"/>
                  <w:vAlign w:val="center"/>
                </w:tcPr>
                <w:p>
                  <w:pPr>
                    <w:spacing w:line="360" w:lineRule="exact"/>
                    <w:jc w:val="center"/>
                    <w:rPr>
                      <w:szCs w:val="21"/>
                    </w:rPr>
                  </w:pPr>
                  <w:r>
                    <w:rPr>
                      <w:szCs w:val="21"/>
                    </w:rPr>
                    <w:t>2250 t</w:t>
                  </w:r>
                </w:p>
              </w:tc>
              <w:tc>
                <w:tcPr>
                  <w:tcW w:w="641" w:type="pct"/>
                  <w:vAlign w:val="center"/>
                </w:tcPr>
                <w:p>
                  <w:pPr>
                    <w:jc w:val="center"/>
                    <w:rPr>
                      <w:szCs w:val="21"/>
                    </w:rPr>
                  </w:pPr>
                  <w:r>
                    <w:rPr>
                      <w:szCs w:val="21"/>
                    </w:rPr>
                    <w:t>粉末状粒径</w:t>
                  </w:r>
                  <w:r>
                    <w:rPr>
                      <w:szCs w:val="21"/>
                      <w:shd w:val="clear" w:color="auto" w:fill="FFFFFF"/>
                    </w:rPr>
                    <w:t>0.1mm</w:t>
                  </w:r>
                </w:p>
              </w:tc>
              <w:tc>
                <w:tcPr>
                  <w:tcW w:w="344" w:type="pct"/>
                  <w:vAlign w:val="center"/>
                </w:tcPr>
                <w:p>
                  <w:pPr>
                    <w:spacing w:line="360" w:lineRule="exact"/>
                    <w:jc w:val="center"/>
                    <w:rPr>
                      <w:szCs w:val="21"/>
                    </w:rPr>
                  </w:pPr>
                  <w:r>
                    <w:rPr>
                      <w:szCs w:val="21"/>
                    </w:rPr>
                    <w:t>白灰仓</w:t>
                  </w:r>
                </w:p>
              </w:tc>
              <w:tc>
                <w:tcPr>
                  <w:tcW w:w="351" w:type="pct"/>
                  <w:vAlign w:val="center"/>
                </w:tcPr>
                <w:p>
                  <w:pPr>
                    <w:spacing w:line="360" w:lineRule="exact"/>
                    <w:jc w:val="center"/>
                    <w:rPr>
                      <w:szCs w:val="21"/>
                    </w:rPr>
                  </w:pPr>
                  <w:r>
                    <w:t>外购</w:t>
                  </w:r>
                </w:p>
              </w:tc>
              <w:tc>
                <w:tcPr>
                  <w:tcW w:w="463" w:type="pct"/>
                  <w:vAlign w:val="center"/>
                </w:tcPr>
                <w:p>
                  <w:pPr>
                    <w:spacing w:line="360" w:lineRule="exact"/>
                    <w:jc w:val="center"/>
                    <w:rPr>
                      <w:szCs w:val="21"/>
                    </w:rPr>
                  </w:pPr>
                  <w:r>
                    <w:rPr>
                      <w:szCs w:val="21"/>
                    </w:rPr>
                    <w:t>石灰块</w:t>
                  </w:r>
                </w:p>
              </w:tc>
              <w:tc>
                <w:tcPr>
                  <w:tcW w:w="517" w:type="pct"/>
                  <w:vAlign w:val="center"/>
                </w:tcPr>
                <w:p>
                  <w:pPr>
                    <w:pStyle w:val="64"/>
                    <w:snapToGrid w:val="0"/>
                    <w:rPr>
                      <w:rFonts w:ascii="Times New Roman" w:hAnsi="Times New Roman"/>
                    </w:rPr>
                  </w:pPr>
                  <w:r>
                    <w:rPr>
                      <w:rFonts w:ascii="Times New Roman" w:hAnsi="Times New Roman"/>
                    </w:rPr>
                    <w:t>5000 t</w:t>
                  </w:r>
                </w:p>
              </w:tc>
              <w:tc>
                <w:tcPr>
                  <w:tcW w:w="463" w:type="pct"/>
                  <w:vAlign w:val="center"/>
                </w:tcPr>
                <w:p>
                  <w:pPr>
                    <w:pStyle w:val="64"/>
                    <w:snapToGrid w:val="0"/>
                    <w:rPr>
                      <w:rFonts w:ascii="Times New Roman" w:hAnsi="Times New Roman"/>
                    </w:rPr>
                  </w:pPr>
                  <w:r>
                    <w:rPr>
                      <w:rFonts w:ascii="Times New Roman" w:hAnsi="Times New Roman"/>
                    </w:rPr>
                    <w:t>块状</w:t>
                  </w:r>
                </w:p>
              </w:tc>
              <w:tc>
                <w:tcPr>
                  <w:tcW w:w="462" w:type="pct"/>
                  <w:vAlign w:val="center"/>
                </w:tcPr>
                <w:p>
                  <w:pPr>
                    <w:pStyle w:val="64"/>
                    <w:snapToGrid w:val="0"/>
                    <w:rPr>
                      <w:rFonts w:ascii="Times New Roman" w:hAnsi="Times New Roman"/>
                    </w:rPr>
                  </w:pPr>
                  <w:r>
                    <w:rPr>
                      <w:rFonts w:ascii="Times New Roman" w:hAnsi="Times New Roman"/>
                    </w:rPr>
                    <w:t>粉碎后储存与白灰仓</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7</w:t>
                  </w:r>
                </w:p>
              </w:tc>
              <w:tc>
                <w:tcPr>
                  <w:tcW w:w="274" w:type="pct"/>
                  <w:vMerge w:val="continue"/>
                  <w:vAlign w:val="center"/>
                </w:tcPr>
                <w:p>
                  <w:pPr>
                    <w:spacing w:line="360" w:lineRule="exact"/>
                    <w:jc w:val="center"/>
                    <w:rPr>
                      <w:szCs w:val="21"/>
                    </w:rPr>
                  </w:pPr>
                </w:p>
              </w:tc>
              <w:tc>
                <w:tcPr>
                  <w:tcW w:w="549" w:type="pct"/>
                  <w:vAlign w:val="center"/>
                </w:tcPr>
                <w:p>
                  <w:pPr>
                    <w:spacing w:line="360" w:lineRule="exact"/>
                    <w:jc w:val="center"/>
                    <w:rPr>
                      <w:szCs w:val="21"/>
                    </w:rPr>
                  </w:pPr>
                  <w:r>
                    <w:rPr>
                      <w:szCs w:val="21"/>
                    </w:rPr>
                    <w:t>碎石</w:t>
                  </w:r>
                </w:p>
              </w:tc>
              <w:tc>
                <w:tcPr>
                  <w:tcW w:w="413" w:type="pct"/>
                  <w:vAlign w:val="center"/>
                </w:tcPr>
                <w:p>
                  <w:pPr>
                    <w:spacing w:line="360" w:lineRule="exact"/>
                    <w:jc w:val="center"/>
                    <w:rPr>
                      <w:szCs w:val="21"/>
                    </w:rPr>
                  </w:pPr>
                  <w:r>
                    <w:rPr>
                      <w:szCs w:val="21"/>
                    </w:rPr>
                    <w:t>4500 t</w:t>
                  </w:r>
                </w:p>
              </w:tc>
              <w:tc>
                <w:tcPr>
                  <w:tcW w:w="641" w:type="pct"/>
                  <w:vAlign w:val="center"/>
                </w:tcPr>
                <w:p>
                  <w:pPr>
                    <w:jc w:val="center"/>
                    <w:rPr>
                      <w:szCs w:val="21"/>
                    </w:rPr>
                  </w:pPr>
                  <w:r>
                    <w:rPr>
                      <w:szCs w:val="21"/>
                    </w:rPr>
                    <w:t>块状粒径3-8cm</w:t>
                  </w:r>
                </w:p>
              </w:tc>
              <w:tc>
                <w:tcPr>
                  <w:tcW w:w="344" w:type="pct"/>
                  <w:vAlign w:val="center"/>
                </w:tcPr>
                <w:p>
                  <w:pPr>
                    <w:spacing w:line="360" w:lineRule="exact"/>
                    <w:jc w:val="center"/>
                    <w:rPr>
                      <w:szCs w:val="21"/>
                    </w:rPr>
                  </w:pPr>
                  <w:r>
                    <w:rPr>
                      <w:szCs w:val="21"/>
                    </w:rPr>
                    <w:t>原料场堆存</w:t>
                  </w:r>
                </w:p>
              </w:tc>
              <w:tc>
                <w:tcPr>
                  <w:tcW w:w="351" w:type="pct"/>
                  <w:vAlign w:val="center"/>
                </w:tcPr>
                <w:p>
                  <w:pPr>
                    <w:spacing w:line="360" w:lineRule="exact"/>
                    <w:jc w:val="center"/>
                    <w:rPr>
                      <w:szCs w:val="21"/>
                    </w:rPr>
                  </w:pPr>
                  <w:r>
                    <w:t>外购</w:t>
                  </w:r>
                </w:p>
              </w:tc>
              <w:tc>
                <w:tcPr>
                  <w:tcW w:w="463" w:type="pct"/>
                  <w:vAlign w:val="center"/>
                </w:tcPr>
                <w:p>
                  <w:pPr>
                    <w:spacing w:line="360" w:lineRule="exact"/>
                    <w:jc w:val="center"/>
                    <w:rPr>
                      <w:szCs w:val="21"/>
                    </w:rPr>
                  </w:pPr>
                  <w:r>
                    <w:rPr>
                      <w:szCs w:val="21"/>
                    </w:rPr>
                    <w:t>碎石</w:t>
                  </w:r>
                </w:p>
              </w:tc>
              <w:tc>
                <w:tcPr>
                  <w:tcW w:w="517" w:type="pct"/>
                  <w:vAlign w:val="center"/>
                </w:tcPr>
                <w:p>
                  <w:pPr>
                    <w:pStyle w:val="64"/>
                    <w:snapToGrid w:val="0"/>
                    <w:rPr>
                      <w:rFonts w:ascii="Times New Roman" w:hAnsi="Times New Roman"/>
                    </w:rPr>
                  </w:pPr>
                  <w:r>
                    <w:rPr>
                      <w:rFonts w:ascii="Times New Roman" w:hAnsi="Times New Roman"/>
                    </w:rPr>
                    <w:t>10000 t</w:t>
                  </w:r>
                </w:p>
              </w:tc>
              <w:tc>
                <w:tcPr>
                  <w:tcW w:w="463" w:type="pct"/>
                  <w:vAlign w:val="center"/>
                </w:tcPr>
                <w:p>
                  <w:pPr>
                    <w:pStyle w:val="64"/>
                    <w:snapToGrid w:val="0"/>
                    <w:rPr>
                      <w:rFonts w:ascii="Times New Roman" w:hAnsi="Times New Roman"/>
                    </w:rPr>
                  </w:pPr>
                  <w:r>
                    <w:rPr>
                      <w:rFonts w:ascii="Times New Roman" w:hAnsi="Times New Roman"/>
                    </w:rPr>
                    <w:t>块状</w:t>
                  </w:r>
                </w:p>
              </w:tc>
              <w:tc>
                <w:tcPr>
                  <w:tcW w:w="462" w:type="pct"/>
                  <w:vAlign w:val="center"/>
                </w:tcPr>
                <w:p>
                  <w:pPr>
                    <w:pStyle w:val="64"/>
                    <w:snapToGrid w:val="0"/>
                    <w:rPr>
                      <w:rFonts w:ascii="Times New Roman" w:hAnsi="Times New Roman"/>
                    </w:rPr>
                  </w:pPr>
                  <w:r>
                    <w:rPr>
                      <w:rFonts w:ascii="Times New Roman" w:hAnsi="Times New Roman"/>
                    </w:rPr>
                    <w:t>原料场堆存</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8</w:t>
                  </w:r>
                </w:p>
              </w:tc>
              <w:tc>
                <w:tcPr>
                  <w:tcW w:w="274" w:type="pct"/>
                  <w:vMerge w:val="continue"/>
                  <w:vAlign w:val="center"/>
                </w:tcPr>
                <w:p>
                  <w:pPr>
                    <w:spacing w:line="360" w:lineRule="exact"/>
                    <w:jc w:val="center"/>
                    <w:rPr>
                      <w:szCs w:val="21"/>
                    </w:rPr>
                  </w:pPr>
                </w:p>
              </w:tc>
              <w:tc>
                <w:tcPr>
                  <w:tcW w:w="549" w:type="pct"/>
                  <w:vAlign w:val="center"/>
                </w:tcPr>
                <w:p>
                  <w:pPr>
                    <w:spacing w:line="360" w:lineRule="exact"/>
                    <w:jc w:val="center"/>
                    <w:rPr>
                      <w:szCs w:val="21"/>
                    </w:rPr>
                  </w:pPr>
                  <w:r>
                    <w:rPr>
                      <w:szCs w:val="21"/>
                    </w:rPr>
                    <w:t>脱模剂</w:t>
                  </w:r>
                </w:p>
              </w:tc>
              <w:tc>
                <w:tcPr>
                  <w:tcW w:w="413" w:type="pct"/>
                  <w:vAlign w:val="center"/>
                </w:tcPr>
                <w:p>
                  <w:pPr>
                    <w:spacing w:line="360" w:lineRule="exact"/>
                    <w:jc w:val="center"/>
                    <w:rPr>
                      <w:szCs w:val="21"/>
                    </w:rPr>
                  </w:pPr>
                  <w:r>
                    <w:t>4.5 t</w:t>
                  </w:r>
                </w:p>
              </w:tc>
              <w:tc>
                <w:tcPr>
                  <w:tcW w:w="641" w:type="pct"/>
                  <w:vAlign w:val="center"/>
                </w:tcPr>
                <w:p>
                  <w:pPr>
                    <w:spacing w:line="360" w:lineRule="exact"/>
                    <w:jc w:val="center"/>
                    <w:rPr>
                      <w:szCs w:val="21"/>
                    </w:rPr>
                  </w:pPr>
                  <w:r>
                    <w:t>液体</w:t>
                  </w:r>
                </w:p>
              </w:tc>
              <w:tc>
                <w:tcPr>
                  <w:tcW w:w="344" w:type="pct"/>
                  <w:vAlign w:val="center"/>
                </w:tcPr>
                <w:p>
                  <w:pPr>
                    <w:spacing w:line="360" w:lineRule="exact"/>
                    <w:jc w:val="center"/>
                    <w:rPr>
                      <w:szCs w:val="21"/>
                    </w:rPr>
                  </w:pPr>
                  <w:r>
                    <w:t>桶装</w:t>
                  </w:r>
                </w:p>
              </w:tc>
              <w:tc>
                <w:tcPr>
                  <w:tcW w:w="351" w:type="pct"/>
                  <w:vAlign w:val="center"/>
                </w:tcPr>
                <w:p>
                  <w:pPr>
                    <w:spacing w:line="360" w:lineRule="exact"/>
                    <w:jc w:val="center"/>
                    <w:rPr>
                      <w:szCs w:val="21"/>
                    </w:rPr>
                  </w:pPr>
                  <w:r>
                    <w:t>外购</w:t>
                  </w:r>
                </w:p>
              </w:tc>
              <w:tc>
                <w:tcPr>
                  <w:tcW w:w="463" w:type="pct"/>
                  <w:vAlign w:val="center"/>
                </w:tcPr>
                <w:p>
                  <w:pPr>
                    <w:spacing w:line="360" w:lineRule="exact"/>
                    <w:jc w:val="center"/>
                    <w:rPr>
                      <w:szCs w:val="21"/>
                    </w:rPr>
                  </w:pPr>
                  <w:r>
                    <w:rPr>
                      <w:szCs w:val="21"/>
                    </w:rPr>
                    <w:t>脱模剂</w:t>
                  </w:r>
                </w:p>
              </w:tc>
              <w:tc>
                <w:tcPr>
                  <w:tcW w:w="517" w:type="pct"/>
                  <w:vAlign w:val="center"/>
                </w:tcPr>
                <w:p>
                  <w:pPr>
                    <w:pStyle w:val="64"/>
                    <w:snapToGrid w:val="0"/>
                    <w:rPr>
                      <w:rFonts w:ascii="Times New Roman" w:hAnsi="Times New Roman"/>
                    </w:rPr>
                  </w:pPr>
                  <w:r>
                    <w:rPr>
                      <w:rFonts w:ascii="Times New Roman" w:hAnsi="Times New Roman"/>
                    </w:rPr>
                    <w:t>10 t</w:t>
                  </w:r>
                </w:p>
              </w:tc>
              <w:tc>
                <w:tcPr>
                  <w:tcW w:w="463" w:type="pct"/>
                  <w:vAlign w:val="center"/>
                </w:tcPr>
                <w:p>
                  <w:pPr>
                    <w:pStyle w:val="64"/>
                    <w:snapToGrid w:val="0"/>
                    <w:rPr>
                      <w:rFonts w:ascii="Times New Roman" w:hAnsi="Times New Roman"/>
                    </w:rPr>
                  </w:pPr>
                  <w:r>
                    <w:rPr>
                      <w:rFonts w:ascii="Times New Roman" w:hAnsi="Times New Roman"/>
                    </w:rPr>
                    <w:t>液体</w:t>
                  </w:r>
                </w:p>
              </w:tc>
              <w:tc>
                <w:tcPr>
                  <w:tcW w:w="462" w:type="pct"/>
                  <w:vAlign w:val="center"/>
                </w:tcPr>
                <w:p>
                  <w:pPr>
                    <w:pStyle w:val="64"/>
                    <w:snapToGrid w:val="0"/>
                    <w:rPr>
                      <w:rFonts w:ascii="Times New Roman" w:hAnsi="Times New Roman"/>
                    </w:rPr>
                  </w:pPr>
                  <w:r>
                    <w:rPr>
                      <w:rFonts w:ascii="Times New Roman" w:hAnsi="Times New Roman"/>
                    </w:rPr>
                    <w:t>桶装</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9</w:t>
                  </w:r>
                </w:p>
              </w:tc>
              <w:tc>
                <w:tcPr>
                  <w:tcW w:w="274" w:type="pct"/>
                  <w:vAlign w:val="center"/>
                </w:tcPr>
                <w:p>
                  <w:pPr>
                    <w:pStyle w:val="64"/>
                    <w:snapToGrid w:val="0"/>
                    <w:rPr>
                      <w:rFonts w:ascii="Times New Roman" w:hAnsi="Times New Roman"/>
                    </w:rPr>
                  </w:pPr>
                  <w:r>
                    <w:rPr>
                      <w:rFonts w:ascii="Times New Roman" w:hAnsi="Times New Roman"/>
                    </w:rPr>
                    <w:t>水</w:t>
                  </w:r>
                </w:p>
              </w:tc>
              <w:tc>
                <w:tcPr>
                  <w:tcW w:w="549" w:type="pct"/>
                  <w:vAlign w:val="center"/>
                </w:tcPr>
                <w:p>
                  <w:pPr>
                    <w:pStyle w:val="64"/>
                    <w:snapToGrid w:val="0"/>
                    <w:rPr>
                      <w:rFonts w:ascii="Times New Roman" w:hAnsi="Times New Roman"/>
                    </w:rPr>
                  </w:pPr>
                  <w:r>
                    <w:rPr>
                      <w:rFonts w:ascii="Times New Roman" w:hAnsi="Times New Roman"/>
                    </w:rPr>
                    <w:t>21781.89  m</w:t>
                  </w:r>
                  <w:r>
                    <w:rPr>
                      <w:rFonts w:ascii="Times New Roman" w:hAnsi="Times New Roman"/>
                      <w:vertAlign w:val="superscript"/>
                    </w:rPr>
                    <w:t>3</w:t>
                  </w:r>
                </w:p>
              </w:tc>
              <w:tc>
                <w:tcPr>
                  <w:tcW w:w="413" w:type="pct"/>
                  <w:vAlign w:val="center"/>
                </w:tcPr>
                <w:p>
                  <w:pPr>
                    <w:pStyle w:val="64"/>
                    <w:snapToGrid w:val="0"/>
                    <w:rPr>
                      <w:rFonts w:ascii="Times New Roman" w:hAnsi="Times New Roman"/>
                    </w:rPr>
                  </w:pPr>
                </w:p>
              </w:tc>
              <w:tc>
                <w:tcPr>
                  <w:tcW w:w="641" w:type="pct"/>
                  <w:vAlign w:val="center"/>
                </w:tcPr>
                <w:p>
                  <w:pPr>
                    <w:pStyle w:val="64"/>
                    <w:snapToGrid w:val="0"/>
                    <w:rPr>
                      <w:rFonts w:ascii="Times New Roman" w:hAnsi="Times New Roman"/>
                    </w:rPr>
                  </w:pPr>
                  <w:r>
                    <w:rPr>
                      <w:rFonts w:ascii="Times New Roman" w:hAnsi="Times New Roman"/>
                    </w:rPr>
                    <w:t>/</w:t>
                  </w:r>
                </w:p>
              </w:tc>
              <w:tc>
                <w:tcPr>
                  <w:tcW w:w="344" w:type="pct"/>
                  <w:vAlign w:val="center"/>
                </w:tcPr>
                <w:p>
                  <w:pPr>
                    <w:pStyle w:val="64"/>
                    <w:snapToGrid w:val="0"/>
                    <w:rPr>
                      <w:rFonts w:ascii="Times New Roman" w:hAnsi="Times New Roman"/>
                    </w:rPr>
                  </w:pPr>
                  <w:r>
                    <w:rPr>
                      <w:rFonts w:ascii="Times New Roman" w:hAnsi="Times New Roman"/>
                    </w:rPr>
                    <w:t>/</w:t>
                  </w:r>
                </w:p>
              </w:tc>
              <w:tc>
                <w:tcPr>
                  <w:tcW w:w="351" w:type="pct"/>
                  <w:vAlign w:val="center"/>
                </w:tcPr>
                <w:p>
                  <w:pPr>
                    <w:pStyle w:val="64"/>
                    <w:snapToGrid w:val="0"/>
                    <w:rPr>
                      <w:rFonts w:ascii="Times New Roman" w:hAnsi="Times New Roman"/>
                    </w:rPr>
                  </w:pPr>
                  <w:r>
                    <w:rPr>
                      <w:rFonts w:ascii="Times New Roman" w:hAnsi="Times New Roman"/>
                    </w:rPr>
                    <w:t>外购</w:t>
                  </w:r>
                </w:p>
              </w:tc>
              <w:tc>
                <w:tcPr>
                  <w:tcW w:w="463" w:type="pct"/>
                  <w:vAlign w:val="center"/>
                </w:tcPr>
                <w:p>
                  <w:pPr>
                    <w:pStyle w:val="64"/>
                    <w:snapToGrid w:val="0"/>
                    <w:rPr>
                      <w:rFonts w:ascii="Times New Roman" w:hAnsi="Times New Roman"/>
                    </w:rPr>
                  </w:pPr>
                  <w:r>
                    <w:rPr>
                      <w:rFonts w:ascii="Times New Roman" w:hAnsi="Times New Roman"/>
                    </w:rPr>
                    <w:t>水</w:t>
                  </w:r>
                </w:p>
              </w:tc>
              <w:tc>
                <w:tcPr>
                  <w:tcW w:w="517" w:type="pct"/>
                  <w:vAlign w:val="center"/>
                </w:tcPr>
                <w:p>
                  <w:pPr>
                    <w:pStyle w:val="64"/>
                    <w:snapToGrid w:val="0"/>
                    <w:rPr>
                      <w:rFonts w:ascii="Times New Roman" w:hAnsi="Times New Roman"/>
                    </w:rPr>
                  </w:pPr>
                  <w:r>
                    <w:rPr>
                      <w:rFonts w:ascii="Times New Roman" w:hAnsi="Times New Roman"/>
                    </w:rPr>
                    <w:t>21781.89  m</w:t>
                  </w:r>
                  <w:r>
                    <w:rPr>
                      <w:rFonts w:ascii="Times New Roman" w:hAnsi="Times New Roman"/>
                      <w:vertAlign w:val="superscript"/>
                    </w:rPr>
                    <w:t>3</w:t>
                  </w:r>
                </w:p>
              </w:tc>
              <w:tc>
                <w:tcPr>
                  <w:tcW w:w="463" w:type="pct"/>
                  <w:vAlign w:val="center"/>
                </w:tcPr>
                <w:p>
                  <w:pPr>
                    <w:pStyle w:val="64"/>
                    <w:snapToGrid w:val="0"/>
                    <w:rPr>
                      <w:rFonts w:ascii="Times New Roman" w:hAnsi="Times New Roman"/>
                    </w:rPr>
                  </w:pPr>
                  <w:r>
                    <w:rPr>
                      <w:rFonts w:ascii="Times New Roman" w:hAnsi="Times New Roman"/>
                    </w:rPr>
                    <w:t>/</w:t>
                  </w:r>
                </w:p>
              </w:tc>
              <w:tc>
                <w:tcPr>
                  <w:tcW w:w="462" w:type="pct"/>
                  <w:vAlign w:val="center"/>
                </w:tcPr>
                <w:p>
                  <w:pPr>
                    <w:pStyle w:val="64"/>
                    <w:snapToGrid w:val="0"/>
                    <w:rPr>
                      <w:rFonts w:ascii="Times New Roman" w:hAnsi="Times New Roman"/>
                    </w:rPr>
                  </w:pPr>
                  <w:r>
                    <w:rPr>
                      <w:rFonts w:ascii="Times New Roman" w:hAnsi="Times New Roman"/>
                    </w:rPr>
                    <w:t>/</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10</w:t>
                  </w:r>
                </w:p>
              </w:tc>
              <w:tc>
                <w:tcPr>
                  <w:tcW w:w="274" w:type="pct"/>
                  <w:vAlign w:val="center"/>
                </w:tcPr>
                <w:p>
                  <w:pPr>
                    <w:pStyle w:val="64"/>
                    <w:snapToGrid w:val="0"/>
                    <w:rPr>
                      <w:rFonts w:ascii="Times New Roman" w:hAnsi="Times New Roman"/>
                    </w:rPr>
                  </w:pPr>
                  <w:r>
                    <w:rPr>
                      <w:rFonts w:ascii="Times New Roman" w:hAnsi="Times New Roman"/>
                    </w:rPr>
                    <w:t>电</w:t>
                  </w:r>
                </w:p>
              </w:tc>
              <w:tc>
                <w:tcPr>
                  <w:tcW w:w="549" w:type="pct"/>
                  <w:vAlign w:val="center"/>
                </w:tcPr>
                <w:p>
                  <w:pPr>
                    <w:pStyle w:val="64"/>
                    <w:snapToGrid w:val="0"/>
                    <w:rPr>
                      <w:rFonts w:ascii="Times New Roman" w:hAnsi="Times New Roman"/>
                    </w:rPr>
                  </w:pPr>
                  <w:r>
                    <w:rPr>
                      <w:rFonts w:ascii="Times New Roman" w:hAnsi="Times New Roman"/>
                    </w:rPr>
                    <w:t>8万 kw·h</w:t>
                  </w:r>
                </w:p>
              </w:tc>
              <w:tc>
                <w:tcPr>
                  <w:tcW w:w="413" w:type="pct"/>
                  <w:vAlign w:val="center"/>
                </w:tcPr>
                <w:p>
                  <w:pPr>
                    <w:pStyle w:val="64"/>
                    <w:snapToGrid w:val="0"/>
                    <w:rPr>
                      <w:rFonts w:ascii="Times New Roman" w:hAnsi="Times New Roman"/>
                    </w:rPr>
                  </w:pPr>
                  <w:r>
                    <w:rPr>
                      <w:rFonts w:ascii="Times New Roman" w:hAnsi="Times New Roman"/>
                    </w:rPr>
                    <w:t>/</w:t>
                  </w:r>
                </w:p>
              </w:tc>
              <w:tc>
                <w:tcPr>
                  <w:tcW w:w="641" w:type="pct"/>
                  <w:vAlign w:val="center"/>
                </w:tcPr>
                <w:p>
                  <w:pPr>
                    <w:pStyle w:val="64"/>
                    <w:snapToGrid w:val="0"/>
                    <w:rPr>
                      <w:rFonts w:ascii="Times New Roman" w:hAnsi="Times New Roman"/>
                    </w:rPr>
                  </w:pPr>
                  <w:r>
                    <w:rPr>
                      <w:rFonts w:ascii="Times New Roman" w:hAnsi="Times New Roman"/>
                    </w:rPr>
                    <w:t>/</w:t>
                  </w:r>
                </w:p>
              </w:tc>
              <w:tc>
                <w:tcPr>
                  <w:tcW w:w="344" w:type="pct"/>
                  <w:vAlign w:val="center"/>
                </w:tcPr>
                <w:p>
                  <w:pPr>
                    <w:pStyle w:val="64"/>
                    <w:snapToGrid w:val="0"/>
                    <w:rPr>
                      <w:rFonts w:ascii="Times New Roman" w:hAnsi="Times New Roman"/>
                    </w:rPr>
                  </w:pPr>
                  <w:r>
                    <w:rPr>
                      <w:rFonts w:ascii="Times New Roman" w:hAnsi="Times New Roman"/>
                    </w:rPr>
                    <w:t>/</w:t>
                  </w:r>
                </w:p>
              </w:tc>
              <w:tc>
                <w:tcPr>
                  <w:tcW w:w="351" w:type="pct"/>
                  <w:vAlign w:val="center"/>
                </w:tcPr>
                <w:p>
                  <w:pPr>
                    <w:pStyle w:val="64"/>
                    <w:snapToGrid w:val="0"/>
                    <w:rPr>
                      <w:rFonts w:ascii="Times New Roman" w:hAnsi="Times New Roman"/>
                    </w:rPr>
                  </w:pPr>
                  <w:r>
                    <w:rPr>
                      <w:rFonts w:ascii="Times New Roman" w:hAnsi="Times New Roman"/>
                    </w:rPr>
                    <w:t>外购</w:t>
                  </w:r>
                </w:p>
              </w:tc>
              <w:tc>
                <w:tcPr>
                  <w:tcW w:w="463" w:type="pct"/>
                  <w:vAlign w:val="center"/>
                </w:tcPr>
                <w:p>
                  <w:pPr>
                    <w:pStyle w:val="64"/>
                    <w:snapToGrid w:val="0"/>
                    <w:rPr>
                      <w:rFonts w:ascii="Times New Roman" w:hAnsi="Times New Roman"/>
                    </w:rPr>
                  </w:pPr>
                  <w:r>
                    <w:rPr>
                      <w:rFonts w:ascii="Times New Roman" w:hAnsi="Times New Roman"/>
                    </w:rPr>
                    <w:t>电</w:t>
                  </w:r>
                </w:p>
              </w:tc>
              <w:tc>
                <w:tcPr>
                  <w:tcW w:w="517" w:type="pct"/>
                  <w:vAlign w:val="center"/>
                </w:tcPr>
                <w:p>
                  <w:pPr>
                    <w:pStyle w:val="64"/>
                    <w:snapToGrid w:val="0"/>
                    <w:rPr>
                      <w:rFonts w:ascii="Times New Roman" w:hAnsi="Times New Roman"/>
                    </w:rPr>
                  </w:pPr>
                  <w:r>
                    <w:rPr>
                      <w:rFonts w:ascii="Times New Roman" w:hAnsi="Times New Roman"/>
                    </w:rPr>
                    <w:t>8万 kw·h</w:t>
                  </w:r>
                </w:p>
              </w:tc>
              <w:tc>
                <w:tcPr>
                  <w:tcW w:w="463" w:type="pct"/>
                  <w:vAlign w:val="center"/>
                </w:tcPr>
                <w:p>
                  <w:pPr>
                    <w:pStyle w:val="64"/>
                    <w:snapToGrid w:val="0"/>
                    <w:rPr>
                      <w:rFonts w:ascii="Times New Roman" w:hAnsi="Times New Roman"/>
                    </w:rPr>
                  </w:pPr>
                  <w:r>
                    <w:rPr>
                      <w:rFonts w:ascii="Times New Roman" w:hAnsi="Times New Roman"/>
                    </w:rPr>
                    <w:t>/</w:t>
                  </w:r>
                </w:p>
              </w:tc>
              <w:tc>
                <w:tcPr>
                  <w:tcW w:w="462" w:type="pct"/>
                  <w:vAlign w:val="center"/>
                </w:tcPr>
                <w:p>
                  <w:pPr>
                    <w:pStyle w:val="64"/>
                    <w:snapToGrid w:val="0"/>
                    <w:rPr>
                      <w:rFonts w:ascii="Times New Roman" w:hAnsi="Times New Roman"/>
                    </w:rPr>
                  </w:pPr>
                  <w:r>
                    <w:rPr>
                      <w:rFonts w:ascii="Times New Roman" w:hAnsi="Times New Roman"/>
                    </w:rPr>
                    <w:t>/</w:t>
                  </w:r>
                </w:p>
              </w:tc>
              <w:tc>
                <w:tcPr>
                  <w:tcW w:w="342" w:type="pct"/>
                  <w:vAlign w:val="center"/>
                </w:tcPr>
                <w:p>
                  <w:pPr>
                    <w:pStyle w:val="64"/>
                    <w:snapToGrid w:val="0"/>
                    <w:rPr>
                      <w:rFonts w:ascii="Times New Roman" w:hAnsi="Times New Roman"/>
                    </w:rPr>
                  </w:pPr>
                  <w:r>
                    <w:rPr>
                      <w:rFonts w:ascii="Times New Roman" w:hAnsi="Times New Roma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82" w:type="pct"/>
                  <w:vAlign w:val="center"/>
                </w:tcPr>
                <w:p>
                  <w:pPr>
                    <w:pStyle w:val="64"/>
                    <w:snapToGrid w:val="0"/>
                    <w:rPr>
                      <w:rFonts w:ascii="Times New Roman" w:hAnsi="Times New Roman"/>
                    </w:rPr>
                  </w:pPr>
                  <w:r>
                    <w:rPr>
                      <w:rFonts w:ascii="Times New Roman" w:hAnsi="Times New Roman"/>
                    </w:rPr>
                    <w:t>11</w:t>
                  </w:r>
                </w:p>
              </w:tc>
              <w:tc>
                <w:tcPr>
                  <w:tcW w:w="274" w:type="pct"/>
                  <w:vAlign w:val="center"/>
                </w:tcPr>
                <w:p>
                  <w:pPr>
                    <w:pStyle w:val="64"/>
                    <w:snapToGrid w:val="0"/>
                    <w:rPr>
                      <w:rFonts w:ascii="Times New Roman" w:hAnsi="Times New Roman"/>
                    </w:rPr>
                  </w:pPr>
                  <w:r>
                    <w:rPr>
                      <w:rFonts w:ascii="Times New Roman" w:hAnsi="Times New Roman"/>
                    </w:rPr>
                    <w:t>天然气</w:t>
                  </w:r>
                </w:p>
              </w:tc>
              <w:tc>
                <w:tcPr>
                  <w:tcW w:w="549" w:type="pct"/>
                  <w:vAlign w:val="center"/>
                </w:tcPr>
                <w:p>
                  <w:pPr>
                    <w:pStyle w:val="64"/>
                    <w:snapToGrid w:val="0"/>
                    <w:rPr>
                      <w:rFonts w:ascii="Times New Roman" w:hAnsi="Times New Roman"/>
                    </w:rPr>
                  </w:pPr>
                  <w:r>
                    <w:rPr>
                      <w:rFonts w:ascii="Times New Roman" w:hAnsi="Times New Roman"/>
                    </w:rPr>
                    <w:t>600000 m</w:t>
                  </w:r>
                  <w:r>
                    <w:rPr>
                      <w:rFonts w:ascii="Times New Roman" w:hAnsi="Times New Roman"/>
                      <w:vertAlign w:val="superscript"/>
                    </w:rPr>
                    <w:t>3</w:t>
                  </w:r>
                  <w:r>
                    <w:rPr>
                      <w:rFonts w:ascii="Times New Roman" w:hAnsi="Times New Roman"/>
                    </w:rPr>
                    <w:t>/a</w:t>
                  </w:r>
                </w:p>
              </w:tc>
              <w:tc>
                <w:tcPr>
                  <w:tcW w:w="413" w:type="pct"/>
                  <w:vAlign w:val="center"/>
                </w:tcPr>
                <w:p>
                  <w:pPr>
                    <w:pStyle w:val="64"/>
                    <w:snapToGrid w:val="0"/>
                    <w:rPr>
                      <w:rFonts w:ascii="Times New Roman" w:hAnsi="Times New Roman"/>
                    </w:rPr>
                  </w:pPr>
                  <w:r>
                    <w:rPr>
                      <w:rFonts w:ascii="Times New Roman" w:hAnsi="Times New Roman"/>
                    </w:rPr>
                    <w:t>/</w:t>
                  </w:r>
                </w:p>
              </w:tc>
              <w:tc>
                <w:tcPr>
                  <w:tcW w:w="641" w:type="pct"/>
                  <w:vAlign w:val="center"/>
                </w:tcPr>
                <w:p>
                  <w:pPr>
                    <w:pStyle w:val="64"/>
                    <w:snapToGrid w:val="0"/>
                    <w:rPr>
                      <w:rFonts w:ascii="Times New Roman" w:hAnsi="Times New Roman"/>
                    </w:rPr>
                  </w:pPr>
                  <w:r>
                    <w:rPr>
                      <w:rFonts w:ascii="Times New Roman" w:hAnsi="Times New Roman"/>
                    </w:rPr>
                    <w:t>/</w:t>
                  </w:r>
                </w:p>
              </w:tc>
              <w:tc>
                <w:tcPr>
                  <w:tcW w:w="344" w:type="pct"/>
                  <w:vAlign w:val="center"/>
                </w:tcPr>
                <w:p>
                  <w:pPr>
                    <w:pStyle w:val="64"/>
                    <w:snapToGrid w:val="0"/>
                    <w:rPr>
                      <w:rFonts w:ascii="Times New Roman" w:hAnsi="Times New Roman"/>
                    </w:rPr>
                  </w:pPr>
                  <w:r>
                    <w:rPr>
                      <w:rFonts w:ascii="Times New Roman" w:hAnsi="Times New Roman"/>
                    </w:rPr>
                    <w:t>/</w:t>
                  </w:r>
                </w:p>
              </w:tc>
              <w:tc>
                <w:tcPr>
                  <w:tcW w:w="351" w:type="pct"/>
                  <w:vAlign w:val="center"/>
                </w:tcPr>
                <w:p>
                  <w:pPr>
                    <w:pStyle w:val="64"/>
                    <w:snapToGrid w:val="0"/>
                    <w:rPr>
                      <w:rFonts w:ascii="Times New Roman" w:hAnsi="Times New Roman"/>
                    </w:rPr>
                  </w:pPr>
                  <w:r>
                    <w:rPr>
                      <w:rFonts w:ascii="Times New Roman" w:hAnsi="Times New Roman"/>
                    </w:rPr>
                    <w:t>外购</w:t>
                  </w:r>
                </w:p>
              </w:tc>
              <w:tc>
                <w:tcPr>
                  <w:tcW w:w="463" w:type="pct"/>
                  <w:vAlign w:val="center"/>
                </w:tcPr>
                <w:p>
                  <w:pPr>
                    <w:pStyle w:val="64"/>
                    <w:snapToGrid w:val="0"/>
                    <w:rPr>
                      <w:rFonts w:ascii="Times New Roman" w:hAnsi="Times New Roman"/>
                    </w:rPr>
                  </w:pPr>
                  <w:r>
                    <w:rPr>
                      <w:rFonts w:ascii="Times New Roman" w:hAnsi="Times New Roman"/>
                    </w:rPr>
                    <w:t>天然气</w:t>
                  </w:r>
                </w:p>
              </w:tc>
              <w:tc>
                <w:tcPr>
                  <w:tcW w:w="517" w:type="pct"/>
                  <w:vAlign w:val="center"/>
                </w:tcPr>
                <w:p>
                  <w:pPr>
                    <w:pStyle w:val="64"/>
                    <w:snapToGrid w:val="0"/>
                    <w:rPr>
                      <w:rFonts w:ascii="Times New Roman" w:hAnsi="Times New Roman"/>
                    </w:rPr>
                  </w:pPr>
                  <w:r>
                    <w:rPr>
                      <w:rFonts w:ascii="Times New Roman" w:hAnsi="Times New Roman"/>
                    </w:rPr>
                    <w:t>600000 m</w:t>
                  </w:r>
                  <w:r>
                    <w:rPr>
                      <w:rFonts w:ascii="Times New Roman" w:hAnsi="Times New Roman"/>
                      <w:vertAlign w:val="superscript"/>
                    </w:rPr>
                    <w:t>3</w:t>
                  </w:r>
                  <w:r>
                    <w:rPr>
                      <w:rFonts w:ascii="Times New Roman" w:hAnsi="Times New Roman"/>
                    </w:rPr>
                    <w:t>/a</w:t>
                  </w:r>
                </w:p>
              </w:tc>
              <w:tc>
                <w:tcPr>
                  <w:tcW w:w="463" w:type="pct"/>
                  <w:vAlign w:val="center"/>
                </w:tcPr>
                <w:p>
                  <w:pPr>
                    <w:pStyle w:val="64"/>
                    <w:snapToGrid w:val="0"/>
                    <w:rPr>
                      <w:rFonts w:ascii="Times New Roman" w:hAnsi="Times New Roman"/>
                    </w:rPr>
                  </w:pPr>
                </w:p>
              </w:tc>
              <w:tc>
                <w:tcPr>
                  <w:tcW w:w="462" w:type="pct"/>
                  <w:vAlign w:val="center"/>
                </w:tcPr>
                <w:p>
                  <w:pPr>
                    <w:pStyle w:val="64"/>
                    <w:snapToGrid w:val="0"/>
                    <w:rPr>
                      <w:rFonts w:ascii="Times New Roman" w:hAnsi="Times New Roman"/>
                    </w:rPr>
                  </w:pPr>
                  <w:r>
                    <w:rPr>
                      <w:rFonts w:ascii="Times New Roman" w:hAnsi="Times New Roman"/>
                    </w:rPr>
                    <w:t>/</w:t>
                  </w:r>
                </w:p>
              </w:tc>
              <w:tc>
                <w:tcPr>
                  <w:tcW w:w="342" w:type="pct"/>
                  <w:vAlign w:val="center"/>
                </w:tcPr>
                <w:p>
                  <w:pPr>
                    <w:pStyle w:val="64"/>
                    <w:snapToGrid w:val="0"/>
                    <w:rPr>
                      <w:rFonts w:ascii="Times New Roman" w:hAnsi="Times New Roman"/>
                    </w:rPr>
                  </w:pPr>
                  <w:r>
                    <w:rPr>
                      <w:rFonts w:ascii="Times New Roman" w:hAnsi="Times New Roman"/>
                    </w:rPr>
                    <w:t>外购</w:t>
                  </w:r>
                </w:p>
              </w:tc>
            </w:tr>
          </w:tbl>
          <w:p>
            <w:pPr>
              <w:spacing w:before="120" w:beforeLines="50" w:line="360" w:lineRule="auto"/>
              <w:ind w:firstLine="490" w:firstLineChars="200"/>
              <w:rPr>
                <w:rFonts w:eastAsiaTheme="minorEastAsia"/>
                <w:b/>
                <w:bCs/>
                <w:spacing w:val="2"/>
                <w:sz w:val="24"/>
              </w:rPr>
            </w:pPr>
            <w:r>
              <w:rPr>
                <w:rFonts w:hint="eastAsia" w:eastAsiaTheme="minorEastAsia"/>
                <w:b/>
                <w:bCs/>
                <w:spacing w:val="2"/>
                <w:sz w:val="24"/>
              </w:rPr>
              <w:t>本项目粉状物料均采取封闭运输，装卸的方式进入本项目封闭的料仓内，块状物料加篷布运输至厂内后，在装卸过程采取湿法装卸，并储存在封闭的厂房内（储存区域设置喷雾降尘装置），本项目新增</w:t>
            </w:r>
            <w:r>
              <w:rPr>
                <w:rFonts w:eastAsiaTheme="minorEastAsia"/>
                <w:b/>
                <w:bCs/>
                <w:spacing w:val="2"/>
                <w:sz w:val="24"/>
              </w:rPr>
              <w:t>蒸压灰砂砖</w:t>
            </w:r>
            <w:r>
              <w:rPr>
                <w:rFonts w:hint="eastAsia" w:eastAsiaTheme="minorEastAsia"/>
                <w:b/>
                <w:bCs/>
                <w:spacing w:val="2"/>
                <w:sz w:val="24"/>
              </w:rPr>
              <w:t>生产线的原辅料类型和配比与</w:t>
            </w:r>
            <w:r>
              <w:rPr>
                <w:rFonts w:eastAsiaTheme="minorEastAsia"/>
                <w:b/>
                <w:bCs/>
                <w:spacing w:val="2"/>
                <w:sz w:val="24"/>
              </w:rPr>
              <w:t>永津环保公司委托试</w:t>
            </w:r>
            <w:r>
              <w:rPr>
                <w:rFonts w:hint="eastAsia" w:eastAsiaTheme="minorEastAsia"/>
                <w:b/>
                <w:bCs/>
                <w:spacing w:val="2"/>
                <w:sz w:val="24"/>
              </w:rPr>
              <w:t>生产的满足《</w:t>
            </w:r>
            <w:r>
              <w:rPr>
                <w:rFonts w:eastAsiaTheme="minorEastAsia"/>
                <w:b/>
                <w:bCs/>
                <w:spacing w:val="2"/>
                <w:sz w:val="24"/>
              </w:rPr>
              <w:t>蒸压灰砂砖</w:t>
            </w:r>
            <w:r>
              <w:rPr>
                <w:rFonts w:hint="eastAsia" w:eastAsiaTheme="minorEastAsia"/>
                <w:b/>
                <w:bCs/>
                <w:spacing w:val="2"/>
                <w:sz w:val="24"/>
              </w:rPr>
              <w:t>》（</w:t>
            </w:r>
            <w:r>
              <w:rPr>
                <w:rFonts w:eastAsiaTheme="minorEastAsia"/>
                <w:b/>
                <w:bCs/>
                <w:spacing w:val="2"/>
                <w:sz w:val="24"/>
              </w:rPr>
              <w:t>GB11945-1999</w:t>
            </w:r>
            <w:r>
              <w:rPr>
                <w:rFonts w:hint="eastAsia" w:eastAsiaTheme="minorEastAsia"/>
                <w:b/>
                <w:bCs/>
                <w:spacing w:val="2"/>
                <w:sz w:val="24"/>
              </w:rPr>
              <w:t>）</w:t>
            </w:r>
            <w:r>
              <w:rPr>
                <w:rFonts w:eastAsiaTheme="minorEastAsia"/>
                <w:b/>
                <w:bCs/>
                <w:spacing w:val="2"/>
                <w:sz w:val="24"/>
              </w:rPr>
              <w:t>标准</w:t>
            </w:r>
            <w:r>
              <w:rPr>
                <w:rFonts w:hint="eastAsia" w:eastAsiaTheme="minorEastAsia"/>
                <w:b/>
                <w:bCs/>
                <w:spacing w:val="2"/>
                <w:sz w:val="24"/>
              </w:rPr>
              <w:t>的</w:t>
            </w:r>
            <w:r>
              <w:rPr>
                <w:rFonts w:eastAsiaTheme="minorEastAsia"/>
                <w:b/>
                <w:bCs/>
                <w:spacing w:val="2"/>
                <w:sz w:val="24"/>
              </w:rPr>
              <w:t>蒸压灰砂砖</w:t>
            </w:r>
            <w:r>
              <w:rPr>
                <w:rFonts w:hint="eastAsia" w:eastAsiaTheme="minorEastAsia"/>
                <w:b/>
                <w:bCs/>
                <w:spacing w:val="2"/>
                <w:sz w:val="24"/>
              </w:rPr>
              <w:t>的原辅料类型与配比一致，故本项目新增</w:t>
            </w:r>
            <w:r>
              <w:rPr>
                <w:rFonts w:eastAsiaTheme="minorEastAsia"/>
                <w:b/>
                <w:bCs/>
                <w:spacing w:val="2"/>
                <w:sz w:val="24"/>
              </w:rPr>
              <w:t>蒸压灰砂砖</w:t>
            </w:r>
            <w:r>
              <w:rPr>
                <w:rFonts w:hint="eastAsia" w:eastAsiaTheme="minorEastAsia"/>
                <w:b/>
                <w:bCs/>
                <w:spacing w:val="2"/>
                <w:sz w:val="24"/>
              </w:rPr>
              <w:t>满足相关质量标准。</w:t>
            </w:r>
          </w:p>
          <w:p>
            <w:pPr>
              <w:spacing w:before="120" w:beforeLines="50" w:line="360" w:lineRule="auto"/>
              <w:ind w:firstLine="482" w:firstLineChars="200"/>
              <w:rPr>
                <w:b/>
                <w:bCs/>
                <w:sz w:val="24"/>
              </w:rPr>
            </w:pPr>
            <w:r>
              <w:rPr>
                <w:b/>
                <w:bCs/>
                <w:sz w:val="24"/>
              </w:rPr>
              <w:t>5.2主要原辅材料理化特性表如下：</w:t>
            </w:r>
          </w:p>
          <w:p>
            <w:pPr>
              <w:pStyle w:val="61"/>
              <w:rPr>
                <w:sz w:val="21"/>
                <w:szCs w:val="21"/>
              </w:rPr>
            </w:pPr>
            <w:r>
              <w:rPr>
                <w:sz w:val="21"/>
                <w:szCs w:val="21"/>
              </w:rPr>
              <w:t>表2-5 主要原辅材料理化特性表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86"/>
              <w:gridCol w:w="4625"/>
              <w:gridCol w:w="1336"/>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286"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序号</w:t>
                  </w:r>
                </w:p>
              </w:tc>
              <w:tc>
                <w:tcPr>
                  <w:tcW w:w="515"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名称</w:t>
                  </w:r>
                </w:p>
              </w:tc>
              <w:tc>
                <w:tcPr>
                  <w:tcW w:w="2687"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理化特性</w:t>
                  </w:r>
                </w:p>
              </w:tc>
              <w:tc>
                <w:tcPr>
                  <w:tcW w:w="776"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燃烧及</w:t>
                  </w:r>
                </w:p>
                <w:p>
                  <w:pPr>
                    <w:pStyle w:val="80"/>
                    <w:rPr>
                      <w:rFonts w:ascii="Times New Roman" w:hAnsi="Times New Roman" w:eastAsiaTheme="minorEastAsia"/>
                      <w:szCs w:val="21"/>
                    </w:rPr>
                  </w:pPr>
                  <w:r>
                    <w:rPr>
                      <w:rFonts w:ascii="Times New Roman" w:hAnsi="Times New Roman" w:eastAsiaTheme="minorEastAsia"/>
                      <w:szCs w:val="21"/>
                    </w:rPr>
                    <w:t>爆炸特性</w:t>
                  </w:r>
                </w:p>
              </w:tc>
              <w:tc>
                <w:tcPr>
                  <w:tcW w:w="736"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286" w:type="pct"/>
                  <w:tcMar>
                    <w:left w:w="28" w:type="dxa"/>
                    <w:right w:w="28" w:type="dxa"/>
                  </w:tcMar>
                  <w:vAlign w:val="center"/>
                </w:tcPr>
                <w:p>
                  <w:pPr>
                    <w:pStyle w:val="80"/>
                    <w:rPr>
                      <w:rFonts w:ascii="Times New Roman" w:hAnsi="Times New Roman" w:eastAsiaTheme="minorEastAsia"/>
                      <w:szCs w:val="21"/>
                    </w:rPr>
                  </w:pPr>
                  <w:r>
                    <w:rPr>
                      <w:rFonts w:ascii="Times New Roman" w:hAnsi="Times New Roman" w:eastAsiaTheme="minorEastAsia"/>
                      <w:szCs w:val="21"/>
                    </w:rPr>
                    <w:t>1</w:t>
                  </w:r>
                </w:p>
              </w:tc>
              <w:tc>
                <w:tcPr>
                  <w:tcW w:w="515" w:type="pct"/>
                  <w:tcMar>
                    <w:left w:w="28" w:type="dxa"/>
                    <w:right w:w="28" w:type="dxa"/>
                  </w:tcMar>
                  <w:vAlign w:val="center"/>
                </w:tcPr>
                <w:p>
                  <w:pPr>
                    <w:jc w:val="center"/>
                    <w:rPr>
                      <w:rFonts w:eastAsiaTheme="minorEastAsia"/>
                      <w:b/>
                      <w:bCs/>
                      <w:szCs w:val="21"/>
                    </w:rPr>
                  </w:pPr>
                  <w:r>
                    <w:rPr>
                      <w:rFonts w:eastAsiaTheme="minorEastAsia"/>
                      <w:b/>
                      <w:bCs/>
                      <w:szCs w:val="21"/>
                    </w:rPr>
                    <w:t>干渣</w:t>
                  </w:r>
                </w:p>
              </w:tc>
              <w:tc>
                <w:tcPr>
                  <w:tcW w:w="2687" w:type="pct"/>
                  <w:tcMar>
                    <w:left w:w="28" w:type="dxa"/>
                    <w:right w:w="28" w:type="dxa"/>
                  </w:tcMar>
                  <w:vAlign w:val="center"/>
                </w:tcPr>
                <w:p>
                  <w:pPr>
                    <w:rPr>
                      <w:rFonts w:eastAsiaTheme="minorEastAsia"/>
                      <w:b/>
                      <w:bCs/>
                      <w:szCs w:val="21"/>
                    </w:rPr>
                  </w:pPr>
                  <w:r>
                    <w:rPr>
                      <w:rFonts w:eastAsiaTheme="minorEastAsia"/>
                      <w:b/>
                      <w:bCs/>
                      <w:szCs w:val="21"/>
                    </w:rPr>
                    <w:t>主要成分为二氧化硅、氧化铝、硫酸钡、碳酸钙等无机物，不存在《危险废物鉴别标准反应性鉴别》(GB5085.5-2007)4.1中爆炸性质，且不属于废弃氧化剂或有机过氧化物，干渣常温下为灰色粉末状物质，含水率范围为0.1%~1.2%。干渣中不含氰化物和硫化物；</w:t>
                  </w:r>
                </w:p>
              </w:tc>
              <w:tc>
                <w:tcPr>
                  <w:tcW w:w="776" w:type="pct"/>
                  <w:tcMar>
                    <w:left w:w="28" w:type="dxa"/>
                    <w:right w:w="28" w:type="dxa"/>
                  </w:tcMar>
                  <w:vAlign w:val="center"/>
                </w:tcPr>
                <w:p>
                  <w:pPr>
                    <w:jc w:val="center"/>
                    <w:rPr>
                      <w:rFonts w:eastAsiaTheme="minorEastAsia"/>
                      <w:b/>
                      <w:bCs/>
                      <w:szCs w:val="21"/>
                    </w:rPr>
                  </w:pPr>
                  <w:r>
                    <w:rPr>
                      <w:rFonts w:eastAsiaTheme="minorEastAsia"/>
                      <w:b/>
                      <w:bCs/>
                      <w:szCs w:val="21"/>
                    </w:rPr>
                    <w:t>不易燃</w:t>
                  </w:r>
                </w:p>
              </w:tc>
              <w:tc>
                <w:tcPr>
                  <w:tcW w:w="736" w:type="pct"/>
                  <w:tcMar>
                    <w:left w:w="28" w:type="dxa"/>
                    <w:right w:w="28" w:type="dxa"/>
                  </w:tcMar>
                  <w:vAlign w:val="center"/>
                </w:tcPr>
                <w:p>
                  <w:pPr>
                    <w:jc w:val="center"/>
                    <w:rPr>
                      <w:rFonts w:eastAsiaTheme="minorEastAsia"/>
                      <w:b/>
                      <w:bCs/>
                      <w:szCs w:val="21"/>
                    </w:rPr>
                  </w:pPr>
                  <w:r>
                    <w:rPr>
                      <w:rFonts w:eastAsiaTheme="minorEastAsia"/>
                      <w:b/>
                      <w:bCs/>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8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2</w:t>
                  </w:r>
                </w:p>
              </w:tc>
              <w:tc>
                <w:tcPr>
                  <w:tcW w:w="515"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水泥</w:t>
                  </w:r>
                </w:p>
              </w:tc>
              <w:tc>
                <w:tcPr>
                  <w:tcW w:w="2687"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粉状水硬性无机胶凝材料。加水搅拌后成浆体，能在空气中硬化或者在水中硬化，并能把砂、石等材料牢固地胶结在一起，水泥作为一种重要的胶凝材料，广泛应用于土木建筑、水利、国防等工程。</w:t>
                  </w:r>
                </w:p>
              </w:tc>
              <w:tc>
                <w:tcPr>
                  <w:tcW w:w="77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不燃</w:t>
                  </w:r>
                </w:p>
              </w:tc>
              <w:tc>
                <w:tcPr>
                  <w:tcW w:w="73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具有轻微腐蚀性，粘在皮肤遇水时会灼伤，刺激皮肤引起炎症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28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3</w:t>
                  </w:r>
                </w:p>
              </w:tc>
              <w:tc>
                <w:tcPr>
                  <w:tcW w:w="515"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石灰</w:t>
                  </w:r>
                </w:p>
              </w:tc>
              <w:tc>
                <w:tcPr>
                  <w:tcW w:w="2687" w:type="pct"/>
                  <w:tcMar>
                    <w:left w:w="28" w:type="dxa"/>
                    <w:right w:w="28" w:type="dxa"/>
                  </w:tcMar>
                  <w:vAlign w:val="center"/>
                </w:tcPr>
                <w:p>
                  <w:pPr>
                    <w:pStyle w:val="79"/>
                    <w:jc w:val="left"/>
                    <w:rPr>
                      <w:rFonts w:ascii="Times New Roman" w:hAnsi="Times New Roman" w:eastAsiaTheme="minorEastAsia"/>
                    </w:rPr>
                  </w:pPr>
                  <w:r>
                    <w:rPr>
                      <w:rFonts w:ascii="Times New Roman" w:hAnsi="Times New Roman" w:eastAsiaTheme="minorEastAsia"/>
                    </w:rPr>
                    <w:t>是一种以氧化钙为主要成分的气硬性无机胶凝材料。石灰是用石灰石、白云石、白垩、贝壳等碳酸钙含量高的产物，经900～1100℃煅烧而成。大量用做建筑材料。</w:t>
                  </w:r>
                </w:p>
              </w:tc>
              <w:tc>
                <w:tcPr>
                  <w:tcW w:w="77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不燃</w:t>
                  </w:r>
                </w:p>
              </w:tc>
              <w:tc>
                <w:tcPr>
                  <w:tcW w:w="73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具有腐蚀性、刺激性，可致人灼伤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28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4</w:t>
                  </w:r>
                </w:p>
              </w:tc>
              <w:tc>
                <w:tcPr>
                  <w:tcW w:w="515"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粉煤灰</w:t>
                  </w:r>
                </w:p>
              </w:tc>
              <w:tc>
                <w:tcPr>
                  <w:tcW w:w="2687" w:type="pct"/>
                  <w:tcMar>
                    <w:left w:w="28" w:type="dxa"/>
                    <w:right w:w="28" w:type="dxa"/>
                  </w:tcMar>
                  <w:vAlign w:val="center"/>
                </w:tcPr>
                <w:p>
                  <w:pPr>
                    <w:pStyle w:val="79"/>
                    <w:jc w:val="left"/>
                    <w:rPr>
                      <w:rFonts w:ascii="Times New Roman" w:hAnsi="Times New Roman" w:eastAsiaTheme="minorEastAsia"/>
                    </w:rPr>
                  </w:pPr>
                  <w:r>
                    <w:rPr>
                      <w:rFonts w:ascii="Times New Roman" w:hAnsi="Times New Roman" w:eastAsiaTheme="minorEastAsia"/>
                    </w:rPr>
                    <w:t>由燃料（主要是煤）燃烧过程中排出的微小灰粒。其粒径一般在1~100um 之间，</w:t>
                  </w:r>
                  <w:r>
                    <w:rPr>
                      <w:rFonts w:hint="eastAsia" w:ascii="Times New Roman" w:hAnsi="Times New Roman" w:eastAsiaTheme="minorEastAsia"/>
                      <w:lang w:eastAsia="zh-CN"/>
                    </w:rPr>
                    <w:t>主</w:t>
                  </w:r>
                  <w:r>
                    <w:rPr>
                      <w:rFonts w:ascii="Times New Roman" w:hAnsi="Times New Roman" w:eastAsiaTheme="minorEastAsia"/>
                    </w:rPr>
                    <w:t>要含二氧化硅（SiO</w:t>
                  </w:r>
                  <w:r>
                    <w:rPr>
                      <w:rFonts w:ascii="Times New Roman" w:hAnsi="Times New Roman" w:eastAsiaTheme="minorEastAsia"/>
                      <w:vertAlign w:val="subscript"/>
                    </w:rPr>
                    <w:t>2</w:t>
                  </w:r>
                  <w:r>
                    <w:rPr>
                      <w:rFonts w:ascii="Times New Roman" w:hAnsi="Times New Roman" w:eastAsiaTheme="minorEastAsia"/>
                    </w:rPr>
                    <w:t>）、氧化铝（A1</w:t>
                  </w:r>
                  <w:r>
                    <w:rPr>
                      <w:rFonts w:ascii="Times New Roman" w:hAnsi="Times New Roman" w:eastAsiaTheme="minorEastAsia"/>
                      <w:vertAlign w:val="subscript"/>
                    </w:rPr>
                    <w:t>2</w:t>
                  </w:r>
                  <w:r>
                    <w:rPr>
                      <w:rFonts w:ascii="Times New Roman" w:hAnsi="Times New Roman" w:eastAsiaTheme="minorEastAsia"/>
                    </w:rPr>
                    <w:t>O</w:t>
                  </w:r>
                  <w:r>
                    <w:rPr>
                      <w:rFonts w:ascii="Times New Roman" w:hAnsi="Times New Roman" w:eastAsiaTheme="minorEastAsia"/>
                      <w:vertAlign w:val="subscript"/>
                    </w:rPr>
                    <w:t>3</w:t>
                  </w:r>
                  <w:r>
                    <w:rPr>
                      <w:rFonts w:ascii="Times New Roman" w:hAnsi="Times New Roman" w:eastAsiaTheme="minorEastAsia"/>
                    </w:rPr>
                    <w:t>）和氧化铁（Fe</w:t>
                  </w:r>
                  <w:r>
                    <w:rPr>
                      <w:rFonts w:ascii="Times New Roman" w:hAnsi="Times New Roman" w:eastAsiaTheme="minorEastAsia"/>
                      <w:vertAlign w:val="subscript"/>
                    </w:rPr>
                    <w:t>2</w:t>
                  </w:r>
                  <w:r>
                    <w:rPr>
                      <w:rFonts w:ascii="Times New Roman" w:hAnsi="Times New Roman" w:eastAsiaTheme="minorEastAsia"/>
                    </w:rPr>
                    <w:t>O</w:t>
                  </w:r>
                  <w:r>
                    <w:rPr>
                      <w:rFonts w:ascii="Times New Roman" w:hAnsi="Times New Roman" w:eastAsiaTheme="minorEastAsia"/>
                      <w:vertAlign w:val="subscript"/>
                    </w:rPr>
                    <w:t>3</w:t>
                  </w:r>
                  <w:r>
                    <w:rPr>
                      <w:rFonts w:ascii="Times New Roman" w:hAnsi="Times New Roman" w:eastAsiaTheme="minorEastAsia"/>
                    </w:rPr>
                    <w:t>）</w:t>
                  </w:r>
                </w:p>
              </w:tc>
              <w:tc>
                <w:tcPr>
                  <w:tcW w:w="77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不易燃，引燃温度在610℃~1050℃</w:t>
                  </w:r>
                </w:p>
              </w:tc>
              <w:tc>
                <w:tcPr>
                  <w:tcW w:w="73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无毒，吸入易引发炎症。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8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5</w:t>
                  </w:r>
                </w:p>
              </w:tc>
              <w:tc>
                <w:tcPr>
                  <w:tcW w:w="515"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脱模剂</w:t>
                  </w:r>
                </w:p>
              </w:tc>
              <w:tc>
                <w:tcPr>
                  <w:tcW w:w="2687" w:type="pct"/>
                  <w:tcMar>
                    <w:left w:w="28" w:type="dxa"/>
                    <w:right w:w="28" w:type="dxa"/>
                  </w:tcMar>
                  <w:vAlign w:val="center"/>
                </w:tcPr>
                <w:p>
                  <w:pPr>
                    <w:pStyle w:val="79"/>
                    <w:jc w:val="left"/>
                    <w:rPr>
                      <w:rFonts w:ascii="Times New Roman" w:hAnsi="Times New Roman" w:eastAsiaTheme="minorEastAsia"/>
                    </w:rPr>
                  </w:pPr>
                  <w:r>
                    <w:rPr>
                      <w:rFonts w:ascii="Times New Roman" w:hAnsi="Times New Roman" w:eastAsiaTheme="minorEastAsia"/>
                    </w:rPr>
                    <w:t>项目使用的脱模剂主要成分是改性聚硅氧烷乳液，是一种涂于模板内壁起润滑和隔离作用，使混凝土在拆模时能顺利脱离模板，保持混凝土形状完整无损。本项目使用水性脱模剂，水性脱模剂用时与水按一定比例调兑后，再涂抹。水性脱模剂使用简单安全、环保。</w:t>
                  </w:r>
                </w:p>
              </w:tc>
              <w:tc>
                <w:tcPr>
                  <w:tcW w:w="77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可燃</w:t>
                  </w:r>
                </w:p>
              </w:tc>
              <w:tc>
                <w:tcPr>
                  <w:tcW w:w="736" w:type="pct"/>
                  <w:tcMar>
                    <w:left w:w="28" w:type="dxa"/>
                    <w:right w:w="28" w:type="dxa"/>
                  </w:tcMar>
                  <w:vAlign w:val="center"/>
                </w:tcPr>
                <w:p>
                  <w:pPr>
                    <w:pStyle w:val="79"/>
                    <w:rPr>
                      <w:rFonts w:ascii="Times New Roman" w:hAnsi="Times New Roman" w:eastAsiaTheme="minorEastAsia"/>
                    </w:rPr>
                  </w:pPr>
                  <w:r>
                    <w:rPr>
                      <w:rFonts w:ascii="Times New Roman" w:hAnsi="Times New Roman" w:eastAsiaTheme="minorEastAsia"/>
                    </w:rPr>
                    <w:t>-</w:t>
                  </w:r>
                </w:p>
              </w:tc>
            </w:tr>
          </w:tbl>
          <w:p>
            <w:pPr>
              <w:autoSpaceDE w:val="0"/>
              <w:autoSpaceDN w:val="0"/>
              <w:adjustRightInd w:val="0"/>
              <w:spacing w:before="120" w:beforeLines="50" w:line="360" w:lineRule="auto"/>
              <w:ind w:firstLine="482" w:firstLineChars="200"/>
              <w:rPr>
                <w:rFonts w:eastAsiaTheme="minorEastAsia"/>
                <w:b/>
                <w:bCs/>
                <w:sz w:val="24"/>
              </w:rPr>
            </w:pPr>
            <w:r>
              <w:rPr>
                <w:rFonts w:eastAsiaTheme="minorEastAsia"/>
                <w:b/>
                <w:bCs/>
                <w:sz w:val="24"/>
              </w:rPr>
              <w:t>5.3 项目干渣来源：</w:t>
            </w:r>
          </w:p>
          <w:p>
            <w:pPr>
              <w:autoSpaceDE w:val="0"/>
              <w:autoSpaceDN w:val="0"/>
              <w:adjustRightInd w:val="0"/>
              <w:spacing w:line="360" w:lineRule="auto"/>
              <w:ind w:firstLine="480" w:firstLineChars="200"/>
              <w:rPr>
                <w:rFonts w:eastAsiaTheme="minorEastAsia"/>
                <w:b/>
                <w:bCs/>
                <w:sz w:val="24"/>
              </w:rPr>
            </w:pPr>
            <w:r>
              <w:rPr>
                <w:rFonts w:eastAsiaTheme="minorEastAsia"/>
                <w:sz w:val="24"/>
              </w:rPr>
              <w:t>本项目</w:t>
            </w:r>
            <w:r>
              <w:rPr>
                <w:rFonts w:hint="eastAsia" w:eastAsiaTheme="minorEastAsia"/>
                <w:sz w:val="24"/>
              </w:rPr>
              <w:t>外购</w:t>
            </w:r>
            <w:r>
              <w:rPr>
                <w:rFonts w:eastAsiaTheme="minorEastAsia"/>
                <w:sz w:val="24"/>
              </w:rPr>
              <w:t>干渣</w:t>
            </w:r>
            <w:r>
              <w:rPr>
                <w:rFonts w:hint="eastAsia" w:eastAsiaTheme="minorEastAsia"/>
                <w:sz w:val="24"/>
              </w:rPr>
              <w:t>为一般固废，来源于</w:t>
            </w:r>
            <w:r>
              <w:rPr>
                <w:rFonts w:eastAsiaTheme="minorEastAsia"/>
                <w:sz w:val="24"/>
              </w:rPr>
              <w:t>永津环保公司在大英县经开区投资建设的油基岩屑资源综合利用项目中原料油基岩屑从储料池输送至热回收主系统中，在厌氧热回收工艺下分离出干渣和回收油，其中干渣被干渣输出系统提取，在螺旋输送器中经冷却后在出料口产出本次项目的干渣，</w:t>
            </w:r>
            <w:r>
              <w:rPr>
                <w:rFonts w:eastAsiaTheme="minorEastAsia"/>
                <w:b/>
                <w:bCs/>
                <w:sz w:val="24"/>
              </w:rPr>
              <w:t>干渣由</w:t>
            </w:r>
            <w:r>
              <w:rPr>
                <w:rFonts w:hint="eastAsia" w:eastAsiaTheme="minorEastAsia"/>
                <w:b/>
                <w:bCs/>
                <w:sz w:val="24"/>
              </w:rPr>
              <w:t>密闭</w:t>
            </w:r>
            <w:r>
              <w:rPr>
                <w:rFonts w:eastAsiaTheme="minorEastAsia"/>
                <w:b/>
                <w:bCs/>
                <w:sz w:val="24"/>
              </w:rPr>
              <w:t>罐车由大英县经开区运输进本厂，并通过密闭管道输入本项目粉料仓内</w:t>
            </w:r>
            <w:r>
              <w:rPr>
                <w:rFonts w:eastAsiaTheme="minorEastAsia"/>
                <w:sz w:val="24"/>
              </w:rPr>
              <w:t>，</w:t>
            </w:r>
            <w:r>
              <w:rPr>
                <w:rFonts w:eastAsiaTheme="minorEastAsia"/>
                <w:b/>
                <w:bCs/>
                <w:sz w:val="24"/>
              </w:rPr>
              <w:t>干渣不在厂区内久存。</w:t>
            </w:r>
          </w:p>
          <w:p>
            <w:pPr>
              <w:pStyle w:val="2"/>
              <w:ind w:left="29" w:leftChars="14" w:firstLine="0" w:firstLineChars="0"/>
              <w:jc w:val="center"/>
            </w:pPr>
            <w:r>
              <w:drawing>
                <wp:inline distT="0" distB="0" distL="0" distR="0">
                  <wp:extent cx="4389120" cy="3288665"/>
                  <wp:effectExtent l="0" t="0" r="0" b="6985"/>
                  <wp:docPr id="610940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40356"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27469" cy="3317510"/>
                          </a:xfrm>
                          <a:prstGeom prst="rect">
                            <a:avLst/>
                          </a:prstGeom>
                          <a:noFill/>
                          <a:ln>
                            <a:noFill/>
                          </a:ln>
                        </pic:spPr>
                      </pic:pic>
                    </a:graphicData>
                  </a:graphic>
                </wp:inline>
              </w:drawing>
            </w:r>
          </w:p>
          <w:p>
            <w:pPr>
              <w:pStyle w:val="2"/>
              <w:ind w:left="29" w:leftChars="0" w:firstLine="0" w:firstLineChars="0"/>
              <w:jc w:val="center"/>
              <w:rPr>
                <w:b/>
                <w:bCs/>
                <w:sz w:val="24"/>
              </w:rPr>
            </w:pPr>
            <w:r>
              <w:rPr>
                <w:b/>
                <w:bCs/>
                <w:sz w:val="24"/>
              </w:rPr>
              <w:t>图2-2干渣照片</w:t>
            </w:r>
          </w:p>
          <w:p>
            <w:pPr>
              <w:pStyle w:val="62"/>
              <w:adjustRightInd/>
              <w:ind w:firstLine="0"/>
              <w:jc w:val="left"/>
              <w:rPr>
                <w:rFonts w:ascii="Times New Roman" w:hAnsi="Times New Roman"/>
                <w:b/>
              </w:rPr>
            </w:pPr>
            <w:r>
              <w:rPr>
                <w:rFonts w:ascii="Times New Roman" w:hAnsi="Times New Roman"/>
                <w:b/>
              </w:rPr>
              <w:t>6</w:t>
            </w:r>
            <w:r>
              <w:rPr>
                <w:rFonts w:ascii="Times New Roman" w:hAnsi="Times New Roman" w:eastAsiaTheme="minorEastAsia"/>
                <w:b/>
              </w:rPr>
              <w:t>、</w:t>
            </w:r>
            <w:r>
              <w:rPr>
                <w:rFonts w:ascii="Times New Roman" w:hAnsi="Times New Roman"/>
                <w:b/>
              </w:rPr>
              <w:t>物料平衡</w:t>
            </w:r>
          </w:p>
          <w:p>
            <w:pPr>
              <w:pStyle w:val="62"/>
              <w:adjustRightInd/>
              <w:ind w:firstLine="480" w:firstLineChars="200"/>
              <w:rPr>
                <w:rFonts w:ascii="Times New Roman" w:hAnsi="Times New Roman"/>
                <w:bCs w:val="0"/>
              </w:rPr>
            </w:pPr>
            <w:r>
              <w:rPr>
                <w:rFonts w:ascii="Times New Roman" w:hAnsi="Times New Roman"/>
                <w:bCs w:val="0"/>
              </w:rPr>
              <w:t>项目运营期物料平衡见下表：</w:t>
            </w:r>
          </w:p>
          <w:p>
            <w:pPr>
              <w:pStyle w:val="61"/>
              <w:rPr>
                <w:sz w:val="21"/>
                <w:szCs w:val="21"/>
              </w:rPr>
            </w:pPr>
          </w:p>
          <w:p>
            <w:pPr>
              <w:pStyle w:val="61"/>
              <w:rPr>
                <w:sz w:val="21"/>
                <w:szCs w:val="21"/>
              </w:rPr>
            </w:pPr>
            <w:r>
              <w:rPr>
                <w:sz w:val="21"/>
                <w:szCs w:val="21"/>
              </w:rPr>
              <w:t xml:space="preserve">表2-7 项目物料平衡表  </w:t>
            </w:r>
            <w:r>
              <w:t>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658"/>
              <w:gridCol w:w="1100"/>
              <w:gridCol w:w="2375"/>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pPr>
                    <w:pStyle w:val="64"/>
                    <w:snapToGrid w:val="0"/>
                    <w:rPr>
                      <w:rFonts w:ascii="Times New Roman" w:hAnsi="Times New Roman"/>
                      <w:b/>
                    </w:rPr>
                  </w:pPr>
                  <w:r>
                    <w:rPr>
                      <w:rFonts w:ascii="Times New Roman" w:hAnsi="Times New Roman"/>
                      <w:b/>
                    </w:rPr>
                    <w:t>生产线</w:t>
                  </w:r>
                </w:p>
              </w:tc>
              <w:tc>
                <w:tcPr>
                  <w:tcW w:w="1602" w:type="pct"/>
                  <w:gridSpan w:val="2"/>
                  <w:vAlign w:val="center"/>
                </w:tcPr>
                <w:p>
                  <w:pPr>
                    <w:pStyle w:val="64"/>
                    <w:snapToGrid w:val="0"/>
                    <w:rPr>
                      <w:rFonts w:ascii="Times New Roman" w:hAnsi="Times New Roman"/>
                      <w:b/>
                    </w:rPr>
                  </w:pPr>
                  <w:r>
                    <w:rPr>
                      <w:rFonts w:ascii="Times New Roman" w:hAnsi="Times New Roman"/>
                      <w:b/>
                    </w:rPr>
                    <w:t>投入</w:t>
                  </w:r>
                </w:p>
              </w:tc>
              <w:tc>
                <w:tcPr>
                  <w:tcW w:w="2435" w:type="pct"/>
                  <w:gridSpan w:val="2"/>
                  <w:vAlign w:val="center"/>
                </w:tcPr>
                <w:p>
                  <w:pPr>
                    <w:pStyle w:val="64"/>
                    <w:snapToGrid w:val="0"/>
                    <w:rPr>
                      <w:rFonts w:ascii="Times New Roman" w:hAnsi="Times New Roman"/>
                      <w:b/>
                    </w:rPr>
                  </w:pPr>
                  <w:r>
                    <w:rPr>
                      <w:rFonts w:ascii="Times New Roman" w:hAnsi="Times New Roman"/>
                      <w:b/>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63" w:type="pct"/>
                  <w:vMerge w:val="restart"/>
                  <w:vAlign w:val="center"/>
                </w:tcPr>
                <w:p>
                  <w:pPr>
                    <w:spacing w:line="360" w:lineRule="exact"/>
                    <w:jc w:val="center"/>
                    <w:rPr>
                      <w:szCs w:val="21"/>
                    </w:rPr>
                  </w:pPr>
                  <w:r>
                    <w:rPr>
                      <w:rFonts w:eastAsiaTheme="minorEastAsia"/>
                      <w:b/>
                      <w:bCs/>
                      <w:spacing w:val="-5"/>
                      <w:w w:val="101"/>
                      <w:szCs w:val="21"/>
                    </w:rPr>
                    <w:t>蒸压砖生产线</w:t>
                  </w:r>
                </w:p>
              </w:tc>
              <w:tc>
                <w:tcPr>
                  <w:tcW w:w="963" w:type="pct"/>
                  <w:vAlign w:val="center"/>
                </w:tcPr>
                <w:p>
                  <w:pPr>
                    <w:spacing w:line="360" w:lineRule="exact"/>
                    <w:jc w:val="center"/>
                    <w:rPr>
                      <w:szCs w:val="21"/>
                    </w:rPr>
                  </w:pPr>
                  <w:r>
                    <w:rPr>
                      <w:rFonts w:eastAsiaTheme="minorEastAsia"/>
                      <w:spacing w:val="-5"/>
                      <w:w w:val="101"/>
                      <w:szCs w:val="21"/>
                    </w:rPr>
                    <w:t>干渣</w:t>
                  </w:r>
                </w:p>
              </w:tc>
              <w:tc>
                <w:tcPr>
                  <w:tcW w:w="639" w:type="pct"/>
                  <w:vAlign w:val="center"/>
                </w:tcPr>
                <w:p>
                  <w:pPr>
                    <w:pStyle w:val="64"/>
                    <w:snapToGrid w:val="0"/>
                    <w:rPr>
                      <w:rFonts w:ascii="Times New Roman" w:hAnsi="Times New Roman"/>
                    </w:rPr>
                  </w:pPr>
                  <w:r>
                    <w:rPr>
                      <w:rFonts w:ascii="Times New Roman" w:hAnsi="Times New Roman"/>
                    </w:rPr>
                    <w:t>83100</w:t>
                  </w:r>
                </w:p>
              </w:tc>
              <w:tc>
                <w:tcPr>
                  <w:tcW w:w="1380" w:type="pct"/>
                  <w:vMerge w:val="restart"/>
                  <w:vAlign w:val="center"/>
                </w:tcPr>
                <w:p>
                  <w:pPr>
                    <w:pStyle w:val="64"/>
                    <w:snapToGrid w:val="0"/>
                    <w:rPr>
                      <w:rFonts w:ascii="Times New Roman" w:hAnsi="Times New Roman"/>
                    </w:rPr>
                  </w:pPr>
                  <w:r>
                    <w:rPr>
                      <w:rFonts w:ascii="Times New Roman" w:hAnsi="Times New Roman"/>
                    </w:rPr>
                    <w:t>轻质建筑材料</w:t>
                  </w:r>
                  <w:r>
                    <w:rPr>
                      <w:rFonts w:ascii="Times New Roman" w:hAnsi="Times New Roman" w:eastAsiaTheme="minorEastAsia"/>
                      <w:b/>
                      <w:bCs/>
                      <w:spacing w:val="-5"/>
                      <w:w w:val="101"/>
                    </w:rPr>
                    <w:t>蒸压砖</w:t>
                  </w:r>
                </w:p>
              </w:tc>
              <w:tc>
                <w:tcPr>
                  <w:tcW w:w="1055" w:type="pct"/>
                  <w:vMerge w:val="restart"/>
                  <w:vAlign w:val="center"/>
                </w:tcPr>
                <w:p>
                  <w:pPr>
                    <w:widowControl/>
                    <w:jc w:val="center"/>
                    <w:rPr>
                      <w:kern w:val="0"/>
                      <w:sz w:val="24"/>
                    </w:rPr>
                  </w:pPr>
                  <w:r>
                    <w:rPr>
                      <w:kern w:val="0"/>
                      <w:sz w:val="24"/>
                    </w:rPr>
                    <w:t>89700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63" w:type="pct"/>
                  <w:vMerge w:val="continue"/>
                  <w:vAlign w:val="center"/>
                </w:tcPr>
                <w:p>
                  <w:pPr>
                    <w:spacing w:line="360" w:lineRule="exact"/>
                    <w:jc w:val="center"/>
                    <w:rPr>
                      <w:szCs w:val="21"/>
                    </w:rPr>
                  </w:pPr>
                </w:p>
              </w:tc>
              <w:tc>
                <w:tcPr>
                  <w:tcW w:w="963" w:type="pct"/>
                  <w:vAlign w:val="center"/>
                </w:tcPr>
                <w:p>
                  <w:pPr>
                    <w:spacing w:line="360" w:lineRule="exact"/>
                    <w:jc w:val="center"/>
                    <w:rPr>
                      <w:szCs w:val="21"/>
                    </w:rPr>
                  </w:pPr>
                  <w:r>
                    <w:rPr>
                      <w:szCs w:val="21"/>
                    </w:rPr>
                    <w:t>水泥</w:t>
                  </w:r>
                </w:p>
              </w:tc>
              <w:tc>
                <w:tcPr>
                  <w:tcW w:w="639" w:type="pct"/>
                  <w:vAlign w:val="center"/>
                </w:tcPr>
                <w:p>
                  <w:pPr>
                    <w:pStyle w:val="64"/>
                    <w:snapToGrid w:val="0"/>
                    <w:rPr>
                      <w:rFonts w:ascii="Times New Roman" w:hAnsi="Times New Roman"/>
                    </w:rPr>
                  </w:pPr>
                  <w:r>
                    <w:rPr>
                      <w:rFonts w:ascii="Times New Roman" w:hAnsi="Times New Roman"/>
                    </w:rPr>
                    <w:t>9230</w:t>
                  </w:r>
                </w:p>
              </w:tc>
              <w:tc>
                <w:tcPr>
                  <w:tcW w:w="1380" w:type="pct"/>
                  <w:vMerge w:val="continue"/>
                  <w:vAlign w:val="center"/>
                </w:tcPr>
                <w:p>
                  <w:pPr>
                    <w:pStyle w:val="64"/>
                    <w:snapToGrid w:val="0"/>
                    <w:rPr>
                      <w:rFonts w:ascii="Times New Roman" w:hAnsi="Times New Roman"/>
                    </w:rPr>
                  </w:pPr>
                </w:p>
              </w:tc>
              <w:tc>
                <w:tcPr>
                  <w:tcW w:w="1055" w:type="pct"/>
                  <w:vMerge w:val="continue"/>
                  <w:vAlign w:val="center"/>
                </w:tcPr>
                <w:p>
                  <w:pPr>
                    <w:pStyle w:val="64"/>
                    <w:snapToGri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63" w:type="pct"/>
                  <w:vMerge w:val="restart"/>
                  <w:vAlign w:val="center"/>
                </w:tcPr>
                <w:p>
                  <w:pPr>
                    <w:spacing w:line="360" w:lineRule="exact"/>
                    <w:jc w:val="center"/>
                    <w:rPr>
                      <w:szCs w:val="21"/>
                    </w:rPr>
                  </w:pPr>
                  <w:r>
                    <w:rPr>
                      <w:rFonts w:eastAsiaTheme="minorEastAsia"/>
                      <w:b/>
                      <w:bCs/>
                      <w:spacing w:val="-5"/>
                      <w:w w:val="101"/>
                      <w:szCs w:val="21"/>
                    </w:rPr>
                    <w:t>蒸养砖生产线</w:t>
                  </w:r>
                </w:p>
              </w:tc>
              <w:tc>
                <w:tcPr>
                  <w:tcW w:w="963" w:type="pct"/>
                  <w:vAlign w:val="center"/>
                </w:tcPr>
                <w:p>
                  <w:pPr>
                    <w:spacing w:line="360" w:lineRule="exact"/>
                    <w:jc w:val="center"/>
                    <w:rPr>
                      <w:szCs w:val="21"/>
                    </w:rPr>
                  </w:pPr>
                  <w:r>
                    <w:rPr>
                      <w:szCs w:val="21"/>
                    </w:rPr>
                    <w:t>建筑垃圾</w:t>
                  </w:r>
                </w:p>
              </w:tc>
              <w:tc>
                <w:tcPr>
                  <w:tcW w:w="639" w:type="pct"/>
                  <w:vAlign w:val="center"/>
                </w:tcPr>
                <w:p>
                  <w:pPr>
                    <w:pStyle w:val="64"/>
                    <w:snapToGrid w:val="0"/>
                    <w:rPr>
                      <w:rFonts w:ascii="Times New Roman" w:hAnsi="Times New Roman"/>
                    </w:rPr>
                  </w:pPr>
                  <w:r>
                    <w:rPr>
                      <w:rFonts w:ascii="Times New Roman" w:hAnsi="Times New Roman"/>
                    </w:rPr>
                    <w:t>13500</w:t>
                  </w:r>
                </w:p>
              </w:tc>
              <w:tc>
                <w:tcPr>
                  <w:tcW w:w="1380" w:type="pct"/>
                  <w:vMerge w:val="restart"/>
                  <w:vAlign w:val="center"/>
                </w:tcPr>
                <w:p>
                  <w:pPr>
                    <w:pStyle w:val="64"/>
                    <w:snapToGrid w:val="0"/>
                    <w:rPr>
                      <w:rFonts w:ascii="Times New Roman" w:hAnsi="Times New Roman"/>
                    </w:rPr>
                  </w:pPr>
                  <w:r>
                    <w:rPr>
                      <w:rFonts w:ascii="Times New Roman" w:hAnsi="Times New Roman"/>
                    </w:rPr>
                    <w:t>轻质建筑材料</w:t>
                  </w:r>
                  <w:r>
                    <w:rPr>
                      <w:rFonts w:ascii="Times New Roman" w:hAnsi="Times New Roman" w:eastAsiaTheme="minorEastAsia"/>
                      <w:b/>
                      <w:bCs/>
                      <w:spacing w:val="-5"/>
                      <w:w w:val="101"/>
                    </w:rPr>
                    <w:t>蒸养砖</w:t>
                  </w:r>
                </w:p>
              </w:tc>
              <w:tc>
                <w:tcPr>
                  <w:tcW w:w="1055" w:type="pct"/>
                  <w:vMerge w:val="restart"/>
                  <w:vAlign w:val="center"/>
                </w:tcPr>
                <w:p>
                  <w:pPr>
                    <w:pStyle w:val="64"/>
                    <w:snapToGrid w:val="0"/>
                    <w:rPr>
                      <w:rFonts w:ascii="Times New Roman" w:hAnsi="Times New Roman"/>
                    </w:rPr>
                  </w:pPr>
                  <w:r>
                    <w:rPr>
                      <w:rFonts w:ascii="Times New Roman" w:hAnsi="Times New Roman"/>
                    </w:rPr>
                    <w:t>29600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pPr>
                    <w:spacing w:line="360" w:lineRule="exact"/>
                    <w:jc w:val="center"/>
                    <w:rPr>
                      <w:szCs w:val="21"/>
                    </w:rPr>
                  </w:pPr>
                </w:p>
              </w:tc>
              <w:tc>
                <w:tcPr>
                  <w:tcW w:w="963" w:type="pct"/>
                  <w:vAlign w:val="center"/>
                </w:tcPr>
                <w:p>
                  <w:pPr>
                    <w:spacing w:line="360" w:lineRule="exact"/>
                    <w:jc w:val="center"/>
                    <w:rPr>
                      <w:szCs w:val="21"/>
                    </w:rPr>
                  </w:pPr>
                  <w:r>
                    <w:rPr>
                      <w:szCs w:val="21"/>
                    </w:rPr>
                    <w:t>水泥</w:t>
                  </w:r>
                </w:p>
              </w:tc>
              <w:tc>
                <w:tcPr>
                  <w:tcW w:w="639" w:type="pct"/>
                  <w:vAlign w:val="center"/>
                </w:tcPr>
                <w:p>
                  <w:pPr>
                    <w:pStyle w:val="64"/>
                    <w:snapToGrid w:val="0"/>
                    <w:rPr>
                      <w:rFonts w:ascii="Times New Roman" w:hAnsi="Times New Roman"/>
                    </w:rPr>
                  </w:pPr>
                  <w:r>
                    <w:rPr>
                      <w:rFonts w:ascii="Times New Roman" w:hAnsi="Times New Roman"/>
                    </w:rPr>
                    <w:t>4500</w:t>
                  </w:r>
                </w:p>
              </w:tc>
              <w:tc>
                <w:tcPr>
                  <w:tcW w:w="1380" w:type="pct"/>
                  <w:vMerge w:val="continue"/>
                  <w:vAlign w:val="center"/>
                </w:tcPr>
                <w:p>
                  <w:pPr>
                    <w:pStyle w:val="64"/>
                    <w:snapToGrid w:val="0"/>
                    <w:rPr>
                      <w:rFonts w:ascii="Times New Roman" w:hAnsi="Times New Roman"/>
                    </w:rPr>
                  </w:pPr>
                </w:p>
              </w:tc>
              <w:tc>
                <w:tcPr>
                  <w:tcW w:w="1055" w:type="pct"/>
                  <w:vMerge w:val="continue"/>
                  <w:vAlign w:val="center"/>
                </w:tcPr>
                <w:p>
                  <w:pPr>
                    <w:pStyle w:val="64"/>
                    <w:snapToGri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pPr>
                    <w:spacing w:line="360" w:lineRule="exact"/>
                    <w:jc w:val="center"/>
                    <w:rPr>
                      <w:szCs w:val="21"/>
                    </w:rPr>
                  </w:pPr>
                </w:p>
              </w:tc>
              <w:tc>
                <w:tcPr>
                  <w:tcW w:w="963" w:type="pct"/>
                  <w:vAlign w:val="center"/>
                </w:tcPr>
                <w:p>
                  <w:pPr>
                    <w:spacing w:line="360" w:lineRule="exact"/>
                    <w:jc w:val="center"/>
                    <w:rPr>
                      <w:szCs w:val="21"/>
                    </w:rPr>
                  </w:pPr>
                  <w:r>
                    <w:rPr>
                      <w:szCs w:val="21"/>
                    </w:rPr>
                    <w:t>粉煤灰</w:t>
                  </w:r>
                </w:p>
              </w:tc>
              <w:tc>
                <w:tcPr>
                  <w:tcW w:w="639" w:type="pct"/>
                  <w:vAlign w:val="center"/>
                </w:tcPr>
                <w:p>
                  <w:pPr>
                    <w:pStyle w:val="64"/>
                    <w:snapToGrid w:val="0"/>
                    <w:rPr>
                      <w:rFonts w:ascii="Times New Roman" w:hAnsi="Times New Roman"/>
                    </w:rPr>
                  </w:pPr>
                  <w:r>
                    <w:rPr>
                      <w:rFonts w:ascii="Times New Roman" w:hAnsi="Times New Roman"/>
                    </w:rPr>
                    <w:t>2250</w:t>
                  </w:r>
                </w:p>
              </w:tc>
              <w:tc>
                <w:tcPr>
                  <w:tcW w:w="1380" w:type="pct"/>
                  <w:vMerge w:val="continue"/>
                  <w:vAlign w:val="center"/>
                </w:tcPr>
                <w:p>
                  <w:pPr>
                    <w:pStyle w:val="64"/>
                    <w:snapToGrid w:val="0"/>
                    <w:rPr>
                      <w:rFonts w:ascii="Times New Roman" w:hAnsi="Times New Roman"/>
                    </w:rPr>
                  </w:pPr>
                </w:p>
              </w:tc>
              <w:tc>
                <w:tcPr>
                  <w:tcW w:w="1055" w:type="pct"/>
                  <w:vMerge w:val="continue"/>
                  <w:vAlign w:val="center"/>
                </w:tcPr>
                <w:p>
                  <w:pPr>
                    <w:pStyle w:val="64"/>
                    <w:snapToGri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pPr>
                    <w:spacing w:line="360" w:lineRule="exact"/>
                    <w:jc w:val="center"/>
                    <w:rPr>
                      <w:szCs w:val="21"/>
                    </w:rPr>
                  </w:pPr>
                </w:p>
              </w:tc>
              <w:tc>
                <w:tcPr>
                  <w:tcW w:w="963" w:type="pct"/>
                  <w:vAlign w:val="center"/>
                </w:tcPr>
                <w:p>
                  <w:pPr>
                    <w:spacing w:line="360" w:lineRule="exact"/>
                    <w:jc w:val="center"/>
                    <w:rPr>
                      <w:szCs w:val="21"/>
                    </w:rPr>
                  </w:pPr>
                  <w:r>
                    <w:rPr>
                      <w:szCs w:val="21"/>
                    </w:rPr>
                    <w:t>石灰块</w:t>
                  </w:r>
                </w:p>
              </w:tc>
              <w:tc>
                <w:tcPr>
                  <w:tcW w:w="639" w:type="pct"/>
                  <w:vAlign w:val="center"/>
                </w:tcPr>
                <w:p>
                  <w:pPr>
                    <w:pStyle w:val="64"/>
                    <w:snapToGrid w:val="0"/>
                    <w:rPr>
                      <w:rFonts w:ascii="Times New Roman" w:hAnsi="Times New Roman"/>
                    </w:rPr>
                  </w:pPr>
                  <w:r>
                    <w:rPr>
                      <w:rFonts w:ascii="Times New Roman" w:hAnsi="Times New Roman"/>
                    </w:rPr>
                    <w:t>2250</w:t>
                  </w:r>
                </w:p>
              </w:tc>
              <w:tc>
                <w:tcPr>
                  <w:tcW w:w="1380" w:type="pct"/>
                  <w:vMerge w:val="continue"/>
                  <w:vAlign w:val="center"/>
                </w:tcPr>
                <w:p>
                  <w:pPr>
                    <w:pStyle w:val="64"/>
                    <w:snapToGrid w:val="0"/>
                    <w:rPr>
                      <w:rFonts w:ascii="Times New Roman" w:hAnsi="Times New Roman"/>
                    </w:rPr>
                  </w:pPr>
                </w:p>
              </w:tc>
              <w:tc>
                <w:tcPr>
                  <w:tcW w:w="1055" w:type="pct"/>
                  <w:vMerge w:val="continue"/>
                  <w:vAlign w:val="center"/>
                </w:tcPr>
                <w:p>
                  <w:pPr>
                    <w:pStyle w:val="64"/>
                    <w:snapToGri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pPr>
                    <w:spacing w:line="360" w:lineRule="exact"/>
                    <w:jc w:val="center"/>
                    <w:rPr>
                      <w:szCs w:val="21"/>
                    </w:rPr>
                  </w:pPr>
                </w:p>
              </w:tc>
              <w:tc>
                <w:tcPr>
                  <w:tcW w:w="963" w:type="pct"/>
                  <w:vAlign w:val="center"/>
                </w:tcPr>
                <w:p>
                  <w:pPr>
                    <w:spacing w:line="360" w:lineRule="exact"/>
                    <w:jc w:val="center"/>
                    <w:rPr>
                      <w:szCs w:val="21"/>
                    </w:rPr>
                  </w:pPr>
                  <w:r>
                    <w:rPr>
                      <w:szCs w:val="21"/>
                    </w:rPr>
                    <w:t>碎石</w:t>
                  </w:r>
                </w:p>
              </w:tc>
              <w:tc>
                <w:tcPr>
                  <w:tcW w:w="639" w:type="pct"/>
                  <w:vAlign w:val="center"/>
                </w:tcPr>
                <w:p>
                  <w:pPr>
                    <w:pStyle w:val="64"/>
                    <w:snapToGrid w:val="0"/>
                    <w:rPr>
                      <w:rFonts w:ascii="Times New Roman" w:hAnsi="Times New Roman"/>
                    </w:rPr>
                  </w:pPr>
                  <w:r>
                    <w:rPr>
                      <w:rFonts w:ascii="Times New Roman" w:hAnsi="Times New Roman"/>
                    </w:rPr>
                    <w:t>4500</w:t>
                  </w:r>
                </w:p>
              </w:tc>
              <w:tc>
                <w:tcPr>
                  <w:tcW w:w="1380" w:type="pct"/>
                  <w:vMerge w:val="continue"/>
                  <w:vAlign w:val="center"/>
                </w:tcPr>
                <w:p>
                  <w:pPr>
                    <w:pStyle w:val="64"/>
                    <w:snapToGrid w:val="0"/>
                    <w:rPr>
                      <w:rFonts w:ascii="Times New Roman" w:hAnsi="Times New Roman"/>
                    </w:rPr>
                  </w:pPr>
                </w:p>
              </w:tc>
              <w:tc>
                <w:tcPr>
                  <w:tcW w:w="1055" w:type="pct"/>
                  <w:vMerge w:val="continue"/>
                  <w:vAlign w:val="center"/>
                </w:tcPr>
                <w:p>
                  <w:pPr>
                    <w:pStyle w:val="64"/>
                    <w:snapToGri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63" w:type="pct"/>
                  <w:vAlign w:val="center"/>
                </w:tcPr>
                <w:p>
                  <w:pPr>
                    <w:pStyle w:val="64"/>
                    <w:snapToGrid w:val="0"/>
                    <w:rPr>
                      <w:rFonts w:ascii="Times New Roman" w:hAnsi="Times New Roman"/>
                    </w:rPr>
                  </w:pPr>
                  <w:r>
                    <w:rPr>
                      <w:rFonts w:ascii="Times New Roman" w:hAnsi="Times New Roman"/>
                    </w:rPr>
                    <w:t>/</w:t>
                  </w:r>
                </w:p>
              </w:tc>
              <w:tc>
                <w:tcPr>
                  <w:tcW w:w="963" w:type="pct"/>
                  <w:vAlign w:val="center"/>
                </w:tcPr>
                <w:p>
                  <w:pPr>
                    <w:pStyle w:val="64"/>
                    <w:snapToGrid w:val="0"/>
                    <w:rPr>
                      <w:rFonts w:ascii="Times New Roman" w:hAnsi="Times New Roman"/>
                    </w:rPr>
                  </w:pPr>
                  <w:r>
                    <w:rPr>
                      <w:rFonts w:ascii="Times New Roman" w:hAnsi="Times New Roman"/>
                    </w:rPr>
                    <w:t>/</w:t>
                  </w:r>
                </w:p>
              </w:tc>
              <w:tc>
                <w:tcPr>
                  <w:tcW w:w="639" w:type="pct"/>
                  <w:vAlign w:val="center"/>
                </w:tcPr>
                <w:p>
                  <w:pPr>
                    <w:widowControl/>
                    <w:jc w:val="center"/>
                    <w:rPr>
                      <w:kern w:val="0"/>
                      <w:sz w:val="24"/>
                    </w:rPr>
                  </w:pPr>
                  <w:r>
                    <w:t>119330</w:t>
                  </w:r>
                </w:p>
              </w:tc>
              <w:tc>
                <w:tcPr>
                  <w:tcW w:w="1380" w:type="pct"/>
                  <w:vAlign w:val="center"/>
                </w:tcPr>
                <w:p>
                  <w:pPr>
                    <w:pStyle w:val="64"/>
                    <w:snapToGrid w:val="0"/>
                    <w:rPr>
                      <w:rFonts w:ascii="Times New Roman" w:hAnsi="Times New Roman"/>
                    </w:rPr>
                  </w:pPr>
                  <w:r>
                    <w:rPr>
                      <w:rFonts w:ascii="Times New Roman" w:hAnsi="Times New Roman"/>
                    </w:rPr>
                    <w:t>排入大气粉尘</w:t>
                  </w:r>
                </w:p>
              </w:tc>
              <w:tc>
                <w:tcPr>
                  <w:tcW w:w="1055" w:type="pct"/>
                  <w:vAlign w:val="center"/>
                </w:tcPr>
                <w:p>
                  <w:pPr>
                    <w:pStyle w:val="64"/>
                    <w:snapToGrid w:val="0"/>
                    <w:rPr>
                      <w:rFonts w:ascii="Times New Roman" w:hAnsi="Times New Roman"/>
                    </w:rPr>
                  </w:pPr>
                  <w:r>
                    <w:rPr>
                      <w:rFonts w:ascii="Times New Roman" w:hAnsi="Times New Roman"/>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63" w:type="pct"/>
                  <w:vAlign w:val="center"/>
                </w:tcPr>
                <w:p>
                  <w:pPr>
                    <w:pStyle w:val="64"/>
                    <w:snapToGrid w:val="0"/>
                    <w:rPr>
                      <w:rFonts w:ascii="Times New Roman" w:hAnsi="Times New Roman"/>
                    </w:rPr>
                  </w:pPr>
                  <w:r>
                    <w:rPr>
                      <w:rFonts w:ascii="Times New Roman" w:hAnsi="Times New Roman"/>
                    </w:rPr>
                    <w:t>/</w:t>
                  </w:r>
                </w:p>
              </w:tc>
              <w:tc>
                <w:tcPr>
                  <w:tcW w:w="963" w:type="pct"/>
                  <w:vAlign w:val="center"/>
                </w:tcPr>
                <w:p>
                  <w:pPr>
                    <w:pStyle w:val="64"/>
                    <w:snapToGrid w:val="0"/>
                    <w:rPr>
                      <w:rFonts w:ascii="Times New Roman" w:hAnsi="Times New Roman"/>
                    </w:rPr>
                  </w:pPr>
                </w:p>
              </w:tc>
              <w:tc>
                <w:tcPr>
                  <w:tcW w:w="639" w:type="pct"/>
                  <w:vAlign w:val="center"/>
                </w:tcPr>
                <w:p>
                  <w:pPr>
                    <w:pStyle w:val="64"/>
                    <w:snapToGrid w:val="0"/>
                    <w:rPr>
                      <w:rFonts w:ascii="Times New Roman" w:hAnsi="Times New Roman"/>
                    </w:rPr>
                  </w:pPr>
                  <w:r>
                    <w:rPr>
                      <w:rFonts w:ascii="Times New Roman" w:hAnsi="Times New Roman"/>
                    </w:rPr>
                    <w:t>/</w:t>
                  </w:r>
                </w:p>
              </w:tc>
              <w:tc>
                <w:tcPr>
                  <w:tcW w:w="1380" w:type="pct"/>
                  <w:vAlign w:val="center"/>
                </w:tcPr>
                <w:p>
                  <w:pPr>
                    <w:pStyle w:val="64"/>
                    <w:snapToGrid w:val="0"/>
                    <w:rPr>
                      <w:rFonts w:ascii="Times New Roman" w:hAnsi="Times New Roman"/>
                    </w:rPr>
                  </w:pPr>
                  <w:r>
                    <w:rPr>
                      <w:rFonts w:ascii="Times New Roman" w:hAnsi="Times New Roman"/>
                    </w:rPr>
                    <w:t>废砖</w:t>
                  </w:r>
                  <w:r>
                    <w:rPr>
                      <w:rFonts w:hint="eastAsia" w:ascii="Times New Roman" w:hAnsi="Times New Roman"/>
                    </w:rPr>
                    <w:t>及布袋除尘器粉尘</w:t>
                  </w:r>
                </w:p>
              </w:tc>
              <w:tc>
                <w:tcPr>
                  <w:tcW w:w="1055" w:type="pct"/>
                  <w:vAlign w:val="center"/>
                </w:tcPr>
                <w:p>
                  <w:pPr>
                    <w:pStyle w:val="64"/>
                    <w:snapToGrid w:val="0"/>
                    <w:rPr>
                      <w:rFonts w:ascii="Times New Roman" w:hAnsi="Times New Roman"/>
                    </w:rPr>
                  </w:pPr>
                  <w:r>
                    <w:rPr>
                      <w:rFonts w:ascii="Times New Roman" w:hAnsi="Times New Roman"/>
                    </w:rPr>
                    <w:t>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3" w:type="pct"/>
                  <w:vAlign w:val="center"/>
                </w:tcPr>
                <w:p>
                  <w:pPr>
                    <w:pStyle w:val="64"/>
                    <w:snapToGrid w:val="0"/>
                    <w:rPr>
                      <w:rFonts w:ascii="Times New Roman" w:hAnsi="Times New Roman"/>
                    </w:rPr>
                  </w:pPr>
                  <w:r>
                    <w:rPr>
                      <w:rFonts w:ascii="Times New Roman" w:hAnsi="Times New Roman"/>
                    </w:rPr>
                    <w:t>合计</w:t>
                  </w:r>
                </w:p>
              </w:tc>
              <w:tc>
                <w:tcPr>
                  <w:tcW w:w="963" w:type="pct"/>
                  <w:vAlign w:val="center"/>
                </w:tcPr>
                <w:p>
                  <w:pPr>
                    <w:pStyle w:val="64"/>
                    <w:snapToGrid w:val="0"/>
                    <w:rPr>
                      <w:rFonts w:ascii="Times New Roman" w:hAnsi="Times New Roman"/>
                    </w:rPr>
                  </w:pPr>
                  <w:r>
                    <w:rPr>
                      <w:rFonts w:ascii="Times New Roman" w:hAnsi="Times New Roman"/>
                    </w:rPr>
                    <w:t>/</w:t>
                  </w:r>
                </w:p>
              </w:tc>
              <w:tc>
                <w:tcPr>
                  <w:tcW w:w="639" w:type="pct"/>
                  <w:vAlign w:val="center"/>
                </w:tcPr>
                <w:p>
                  <w:pPr>
                    <w:pStyle w:val="64"/>
                    <w:snapToGrid w:val="0"/>
                    <w:rPr>
                      <w:rFonts w:ascii="Times New Roman" w:hAnsi="Times New Roman"/>
                    </w:rPr>
                  </w:pPr>
                  <w:r>
                    <w:rPr>
                      <w:rFonts w:ascii="Times New Roman" w:hAnsi="Times New Roman"/>
                    </w:rPr>
                    <w:t>119330</w:t>
                  </w:r>
                </w:p>
              </w:tc>
              <w:tc>
                <w:tcPr>
                  <w:tcW w:w="1380" w:type="pct"/>
                  <w:vAlign w:val="center"/>
                </w:tcPr>
                <w:p>
                  <w:pPr>
                    <w:pStyle w:val="64"/>
                    <w:snapToGrid w:val="0"/>
                    <w:rPr>
                      <w:rFonts w:ascii="Times New Roman" w:hAnsi="Times New Roman"/>
                    </w:rPr>
                  </w:pPr>
                  <w:r>
                    <w:rPr>
                      <w:rFonts w:ascii="Times New Roman" w:hAnsi="Times New Roman"/>
                    </w:rPr>
                    <w:t>合计</w:t>
                  </w:r>
                </w:p>
              </w:tc>
              <w:tc>
                <w:tcPr>
                  <w:tcW w:w="1055" w:type="pct"/>
                  <w:vAlign w:val="center"/>
                </w:tcPr>
                <w:p>
                  <w:pPr>
                    <w:pStyle w:val="64"/>
                    <w:snapToGrid w:val="0"/>
                    <w:rPr>
                      <w:rFonts w:ascii="Times New Roman" w:hAnsi="Times New Roman"/>
                    </w:rPr>
                  </w:pPr>
                  <w:r>
                    <w:rPr>
                      <w:rFonts w:ascii="Times New Roman" w:hAnsi="Times New Roman"/>
                    </w:rPr>
                    <w:t>119330</w:t>
                  </w:r>
                </w:p>
              </w:tc>
            </w:tr>
          </w:tbl>
          <w:p>
            <w:pPr>
              <w:pStyle w:val="62"/>
              <w:spacing w:before="120" w:beforeLines="50"/>
              <w:ind w:firstLine="0"/>
              <w:rPr>
                <w:rFonts w:ascii="Times New Roman" w:hAnsi="Times New Roman"/>
                <w:b/>
              </w:rPr>
            </w:pPr>
            <w:r>
              <w:rPr>
                <w:rFonts w:ascii="Times New Roman" w:hAnsi="Times New Roman"/>
                <w:b/>
              </w:rPr>
              <w:t>7、劳动定员</w:t>
            </w:r>
          </w:p>
          <w:p>
            <w:pPr>
              <w:pStyle w:val="62"/>
              <w:adjustRightInd/>
              <w:ind w:firstLine="480" w:firstLineChars="200"/>
              <w:rPr>
                <w:rFonts w:ascii="Times New Roman" w:hAnsi="Times New Roman"/>
                <w:bCs w:val="0"/>
              </w:rPr>
            </w:pPr>
            <w:r>
              <w:rPr>
                <w:rFonts w:ascii="Times New Roman" w:hAnsi="Times New Roman"/>
                <w:bCs w:val="0"/>
              </w:rPr>
              <w:t>项目</w:t>
            </w:r>
            <w:r>
              <w:rPr>
                <w:rFonts w:hint="eastAsia" w:ascii="Times New Roman" w:hAnsi="Times New Roman"/>
                <w:bCs w:val="0"/>
              </w:rPr>
              <w:t>原有员工1</w:t>
            </w:r>
            <w:r>
              <w:rPr>
                <w:rFonts w:ascii="Times New Roman" w:hAnsi="Times New Roman"/>
                <w:bCs w:val="0"/>
              </w:rPr>
              <w:t>5</w:t>
            </w:r>
            <w:r>
              <w:rPr>
                <w:rFonts w:hint="eastAsia" w:ascii="Times New Roman" w:hAnsi="Times New Roman"/>
                <w:bCs w:val="0"/>
              </w:rPr>
              <w:t>人，新增1</w:t>
            </w:r>
            <w:r>
              <w:rPr>
                <w:rFonts w:ascii="Times New Roman" w:hAnsi="Times New Roman"/>
                <w:bCs w:val="0"/>
              </w:rPr>
              <w:t>3</w:t>
            </w:r>
            <w:r>
              <w:rPr>
                <w:rFonts w:hint="eastAsia" w:ascii="Times New Roman" w:hAnsi="Times New Roman"/>
                <w:bCs w:val="0"/>
              </w:rPr>
              <w:t>人，</w:t>
            </w:r>
            <w:r>
              <w:rPr>
                <w:rFonts w:ascii="Times New Roman" w:hAnsi="Times New Roman"/>
                <w:bCs w:val="0"/>
              </w:rPr>
              <w:t>员工共28人，采用8小时工作制，夜间不生产，年生产300天。</w:t>
            </w:r>
          </w:p>
          <w:p>
            <w:pPr>
              <w:pStyle w:val="62"/>
              <w:ind w:firstLine="0"/>
              <w:rPr>
                <w:rFonts w:ascii="Times New Roman" w:hAnsi="Times New Roman"/>
                <w:b/>
              </w:rPr>
            </w:pPr>
            <w:r>
              <w:rPr>
                <w:rFonts w:ascii="Times New Roman" w:hAnsi="Times New Roman"/>
                <w:b/>
              </w:rPr>
              <w:t>8、公用工程及辅助设施</w:t>
            </w:r>
          </w:p>
          <w:p>
            <w:pPr>
              <w:pStyle w:val="62"/>
              <w:adjustRightInd/>
              <w:ind w:firstLine="482" w:firstLineChars="200"/>
              <w:rPr>
                <w:rFonts w:ascii="Times New Roman" w:hAnsi="Times New Roman"/>
                <w:b/>
              </w:rPr>
            </w:pPr>
            <w:r>
              <w:rPr>
                <w:rFonts w:ascii="Times New Roman" w:hAnsi="Times New Roman"/>
                <w:b/>
              </w:rPr>
              <w:t>8.1供水</w:t>
            </w:r>
          </w:p>
          <w:p>
            <w:pPr>
              <w:pStyle w:val="62"/>
              <w:adjustRightInd/>
              <w:ind w:firstLine="480" w:firstLineChars="200"/>
              <w:rPr>
                <w:rFonts w:ascii="Times New Roman" w:hAnsi="Times New Roman"/>
                <w:bCs w:val="0"/>
              </w:rPr>
            </w:pPr>
            <w:r>
              <w:rPr>
                <w:rFonts w:ascii="Times New Roman" w:hAnsi="Times New Roman"/>
                <w:bCs w:val="0"/>
              </w:rPr>
              <w:t>本项目供水由市政给水管网直接供给，主要包括生活用水、产品用水、喷雾降尘用水、切割机冲洗用水等。</w:t>
            </w:r>
          </w:p>
          <w:p>
            <w:pPr>
              <w:pStyle w:val="62"/>
              <w:adjustRightInd/>
              <w:ind w:firstLine="480" w:firstLineChars="200"/>
              <w:rPr>
                <w:rFonts w:ascii="Times New Roman" w:hAnsi="Times New Roman"/>
                <w:bCs w:val="0"/>
              </w:rPr>
            </w:pPr>
            <w:r>
              <w:rPr>
                <w:rFonts w:ascii="Times New Roman" w:hAnsi="Times New Roman"/>
                <w:bCs w:val="0"/>
              </w:rPr>
              <w:t>办公生活用水：项目建成后劳动定员28人，厂区内不设宿舍与食堂。结合《四川省用水定额》</w:t>
            </w:r>
            <w:r>
              <w:rPr>
                <w:rFonts w:ascii="Times New Roman" w:hAnsi="Times New Roman"/>
                <w:shd w:val="clear" w:color="auto" w:fill="FFFFFF"/>
              </w:rPr>
              <w:t>（川府函〔2021〕8号）</w:t>
            </w:r>
            <w:r>
              <w:rPr>
                <w:rFonts w:ascii="Times New Roman" w:hAnsi="Times New Roman"/>
                <w:bCs w:val="0"/>
              </w:rPr>
              <w:t>及项目实际情况，项目每人每天用水量按50L计，年工作300天，则项目生活用水量为1.4m</w:t>
            </w:r>
            <w:r>
              <w:rPr>
                <w:rFonts w:ascii="Times New Roman" w:hAnsi="Times New Roman"/>
                <w:bCs w:val="0"/>
                <w:vertAlign w:val="superscript"/>
              </w:rPr>
              <w:t>3</w:t>
            </w:r>
            <w:r>
              <w:rPr>
                <w:rFonts w:ascii="Times New Roman" w:hAnsi="Times New Roman"/>
                <w:bCs w:val="0"/>
              </w:rPr>
              <w:t>/d</w:t>
            </w:r>
            <w:bookmarkStart w:id="6" w:name="OLE_LINK3"/>
            <w:bookmarkStart w:id="7" w:name="OLE_LINK4"/>
            <w:r>
              <w:rPr>
                <w:rFonts w:ascii="Times New Roman" w:hAnsi="Times New Roman"/>
                <w:bCs w:val="0"/>
              </w:rPr>
              <w:t>，年用水量为420m</w:t>
            </w:r>
            <w:r>
              <w:rPr>
                <w:rFonts w:ascii="Times New Roman" w:hAnsi="Times New Roman"/>
                <w:bCs w:val="0"/>
                <w:vertAlign w:val="superscript"/>
              </w:rPr>
              <w:t>3</w:t>
            </w:r>
            <w:r>
              <w:rPr>
                <w:rFonts w:ascii="Times New Roman" w:hAnsi="Times New Roman"/>
                <w:bCs w:val="0"/>
              </w:rPr>
              <w:t>/a</w:t>
            </w:r>
            <w:bookmarkEnd w:id="6"/>
            <w:bookmarkEnd w:id="7"/>
            <w:r>
              <w:rPr>
                <w:rFonts w:ascii="Times New Roman" w:hAnsi="Times New Roman"/>
                <w:bCs w:val="0"/>
              </w:rPr>
              <w:t>。</w:t>
            </w:r>
          </w:p>
          <w:p>
            <w:pPr>
              <w:pStyle w:val="62"/>
              <w:adjustRightInd/>
              <w:ind w:firstLine="480" w:firstLineChars="200"/>
              <w:rPr>
                <w:rFonts w:ascii="Times New Roman" w:hAnsi="Times New Roman"/>
                <w:bCs w:val="0"/>
              </w:rPr>
            </w:pPr>
            <w:r>
              <w:rPr>
                <w:rFonts w:ascii="Times New Roman" w:hAnsi="Times New Roman"/>
                <w:bCs w:val="0"/>
              </w:rPr>
              <w:t>产品用水：参考</w:t>
            </w:r>
            <w:r>
              <w:rPr>
                <w:rFonts w:ascii="Times New Roman" w:hAnsi="Times New Roman"/>
              </w:rPr>
              <w:t>四川鸿乔再生资源利用有限公司的“鸿乔再生资源利用项目”及</w:t>
            </w:r>
            <w:r>
              <w:rPr>
                <w:rFonts w:ascii="Times New Roman" w:hAnsi="Times New Roman"/>
                <w:bCs w:val="0"/>
              </w:rPr>
              <w:t>同类型项目，项目产品用水约0.1879m</w:t>
            </w:r>
            <w:r>
              <w:rPr>
                <w:rFonts w:ascii="Times New Roman" w:hAnsi="Times New Roman"/>
                <w:bCs w:val="0"/>
                <w:vertAlign w:val="superscript"/>
              </w:rPr>
              <w:t>3</w:t>
            </w:r>
            <w:r>
              <w:rPr>
                <w:rFonts w:ascii="Times New Roman" w:hAnsi="Times New Roman"/>
                <w:bCs w:val="0"/>
              </w:rPr>
              <w:t>/ m</w:t>
            </w:r>
            <w:r>
              <w:rPr>
                <w:rFonts w:ascii="Times New Roman" w:hAnsi="Times New Roman"/>
                <w:bCs w:val="0"/>
                <w:vertAlign w:val="superscript"/>
              </w:rPr>
              <w:t>3</w:t>
            </w:r>
            <w:r>
              <w:rPr>
                <w:rFonts w:ascii="Times New Roman" w:hAnsi="Times New Roman"/>
                <w:bCs w:val="0"/>
              </w:rPr>
              <w:t>产品，项目年产轻质建材8万m</w:t>
            </w:r>
            <w:r>
              <w:rPr>
                <w:rFonts w:ascii="Times New Roman" w:hAnsi="Times New Roman"/>
                <w:bCs w:val="0"/>
                <w:vertAlign w:val="superscript"/>
              </w:rPr>
              <w:t>3</w:t>
            </w:r>
            <w:r>
              <w:rPr>
                <w:rFonts w:ascii="Times New Roman" w:hAnsi="Times New Roman"/>
                <w:bCs w:val="0"/>
              </w:rPr>
              <w:t>，因此项目生产用水量为15031.72m</w:t>
            </w:r>
            <w:r>
              <w:rPr>
                <w:rFonts w:ascii="Times New Roman" w:hAnsi="Times New Roman"/>
                <w:bCs w:val="0"/>
                <w:vertAlign w:val="superscript"/>
              </w:rPr>
              <w:t>3</w:t>
            </w:r>
            <w:r>
              <w:rPr>
                <w:rFonts w:ascii="Times New Roman" w:hAnsi="Times New Roman"/>
                <w:bCs w:val="0"/>
              </w:rPr>
              <w:t>/a，50.11 m</w:t>
            </w:r>
            <w:r>
              <w:rPr>
                <w:rFonts w:ascii="Times New Roman" w:hAnsi="Times New Roman"/>
                <w:bCs w:val="0"/>
                <w:vertAlign w:val="superscript"/>
              </w:rPr>
              <w:t>3</w:t>
            </w:r>
            <w:r>
              <w:rPr>
                <w:rFonts w:ascii="Times New Roman" w:hAnsi="Times New Roman"/>
                <w:bCs w:val="0"/>
              </w:rPr>
              <w:t>/d。</w:t>
            </w:r>
          </w:p>
          <w:p>
            <w:pPr>
              <w:pStyle w:val="62"/>
              <w:ind w:firstLine="480" w:firstLineChars="200"/>
              <w:rPr>
                <w:rFonts w:ascii="Times New Roman" w:hAnsi="Times New Roman"/>
                <w:bCs w:val="0"/>
              </w:rPr>
            </w:pPr>
            <w:r>
              <w:rPr>
                <w:rFonts w:ascii="Times New Roman" w:hAnsi="Times New Roman"/>
                <w:bCs w:val="0"/>
              </w:rPr>
              <w:t>蒸汽锅炉废水：根据建设单位提供蒸汽锅炉用水量为5m</w:t>
            </w:r>
            <w:r>
              <w:rPr>
                <w:rFonts w:ascii="Times New Roman" w:hAnsi="Times New Roman"/>
                <w:bCs w:val="0"/>
                <w:vertAlign w:val="superscript"/>
              </w:rPr>
              <w:t>3</w:t>
            </w:r>
            <w:r>
              <w:rPr>
                <w:rFonts w:ascii="Times New Roman" w:hAnsi="Times New Roman"/>
                <w:bCs w:val="0"/>
              </w:rPr>
              <w:t>/d，年用水量为1500m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切割</w:t>
            </w:r>
            <w:r>
              <w:rPr>
                <w:rFonts w:hint="eastAsia" w:ascii="Times New Roman" w:hAnsi="Times New Roman"/>
                <w:bCs w:val="0"/>
              </w:rPr>
              <w:t>边角料</w:t>
            </w:r>
            <w:r>
              <w:rPr>
                <w:rFonts w:ascii="Times New Roman" w:hAnsi="Times New Roman"/>
                <w:bCs w:val="0"/>
              </w:rPr>
              <w:t>冲洗用水：项目建筑材料在养护完成后通过切割机分割成特定的尺寸，切割边角料采用水冲洗方式进入沉淀池，根据建设单位提供，切割边角料冲洗用水量约为3m</w:t>
            </w:r>
            <w:r>
              <w:rPr>
                <w:rFonts w:ascii="Times New Roman" w:hAnsi="Times New Roman"/>
                <w:bCs w:val="0"/>
                <w:vertAlign w:val="superscript"/>
              </w:rPr>
              <w:t>3</w:t>
            </w:r>
            <w:r>
              <w:rPr>
                <w:rFonts w:ascii="Times New Roman" w:hAnsi="Times New Roman"/>
                <w:bCs w:val="0"/>
              </w:rPr>
              <w:t>/d，年用水量为900m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配料机冲洗用水：每天需对配料机进行冲洗1次，每次冲洗用水量以1.5m</w:t>
            </w:r>
            <w:r>
              <w:rPr>
                <w:rFonts w:ascii="Times New Roman" w:hAnsi="Times New Roman"/>
                <w:bCs w:val="0"/>
                <w:vertAlign w:val="superscript"/>
              </w:rPr>
              <w:t>3</w:t>
            </w:r>
            <w:r>
              <w:rPr>
                <w:rFonts w:ascii="Times New Roman" w:hAnsi="Times New Roman"/>
                <w:bCs w:val="0"/>
              </w:rPr>
              <w:t>计，因此，配料</w:t>
            </w:r>
            <w:r>
              <w:rPr>
                <w:rFonts w:hint="eastAsia" w:ascii="Times New Roman" w:hAnsi="Times New Roman"/>
                <w:bCs w:val="0"/>
                <w:lang w:eastAsia="zh-CN"/>
              </w:rPr>
              <w:t>机</w:t>
            </w:r>
            <w:r>
              <w:rPr>
                <w:rFonts w:ascii="Times New Roman" w:hAnsi="Times New Roman"/>
                <w:bCs w:val="0"/>
              </w:rPr>
              <w:t>冲洗用水量约为1.5m</w:t>
            </w:r>
            <w:r>
              <w:rPr>
                <w:rFonts w:ascii="Times New Roman" w:hAnsi="Times New Roman"/>
                <w:bCs w:val="0"/>
                <w:vertAlign w:val="superscript"/>
              </w:rPr>
              <w:t>3</w:t>
            </w:r>
            <w:r>
              <w:rPr>
                <w:rFonts w:ascii="Times New Roman" w:hAnsi="Times New Roman"/>
                <w:bCs w:val="0"/>
              </w:rPr>
              <w:t>/d，450m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道路降尘用水：项目设雾炮机</w:t>
            </w:r>
            <w:r>
              <w:rPr>
                <w:rFonts w:hint="eastAsia" w:ascii="Times New Roman" w:hAnsi="Times New Roman"/>
                <w:bCs w:val="0"/>
              </w:rPr>
              <w:t>对</w:t>
            </w:r>
            <w:r>
              <w:rPr>
                <w:rFonts w:ascii="Times New Roman" w:hAnsi="Times New Roman"/>
                <w:bCs w:val="0"/>
              </w:rPr>
              <w:t>道路进行降尘处理，用水量为1m</w:t>
            </w:r>
            <w:r>
              <w:rPr>
                <w:rFonts w:ascii="Times New Roman" w:hAnsi="Times New Roman"/>
                <w:bCs w:val="0"/>
                <w:vertAlign w:val="superscript"/>
              </w:rPr>
              <w:t>3</w:t>
            </w:r>
            <w:r>
              <w:rPr>
                <w:rFonts w:ascii="Times New Roman" w:hAnsi="Times New Roman"/>
                <w:bCs w:val="0"/>
              </w:rPr>
              <w:t>/d，年用水量为300m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车间冲洗用水：根据建设单位提供冲洗水约为2m</w:t>
            </w:r>
            <w:r>
              <w:rPr>
                <w:rFonts w:ascii="Times New Roman" w:hAnsi="Times New Roman"/>
                <w:bCs w:val="0"/>
                <w:vertAlign w:val="superscript"/>
              </w:rPr>
              <w:t>3</w:t>
            </w:r>
            <w:r>
              <w:rPr>
                <w:rFonts w:ascii="Times New Roman" w:hAnsi="Times New Roman"/>
                <w:bCs w:val="0"/>
              </w:rPr>
              <w:t>/d，年用水量为600m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车辆进出厂冲洗用水：根据建设单位提供冲洗水约为2m</w:t>
            </w:r>
            <w:r>
              <w:rPr>
                <w:rFonts w:ascii="Times New Roman" w:hAnsi="Times New Roman"/>
                <w:bCs w:val="0"/>
                <w:vertAlign w:val="superscript"/>
              </w:rPr>
              <w:t>3</w:t>
            </w:r>
            <w:r>
              <w:rPr>
                <w:rFonts w:ascii="Times New Roman" w:hAnsi="Times New Roman"/>
                <w:bCs w:val="0"/>
              </w:rPr>
              <w:t>/d，年用水量为600m</w:t>
            </w:r>
            <w:r>
              <w:rPr>
                <w:rFonts w:ascii="Times New Roman" w:hAnsi="Times New Roman"/>
                <w:bCs w:val="0"/>
                <w:vertAlign w:val="superscript"/>
              </w:rPr>
              <w:t>3</w:t>
            </w:r>
            <w:r>
              <w:rPr>
                <w:rFonts w:ascii="Times New Roman" w:hAnsi="Times New Roman"/>
                <w:bCs w:val="0"/>
              </w:rPr>
              <w:t>/a。</w:t>
            </w:r>
          </w:p>
          <w:p>
            <w:pPr>
              <w:pStyle w:val="62"/>
              <w:adjustRightInd/>
              <w:ind w:firstLine="480" w:firstLineChars="200"/>
              <w:rPr>
                <w:rFonts w:ascii="Times New Roman" w:hAnsi="Times New Roman"/>
                <w:bCs w:val="0"/>
              </w:rPr>
            </w:pPr>
            <w:r>
              <w:rPr>
                <w:rFonts w:ascii="Times New Roman" w:hAnsi="Times New Roman"/>
                <w:bCs w:val="0"/>
              </w:rPr>
              <w:t>未预见用水按上述总用水量的10%计，则为6.6m³/d，即</w:t>
            </w:r>
            <w:r>
              <w:rPr>
                <w:rFonts w:ascii="Times New Roman" w:hAnsi="Times New Roman"/>
                <w:sz w:val="22"/>
                <w:szCs w:val="22"/>
              </w:rPr>
              <w:t xml:space="preserve">1980.17 </w:t>
            </w:r>
            <w:r>
              <w:rPr>
                <w:rFonts w:ascii="Times New Roman" w:hAnsi="Times New Roman"/>
                <w:bCs w:val="0"/>
              </w:rPr>
              <w:t>m³/a。</w:t>
            </w:r>
          </w:p>
          <w:p>
            <w:pPr>
              <w:pStyle w:val="62"/>
              <w:adjustRightInd/>
              <w:ind w:firstLine="480" w:firstLineChars="200"/>
              <w:rPr>
                <w:rFonts w:ascii="Times New Roman" w:hAnsi="Times New Roman"/>
                <w:bCs w:val="0"/>
              </w:rPr>
            </w:pPr>
            <w:r>
              <w:rPr>
                <w:rFonts w:ascii="Times New Roman" w:hAnsi="Times New Roman"/>
                <w:bCs w:val="0"/>
              </w:rPr>
              <w:t>本项目用水量见下表。</w:t>
            </w:r>
          </w:p>
          <w:p>
            <w:pPr>
              <w:pStyle w:val="61"/>
              <w:spacing w:line="360" w:lineRule="auto"/>
              <w:ind w:firstLine="422" w:firstLineChars="200"/>
              <w:rPr>
                <w:sz w:val="21"/>
                <w:szCs w:val="21"/>
              </w:rPr>
            </w:pPr>
            <w:r>
              <w:rPr>
                <w:sz w:val="21"/>
                <w:szCs w:val="21"/>
              </w:rPr>
              <w:t>表2-8 项目用水量估算表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575"/>
              <w:gridCol w:w="935"/>
              <w:gridCol w:w="800"/>
              <w:gridCol w:w="1343"/>
              <w:gridCol w:w="1174"/>
              <w:gridCol w:w="1384"/>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80"/>
                    <w:rPr>
                      <w:rFonts w:ascii="Times New Roman" w:hAnsi="Times New Roman"/>
                    </w:rPr>
                  </w:pPr>
                  <w:bookmarkStart w:id="8" w:name="RANGE!B31"/>
                  <w:bookmarkStart w:id="9" w:name="_Hlk81039081"/>
                  <w:r>
                    <w:rPr>
                      <w:rFonts w:ascii="Times New Roman" w:hAnsi="Times New Roman"/>
                    </w:rPr>
                    <w:t>序号</w:t>
                  </w:r>
                  <w:bookmarkEnd w:id="8"/>
                </w:p>
              </w:tc>
              <w:tc>
                <w:tcPr>
                  <w:tcW w:w="915" w:type="pct"/>
                  <w:tcMar>
                    <w:left w:w="57" w:type="dxa"/>
                    <w:right w:w="57" w:type="dxa"/>
                  </w:tcMar>
                  <w:vAlign w:val="center"/>
                </w:tcPr>
                <w:p>
                  <w:pPr>
                    <w:pStyle w:val="80"/>
                    <w:rPr>
                      <w:rFonts w:ascii="Times New Roman" w:hAnsi="Times New Roman"/>
                    </w:rPr>
                  </w:pPr>
                  <w:r>
                    <w:rPr>
                      <w:rFonts w:ascii="Times New Roman" w:hAnsi="Times New Roman"/>
                    </w:rPr>
                    <w:t>用水项目</w:t>
                  </w:r>
                </w:p>
              </w:tc>
              <w:tc>
                <w:tcPr>
                  <w:tcW w:w="543" w:type="pct"/>
                  <w:tcMar>
                    <w:left w:w="57" w:type="dxa"/>
                    <w:right w:w="57" w:type="dxa"/>
                  </w:tcMar>
                  <w:vAlign w:val="center"/>
                </w:tcPr>
                <w:p>
                  <w:pPr>
                    <w:pStyle w:val="80"/>
                    <w:rPr>
                      <w:rFonts w:ascii="Times New Roman" w:hAnsi="Times New Roman"/>
                    </w:rPr>
                  </w:pPr>
                  <w:r>
                    <w:rPr>
                      <w:rFonts w:ascii="Times New Roman" w:hAnsi="Times New Roman"/>
                    </w:rPr>
                    <w:t>用水定额</w:t>
                  </w:r>
                </w:p>
              </w:tc>
              <w:tc>
                <w:tcPr>
                  <w:tcW w:w="465" w:type="pct"/>
                  <w:tcMar>
                    <w:left w:w="57" w:type="dxa"/>
                    <w:right w:w="57" w:type="dxa"/>
                  </w:tcMar>
                  <w:vAlign w:val="center"/>
                </w:tcPr>
                <w:p>
                  <w:pPr>
                    <w:pStyle w:val="80"/>
                    <w:rPr>
                      <w:rFonts w:ascii="Times New Roman" w:hAnsi="Times New Roman"/>
                    </w:rPr>
                  </w:pPr>
                  <w:r>
                    <w:rPr>
                      <w:rFonts w:ascii="Times New Roman" w:hAnsi="Times New Roman"/>
                    </w:rPr>
                    <w:t>数量</w:t>
                  </w:r>
                </w:p>
              </w:tc>
              <w:tc>
                <w:tcPr>
                  <w:tcW w:w="780" w:type="pct"/>
                  <w:tcMar>
                    <w:left w:w="57" w:type="dxa"/>
                    <w:right w:w="57" w:type="dxa"/>
                  </w:tcMar>
                  <w:vAlign w:val="center"/>
                </w:tcPr>
                <w:p>
                  <w:pPr>
                    <w:pStyle w:val="80"/>
                    <w:rPr>
                      <w:rFonts w:ascii="Times New Roman" w:hAnsi="Times New Roman"/>
                    </w:rPr>
                  </w:pPr>
                  <w:r>
                    <w:rPr>
                      <w:rFonts w:ascii="Times New Roman" w:hAnsi="Times New Roman"/>
                    </w:rPr>
                    <w:t>最大用水量（m</w:t>
                  </w:r>
                  <w:r>
                    <w:rPr>
                      <w:rFonts w:ascii="Times New Roman" w:hAnsi="Times New Roman"/>
                      <w:vertAlign w:val="superscript"/>
                    </w:rPr>
                    <w:t>3</w:t>
                  </w:r>
                  <w:r>
                    <w:rPr>
                      <w:rFonts w:ascii="Times New Roman" w:hAnsi="Times New Roman"/>
                    </w:rPr>
                    <w:t>/d）</w:t>
                  </w:r>
                </w:p>
              </w:tc>
              <w:tc>
                <w:tcPr>
                  <w:tcW w:w="682" w:type="pct"/>
                  <w:tcMar>
                    <w:left w:w="57" w:type="dxa"/>
                    <w:right w:w="57" w:type="dxa"/>
                  </w:tcMar>
                  <w:vAlign w:val="center"/>
                </w:tcPr>
                <w:p>
                  <w:pPr>
                    <w:pStyle w:val="80"/>
                    <w:rPr>
                      <w:rFonts w:ascii="Times New Roman" w:hAnsi="Times New Roman"/>
                    </w:rPr>
                  </w:pPr>
                  <w:r>
                    <w:rPr>
                      <w:rFonts w:ascii="Times New Roman" w:hAnsi="Times New Roman"/>
                    </w:rPr>
                    <w:t>年用水量（m</w:t>
                  </w:r>
                  <w:r>
                    <w:rPr>
                      <w:rFonts w:ascii="Times New Roman" w:hAnsi="Times New Roman"/>
                      <w:vertAlign w:val="superscript"/>
                    </w:rPr>
                    <w:t>3</w:t>
                  </w:r>
                  <w:r>
                    <w:rPr>
                      <w:rFonts w:ascii="Times New Roman" w:hAnsi="Times New Roman"/>
                    </w:rPr>
                    <w:t>/a）</w:t>
                  </w:r>
                </w:p>
              </w:tc>
              <w:tc>
                <w:tcPr>
                  <w:tcW w:w="804" w:type="pct"/>
                  <w:tcMar>
                    <w:left w:w="57" w:type="dxa"/>
                    <w:right w:w="57" w:type="dxa"/>
                  </w:tcMar>
                  <w:vAlign w:val="center"/>
                </w:tcPr>
                <w:p>
                  <w:pPr>
                    <w:pStyle w:val="80"/>
                    <w:rPr>
                      <w:rFonts w:ascii="Times New Roman" w:hAnsi="Times New Roman"/>
                    </w:rPr>
                  </w:pPr>
                  <w:r>
                    <w:rPr>
                      <w:rFonts w:ascii="Times New Roman" w:hAnsi="Times New Roman"/>
                    </w:rPr>
                    <w:t>废水量（m</w:t>
                  </w:r>
                  <w:r>
                    <w:rPr>
                      <w:rFonts w:ascii="Times New Roman" w:hAnsi="Times New Roman"/>
                      <w:vertAlign w:val="superscript"/>
                    </w:rPr>
                    <w:t>3</w:t>
                  </w:r>
                  <w:r>
                    <w:rPr>
                      <w:rFonts w:ascii="Times New Roman" w:hAnsi="Times New Roman"/>
                    </w:rPr>
                    <w:t>/d）</w:t>
                  </w:r>
                </w:p>
              </w:tc>
              <w:tc>
                <w:tcPr>
                  <w:tcW w:w="538" w:type="pct"/>
                  <w:tcMar>
                    <w:left w:w="57" w:type="dxa"/>
                    <w:right w:w="57" w:type="dxa"/>
                  </w:tcMar>
                  <w:vAlign w:val="center"/>
                </w:tcPr>
                <w:p>
                  <w:pPr>
                    <w:pStyle w:val="80"/>
                    <w:rPr>
                      <w:rFonts w:ascii="Times New Roman" w:hAnsi="Times New Roman"/>
                    </w:rPr>
                  </w:pPr>
                  <w:r>
                    <w:rPr>
                      <w:rFonts w:ascii="Times New Roman" w:hAnsi="Times New Roman"/>
                    </w:rPr>
                    <w:t>备注</w:t>
                  </w: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1</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员工生活用水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50L/人·d</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28人</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1.4</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420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1.19</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依托预处理池处理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2</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产品用水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0.22m</w:t>
                  </w:r>
                  <w:r>
                    <w:rPr>
                      <w:rFonts w:ascii="Times New Roman" w:hAnsi="Times New Roman"/>
                      <w:vertAlign w:val="superscript"/>
                    </w:rPr>
                    <w:t>3</w:t>
                  </w:r>
                  <w:r>
                    <w:rPr>
                      <w:rFonts w:ascii="Times New Roman" w:hAnsi="Times New Roman"/>
                    </w:rPr>
                    <w:t>/t产品</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68326t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50.11</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15031.72</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进入产品蒸发损耗</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进入产品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3</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蒸汽锅炉</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5</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1500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回用生产</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4</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道路降尘用水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1</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300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蒸发损耗</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5</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车间冲洗用水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2</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600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蒸发损耗</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6</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切割冲洗用水</w:t>
                  </w:r>
                </w:p>
              </w:tc>
              <w:tc>
                <w:tcPr>
                  <w:tcW w:w="543" w:type="pct"/>
                  <w:tcMar>
                    <w:left w:w="57" w:type="dxa"/>
                    <w:right w:w="57" w:type="dxa"/>
                  </w:tcMar>
                  <w:vAlign w:val="center"/>
                </w:tcPr>
                <w:p>
                  <w:pPr>
                    <w:pStyle w:val="79"/>
                    <w:rPr>
                      <w:rFonts w:ascii="Times New Roman" w:hAnsi="Times New Roman"/>
                    </w:rPr>
                  </w:pPr>
                </w:p>
              </w:tc>
              <w:tc>
                <w:tcPr>
                  <w:tcW w:w="465" w:type="pct"/>
                  <w:tcMar>
                    <w:left w:w="57" w:type="dxa"/>
                    <w:right w:w="57" w:type="dxa"/>
                  </w:tcMar>
                  <w:vAlign w:val="center"/>
                </w:tcPr>
                <w:p>
                  <w:pPr>
                    <w:pStyle w:val="79"/>
                    <w:rPr>
                      <w:rFonts w:ascii="Times New Roman" w:hAnsi="Times New Roman"/>
                    </w:rPr>
                  </w:pPr>
                </w:p>
              </w:tc>
              <w:tc>
                <w:tcPr>
                  <w:tcW w:w="780" w:type="pct"/>
                  <w:tcMar>
                    <w:left w:w="57" w:type="dxa"/>
                    <w:right w:w="57" w:type="dxa"/>
                  </w:tcMar>
                  <w:vAlign w:val="center"/>
                </w:tcPr>
                <w:p>
                  <w:pPr>
                    <w:pStyle w:val="79"/>
                    <w:rPr>
                      <w:rFonts w:ascii="Times New Roman" w:hAnsi="Times New Roman"/>
                    </w:rPr>
                  </w:pPr>
                  <w:r>
                    <w:rPr>
                      <w:rFonts w:ascii="Times New Roman" w:hAnsi="Times New Roman"/>
                    </w:rPr>
                    <w:t>3</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900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回用于生产</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7</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配料机冲洗用水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1.5/次</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1</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1.5</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450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回用于生产</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8</w:t>
                  </w:r>
                </w:p>
              </w:tc>
              <w:tc>
                <w:tcPr>
                  <w:tcW w:w="915" w:type="pct"/>
                  <w:tcMar>
                    <w:left w:w="57" w:type="dxa"/>
                    <w:right w:w="57" w:type="dxa"/>
                  </w:tcMar>
                  <w:vAlign w:val="center"/>
                </w:tcPr>
                <w:p>
                  <w:pPr>
                    <w:pStyle w:val="79"/>
                    <w:rPr>
                      <w:rFonts w:ascii="Times New Roman" w:hAnsi="Times New Roman"/>
                    </w:rPr>
                  </w:pPr>
                  <w:r>
                    <w:rPr>
                      <w:rFonts w:ascii="Times New Roman" w:hAnsi="Times New Roman"/>
                      <w:bCs/>
                    </w:rPr>
                    <w:t>车辆进出厂</w:t>
                  </w:r>
                  <w:r>
                    <w:rPr>
                      <w:rFonts w:ascii="Times New Roman" w:hAnsi="Times New Roman"/>
                    </w:rPr>
                    <w:t>冲洗用水</w:t>
                  </w:r>
                </w:p>
              </w:tc>
              <w:tc>
                <w:tcPr>
                  <w:tcW w:w="543" w:type="pct"/>
                  <w:tcMar>
                    <w:left w:w="57" w:type="dxa"/>
                    <w:right w:w="57" w:type="dxa"/>
                  </w:tcMar>
                  <w:vAlign w:val="center"/>
                </w:tcPr>
                <w:p>
                  <w:pPr>
                    <w:pStyle w:val="79"/>
                    <w:rPr>
                      <w:rFonts w:ascii="Times New Roman" w:hAnsi="Times New Roman"/>
                    </w:rPr>
                  </w:pPr>
                  <w:r>
                    <w:rPr>
                      <w:rFonts w:ascii="Times New Roman" w:hAnsi="Times New Roman"/>
                    </w:rPr>
                    <w:t>-</w:t>
                  </w:r>
                </w:p>
              </w:tc>
              <w:tc>
                <w:tcPr>
                  <w:tcW w:w="465" w:type="pct"/>
                  <w:tcMar>
                    <w:left w:w="57" w:type="dxa"/>
                    <w:right w:w="57" w:type="dxa"/>
                  </w:tcMar>
                  <w:vAlign w:val="center"/>
                </w:tcPr>
                <w:p>
                  <w:pPr>
                    <w:pStyle w:val="79"/>
                    <w:rPr>
                      <w:rFonts w:ascii="Times New Roman" w:hAnsi="Times New Roman"/>
                    </w:rPr>
                  </w:pPr>
                  <w:r>
                    <w:rPr>
                      <w:rFonts w:ascii="Times New Roman" w:hAnsi="Times New Roman"/>
                    </w:rPr>
                    <w: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2</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600</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隔油</w:t>
                  </w:r>
                  <w:r>
                    <w:rPr>
                      <w:rFonts w:hint="eastAsia" w:ascii="Times New Roman" w:hAnsi="Times New Roman"/>
                    </w:rPr>
                    <w:t>沉淀后洒水降尘，后</w:t>
                  </w:r>
                  <w:r>
                    <w:rPr>
                      <w:rFonts w:ascii="Times New Roman" w:hAnsi="Times New Roman"/>
                    </w:rPr>
                    <w:t>蒸发、损耗</w:t>
                  </w:r>
                </w:p>
              </w:tc>
              <w:tc>
                <w:tcPr>
                  <w:tcW w:w="538" w:type="pct"/>
                  <w:tcMar>
                    <w:left w:w="57" w:type="dxa"/>
                    <w:right w:w="57" w:type="dxa"/>
                  </w:tcMar>
                  <w:vAlign w:val="center"/>
                </w:tcPr>
                <w:p>
                  <w:pPr>
                    <w:pStyle w:val="7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Mar>
                    <w:left w:w="57" w:type="dxa"/>
                    <w:right w:w="57" w:type="dxa"/>
                  </w:tcMar>
                  <w:vAlign w:val="center"/>
                </w:tcPr>
                <w:p>
                  <w:pPr>
                    <w:pStyle w:val="79"/>
                    <w:rPr>
                      <w:rFonts w:ascii="Times New Roman" w:hAnsi="Times New Roman"/>
                    </w:rPr>
                  </w:pPr>
                  <w:r>
                    <w:rPr>
                      <w:rFonts w:ascii="Times New Roman" w:hAnsi="Times New Roman"/>
                    </w:rPr>
                    <w:t>9</w:t>
                  </w:r>
                </w:p>
              </w:tc>
              <w:tc>
                <w:tcPr>
                  <w:tcW w:w="915" w:type="pct"/>
                  <w:tcMar>
                    <w:left w:w="57" w:type="dxa"/>
                    <w:right w:w="57" w:type="dxa"/>
                  </w:tcMar>
                  <w:vAlign w:val="center"/>
                </w:tcPr>
                <w:p>
                  <w:pPr>
                    <w:pStyle w:val="79"/>
                    <w:rPr>
                      <w:rFonts w:ascii="Times New Roman" w:hAnsi="Times New Roman"/>
                    </w:rPr>
                  </w:pPr>
                  <w:r>
                    <w:rPr>
                      <w:rFonts w:ascii="Times New Roman" w:hAnsi="Times New Roman"/>
                    </w:rPr>
                    <w:t>未预见用水</w:t>
                  </w:r>
                </w:p>
              </w:tc>
              <w:tc>
                <w:tcPr>
                  <w:tcW w:w="1008" w:type="pct"/>
                  <w:gridSpan w:val="2"/>
                  <w:tcMar>
                    <w:left w:w="57" w:type="dxa"/>
                    <w:right w:w="57" w:type="dxa"/>
                  </w:tcMar>
                  <w:vAlign w:val="center"/>
                </w:tcPr>
                <w:p>
                  <w:pPr>
                    <w:pStyle w:val="79"/>
                    <w:rPr>
                      <w:rFonts w:ascii="Times New Roman" w:hAnsi="Times New Roman"/>
                    </w:rPr>
                  </w:pPr>
                  <w:r>
                    <w:rPr>
                      <w:rFonts w:ascii="Times New Roman" w:hAnsi="Times New Roman"/>
                    </w:rPr>
                    <w:t>按以上用水总量</w:t>
                  </w:r>
                  <w:r>
                    <w:rPr>
                      <w:rFonts w:ascii="Times New Roman" w:hAnsi="Times New Roman"/>
                    </w:rPr>
                    <w:cr/>
                  </w:r>
                  <w:r>
                    <w:rPr>
                      <w:rFonts w:ascii="Times New Roman" w:hAnsi="Times New Roman"/>
                    </w:rPr>
                    <w:t>10%计</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6.60</w:t>
                  </w:r>
                </w:p>
              </w:tc>
              <w:tc>
                <w:tcPr>
                  <w:tcW w:w="682" w:type="pct"/>
                  <w:tcMar>
                    <w:left w:w="57" w:type="dxa"/>
                    <w:right w:w="57" w:type="dxa"/>
                  </w:tcMar>
                  <w:vAlign w:val="center"/>
                </w:tcPr>
                <w:p>
                  <w:pPr>
                    <w:widowControl/>
                    <w:jc w:val="center"/>
                    <w:rPr>
                      <w:kern w:val="0"/>
                      <w:sz w:val="22"/>
                      <w:szCs w:val="22"/>
                    </w:rPr>
                  </w:pPr>
                  <w:r>
                    <w:rPr>
                      <w:sz w:val="22"/>
                      <w:szCs w:val="22"/>
                    </w:rPr>
                    <w:t xml:space="preserve">1980.17 </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蒸发、损耗</w:t>
                  </w:r>
                </w:p>
              </w:tc>
              <w:tc>
                <w:tcPr>
                  <w:tcW w:w="538" w:type="pct"/>
                  <w:tcMar>
                    <w:left w:w="57" w:type="dxa"/>
                    <w:right w:w="57" w:type="dxa"/>
                  </w:tcMar>
                  <w:vAlign w:val="center"/>
                </w:tcPr>
                <w:p>
                  <w:pPr>
                    <w:pStyle w:val="79"/>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187" w:type="pct"/>
                  <w:gridSpan w:val="2"/>
                  <w:tcMar>
                    <w:left w:w="57" w:type="dxa"/>
                    <w:right w:w="57" w:type="dxa"/>
                  </w:tcMar>
                  <w:vAlign w:val="center"/>
                </w:tcPr>
                <w:p>
                  <w:pPr>
                    <w:pStyle w:val="79"/>
                    <w:rPr>
                      <w:rFonts w:ascii="Times New Roman" w:hAnsi="Times New Roman"/>
                    </w:rPr>
                  </w:pPr>
                  <w:r>
                    <w:rPr>
                      <w:rFonts w:ascii="Times New Roman" w:hAnsi="Times New Roman"/>
                    </w:rPr>
                    <w:t>合计</w:t>
                  </w:r>
                </w:p>
              </w:tc>
              <w:tc>
                <w:tcPr>
                  <w:tcW w:w="1008" w:type="pct"/>
                  <w:gridSpan w:val="2"/>
                  <w:tcMar>
                    <w:left w:w="57" w:type="dxa"/>
                    <w:right w:w="57" w:type="dxa"/>
                  </w:tcMar>
                  <w:vAlign w:val="center"/>
                </w:tcPr>
                <w:p>
                  <w:pPr>
                    <w:pStyle w:val="79"/>
                    <w:rPr>
                      <w:rFonts w:ascii="Times New Roman" w:hAnsi="Times New Roman"/>
                    </w:rPr>
                  </w:pPr>
                  <w:r>
                    <w:rPr>
                      <w:rFonts w:ascii="Times New Roman" w:hAnsi="Times New Roman"/>
                    </w:rPr>
                    <w:t>/</w:t>
                  </w:r>
                </w:p>
              </w:tc>
              <w:tc>
                <w:tcPr>
                  <w:tcW w:w="780" w:type="pct"/>
                  <w:tcMar>
                    <w:left w:w="57" w:type="dxa"/>
                    <w:right w:w="57" w:type="dxa"/>
                  </w:tcMar>
                  <w:vAlign w:val="center"/>
                </w:tcPr>
                <w:p>
                  <w:pPr>
                    <w:pStyle w:val="79"/>
                    <w:rPr>
                      <w:rFonts w:ascii="Times New Roman" w:hAnsi="Times New Roman"/>
                    </w:rPr>
                  </w:pPr>
                  <w:r>
                    <w:rPr>
                      <w:rFonts w:ascii="Times New Roman" w:hAnsi="Times New Roman"/>
                    </w:rPr>
                    <w:t>72.61</w:t>
                  </w:r>
                </w:p>
              </w:tc>
              <w:tc>
                <w:tcPr>
                  <w:tcW w:w="682" w:type="pct"/>
                  <w:tcMar>
                    <w:left w:w="57" w:type="dxa"/>
                    <w:right w:w="57" w:type="dxa"/>
                  </w:tcMar>
                  <w:vAlign w:val="center"/>
                </w:tcPr>
                <w:p>
                  <w:pPr>
                    <w:pStyle w:val="79"/>
                    <w:rPr>
                      <w:rFonts w:ascii="Times New Roman" w:hAnsi="Times New Roman"/>
                    </w:rPr>
                  </w:pPr>
                  <w:r>
                    <w:rPr>
                      <w:rFonts w:ascii="Times New Roman" w:hAnsi="Times New Roman"/>
                    </w:rPr>
                    <w:t xml:space="preserve">21781.89  </w:t>
                  </w:r>
                </w:p>
              </w:tc>
              <w:tc>
                <w:tcPr>
                  <w:tcW w:w="804" w:type="pct"/>
                  <w:tcMar>
                    <w:left w:w="57" w:type="dxa"/>
                    <w:right w:w="57" w:type="dxa"/>
                  </w:tcMar>
                  <w:vAlign w:val="center"/>
                </w:tcPr>
                <w:p>
                  <w:pPr>
                    <w:pStyle w:val="79"/>
                    <w:rPr>
                      <w:rFonts w:ascii="Times New Roman" w:hAnsi="Times New Roman"/>
                    </w:rPr>
                  </w:pPr>
                  <w:r>
                    <w:rPr>
                      <w:rFonts w:ascii="Times New Roman" w:hAnsi="Times New Roman"/>
                    </w:rPr>
                    <w:t>1.19</w:t>
                  </w:r>
                </w:p>
              </w:tc>
              <w:tc>
                <w:tcPr>
                  <w:tcW w:w="538" w:type="pct"/>
                  <w:tcMar>
                    <w:left w:w="57" w:type="dxa"/>
                    <w:right w:w="57" w:type="dxa"/>
                  </w:tcMar>
                  <w:vAlign w:val="center"/>
                </w:tcPr>
                <w:p>
                  <w:pPr>
                    <w:pStyle w:val="79"/>
                    <w:rPr>
                      <w:rFonts w:ascii="Times New Roman" w:hAnsi="Times New Roman"/>
                    </w:rPr>
                  </w:pPr>
                </w:p>
              </w:tc>
            </w:tr>
          </w:tbl>
          <w:p>
            <w:pPr>
              <w:pStyle w:val="62"/>
              <w:adjustRightInd/>
              <w:spacing w:line="480" w:lineRule="exact"/>
              <w:ind w:firstLine="480" w:firstLineChars="200"/>
              <w:rPr>
                <w:rFonts w:ascii="Times New Roman" w:hAnsi="Times New Roman"/>
                <w:bCs w:val="0"/>
              </w:rPr>
            </w:pPr>
          </w:p>
          <w:p>
            <w:pPr>
              <w:pStyle w:val="62"/>
              <w:adjustRightInd/>
              <w:spacing w:line="480" w:lineRule="exact"/>
              <w:ind w:firstLine="480" w:firstLineChars="200"/>
              <w:rPr>
                <w:rFonts w:ascii="Times New Roman" w:hAnsi="Times New Roman"/>
                <w:bCs w:val="0"/>
              </w:rPr>
            </w:pPr>
          </w:p>
          <w:p>
            <w:pPr>
              <w:pStyle w:val="62"/>
              <w:adjustRightInd/>
              <w:spacing w:line="480" w:lineRule="exact"/>
              <w:ind w:firstLine="480" w:firstLineChars="200"/>
              <w:rPr>
                <w:rFonts w:ascii="Times New Roman" w:hAnsi="Times New Roman"/>
                <w:bCs w:val="0"/>
              </w:rPr>
            </w:pPr>
            <w:r>
              <w:rPr>
                <w:rFonts w:ascii="Times New Roman" w:hAnsi="Times New Roman"/>
                <w:bCs w:val="0"/>
              </w:rPr>
              <w:t>本项目水平衡图如下：</w:t>
            </w:r>
          </w:p>
          <w:p>
            <w:pPr>
              <w:pStyle w:val="62"/>
              <w:adjustRightInd/>
              <w:spacing w:line="480" w:lineRule="exact"/>
              <w:ind w:firstLine="480" w:firstLineChars="200"/>
              <w:rPr>
                <w:rFonts w:ascii="Times New Roman" w:hAnsi="Times New Roman"/>
                <w:bCs w:val="0"/>
              </w:rPr>
            </w:pPr>
          </w:p>
          <w:p>
            <w:pPr>
              <w:pStyle w:val="62"/>
              <w:adjustRightInd/>
              <w:spacing w:line="240" w:lineRule="auto"/>
              <w:ind w:firstLine="0"/>
              <w:jc w:val="center"/>
              <w:rPr>
                <w:rFonts w:ascii="Times New Roman" w:hAnsi="Times New Roman"/>
                <w:bCs w:val="0"/>
              </w:rPr>
            </w:pPr>
            <w:r>
              <w:rPr>
                <w:rFonts w:ascii="Times New Roman" w:hAnsi="Times New Roman"/>
                <w:bCs w:val="0"/>
              </w:rPr>
              <w:drawing>
                <wp:inline distT="0" distB="0" distL="0" distR="0">
                  <wp:extent cx="5087620" cy="2934335"/>
                  <wp:effectExtent l="19050" t="19050" r="20955" b="10160"/>
                  <wp:docPr id="25909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83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87641" cy="2934425"/>
                          </a:xfrm>
                          <a:prstGeom prst="rect">
                            <a:avLst/>
                          </a:prstGeom>
                          <a:noFill/>
                          <a:ln w="12700">
                            <a:solidFill>
                              <a:schemeClr val="tx1"/>
                            </a:solidFill>
                          </a:ln>
                        </pic:spPr>
                      </pic:pic>
                    </a:graphicData>
                  </a:graphic>
                </wp:inline>
              </w:drawing>
            </w:r>
          </w:p>
          <w:p>
            <w:pPr>
              <w:pStyle w:val="61"/>
              <w:rPr>
                <w:sz w:val="21"/>
                <w:szCs w:val="21"/>
              </w:rPr>
            </w:pPr>
            <w:r>
              <w:rPr>
                <w:sz w:val="21"/>
                <w:szCs w:val="21"/>
              </w:rPr>
              <w:t>图2-3项目运营期水平衡图   单位：</w:t>
            </w:r>
            <w:r>
              <w:t>m</w:t>
            </w:r>
            <w:r>
              <w:rPr>
                <w:vertAlign w:val="superscript"/>
              </w:rPr>
              <w:t>3</w:t>
            </w:r>
            <w:r>
              <w:t>/d</w:t>
            </w:r>
          </w:p>
          <w:p>
            <w:pPr>
              <w:pStyle w:val="62"/>
              <w:adjustRightInd/>
              <w:ind w:firstLine="482" w:firstLineChars="200"/>
              <w:rPr>
                <w:rFonts w:ascii="Times New Roman" w:hAnsi="Times New Roman"/>
                <w:b/>
              </w:rPr>
            </w:pPr>
            <w:r>
              <w:rPr>
                <w:rFonts w:ascii="Times New Roman" w:hAnsi="Times New Roman"/>
                <w:b/>
              </w:rPr>
              <w:t>8.2排水</w:t>
            </w:r>
          </w:p>
          <w:p>
            <w:pPr>
              <w:pStyle w:val="62"/>
              <w:adjustRightInd/>
              <w:ind w:firstLine="480" w:firstLineChars="200"/>
              <w:rPr>
                <w:rFonts w:ascii="Times New Roman" w:hAnsi="Times New Roman"/>
              </w:rPr>
            </w:pPr>
            <w:r>
              <w:rPr>
                <w:rFonts w:ascii="Times New Roman" w:hAnsi="Times New Roman"/>
              </w:rPr>
              <w:t>本项目排水采用雨污分流</w:t>
            </w:r>
            <w:r>
              <w:rPr>
                <w:rFonts w:hint="eastAsia" w:ascii="Times New Roman" w:hAnsi="Times New Roman"/>
              </w:rPr>
              <w:t>，清污分流</w:t>
            </w:r>
            <w:r>
              <w:rPr>
                <w:rFonts w:ascii="Times New Roman" w:hAnsi="Times New Roman"/>
              </w:rPr>
              <w:t>制</w:t>
            </w:r>
          </w:p>
          <w:p>
            <w:pPr>
              <w:pStyle w:val="62"/>
              <w:adjustRightInd/>
              <w:ind w:firstLine="480" w:firstLineChars="200"/>
              <w:rPr>
                <w:rFonts w:ascii="Times New Roman" w:hAnsi="Times New Roman"/>
              </w:rPr>
            </w:pPr>
            <w:r>
              <w:rPr>
                <w:rFonts w:ascii="Times New Roman" w:hAnsi="Times New Roman"/>
              </w:rPr>
              <w:t>雨水：在项目厂界周围修建导流沟，使项目厂界外的雨水经导流沟排走。</w:t>
            </w:r>
          </w:p>
          <w:p>
            <w:pPr>
              <w:pStyle w:val="62"/>
              <w:adjustRightInd/>
              <w:ind w:firstLine="480" w:firstLineChars="200"/>
              <w:rPr>
                <w:rFonts w:ascii="Times New Roman" w:hAnsi="Times New Roman"/>
              </w:rPr>
            </w:pPr>
            <w:r>
              <w:rPr>
                <w:rFonts w:ascii="Times New Roman" w:hAnsi="Times New Roman"/>
              </w:rPr>
              <w:t>污水：生活污水依托砖厂现有的预处理池处理，</w:t>
            </w:r>
            <w:r>
              <w:rPr>
                <w:rFonts w:hint="eastAsia" w:ascii="Times New Roman" w:hAnsi="Times New Roman"/>
              </w:rPr>
              <w:t>交由大英县洁达环保科技有限公司收集处理后达标排放</w:t>
            </w:r>
            <w:r>
              <w:rPr>
                <w:rFonts w:ascii="Times New Roman" w:hAnsi="Times New Roman"/>
              </w:rPr>
              <w:t>。生产废水经沉淀池</w:t>
            </w:r>
            <w:r>
              <w:rPr>
                <w:rFonts w:hint="eastAsia" w:ascii="Times New Roman" w:hAnsi="Times New Roman"/>
              </w:rPr>
              <w:t>收集</w:t>
            </w:r>
            <w:r>
              <w:rPr>
                <w:rFonts w:ascii="Times New Roman" w:hAnsi="Times New Roman"/>
              </w:rPr>
              <w:t>沉淀后回用于生产工序，最终进入产品中，不外排。</w:t>
            </w:r>
            <w:r>
              <w:rPr>
                <w:rFonts w:hint="eastAsia" w:ascii="Times New Roman" w:hAnsi="Times New Roman"/>
              </w:rPr>
              <w:t>洗车废水经收集隔油沉淀后洒水降尘。</w:t>
            </w:r>
          </w:p>
          <w:p>
            <w:pPr>
              <w:pStyle w:val="62"/>
              <w:adjustRightInd/>
              <w:ind w:firstLine="480" w:firstLineChars="200"/>
              <w:rPr>
                <w:rFonts w:ascii="Times New Roman" w:hAnsi="Times New Roman"/>
              </w:rPr>
            </w:pPr>
            <w:r>
              <w:rPr>
                <w:rFonts w:ascii="Times New Roman" w:hAnsi="Times New Roman"/>
              </w:rPr>
              <w:t>（3）供电</w:t>
            </w:r>
          </w:p>
          <w:p>
            <w:pPr>
              <w:pStyle w:val="62"/>
              <w:adjustRightInd/>
              <w:ind w:firstLine="480" w:firstLineChars="200"/>
              <w:rPr>
                <w:rFonts w:ascii="Times New Roman" w:hAnsi="Times New Roman"/>
              </w:rPr>
            </w:pPr>
            <w:r>
              <w:rPr>
                <w:rFonts w:ascii="Times New Roman" w:hAnsi="Times New Roman"/>
              </w:rPr>
              <w:t>本项目由区域电网提供，可满足本项目用电负荷。</w:t>
            </w:r>
          </w:p>
          <w:p>
            <w:pPr>
              <w:pStyle w:val="62"/>
              <w:adjustRightInd/>
              <w:ind w:firstLine="480" w:firstLineChars="200"/>
              <w:rPr>
                <w:rFonts w:ascii="Times New Roman" w:hAnsi="Times New Roman"/>
              </w:rPr>
            </w:pPr>
            <w:r>
              <w:rPr>
                <w:rFonts w:ascii="Times New Roman" w:hAnsi="Times New Roman"/>
              </w:rPr>
              <w:t>（4）供气</w:t>
            </w:r>
          </w:p>
          <w:p>
            <w:pPr>
              <w:pStyle w:val="62"/>
              <w:adjustRightInd/>
              <w:ind w:firstLine="480" w:firstLineChars="200"/>
              <w:rPr>
                <w:rFonts w:ascii="Times New Roman" w:hAnsi="Times New Roman"/>
              </w:rPr>
            </w:pPr>
            <w:r>
              <w:rPr>
                <w:rFonts w:ascii="Times New Roman" w:hAnsi="Times New Roman"/>
              </w:rPr>
              <w:t>本项目天然气由燃气管网供给，通过新建燃气管道接入生产车间，可满足本项目燃气需求。</w:t>
            </w:r>
          </w:p>
          <w:p>
            <w:pPr>
              <w:pStyle w:val="62"/>
              <w:ind w:firstLine="361" w:firstLineChars="150"/>
              <w:rPr>
                <w:rFonts w:ascii="Times New Roman" w:hAnsi="Times New Roman"/>
                <w:b/>
              </w:rPr>
            </w:pPr>
            <w:r>
              <w:rPr>
                <w:rFonts w:ascii="Times New Roman" w:hAnsi="Times New Roman"/>
                <w:b/>
              </w:rPr>
              <w:t>8.3.本项目依托设施可行性分析</w:t>
            </w:r>
          </w:p>
          <w:p>
            <w:pPr>
              <w:pStyle w:val="62"/>
              <w:adjustRightInd/>
              <w:ind w:firstLine="480" w:firstLineChars="200"/>
              <w:rPr>
                <w:rFonts w:ascii="Times New Roman" w:hAnsi="Times New Roman"/>
              </w:rPr>
            </w:pPr>
            <w:r>
              <w:rPr>
                <w:rFonts w:ascii="Times New Roman" w:hAnsi="Times New Roman"/>
              </w:rPr>
              <w:t>本项目</w:t>
            </w:r>
            <w:r>
              <w:rPr>
                <w:rFonts w:hint="eastAsia" w:ascii="Times New Roman" w:hAnsi="Times New Roman"/>
              </w:rPr>
              <w:t>利用已有的</w:t>
            </w:r>
            <w:r>
              <w:rPr>
                <w:rFonts w:ascii="Times New Roman" w:hAnsi="Times New Roman"/>
              </w:rPr>
              <w:t>闲置空地进行建设，依托现有部分设施，其依托关系及可行性见下表：</w:t>
            </w:r>
          </w:p>
          <w:p>
            <w:pPr>
              <w:pStyle w:val="81"/>
              <w:spacing w:line="360" w:lineRule="auto"/>
              <w:ind w:firstLine="200"/>
              <w:rPr>
                <w:rFonts w:ascii="Times New Roman" w:hAnsi="Times New Roman"/>
                <w:sz w:val="21"/>
              </w:rPr>
            </w:pPr>
          </w:p>
          <w:p>
            <w:pPr>
              <w:pStyle w:val="81"/>
              <w:spacing w:line="360" w:lineRule="auto"/>
              <w:ind w:firstLine="200"/>
              <w:rPr>
                <w:rFonts w:ascii="Times New Roman" w:hAnsi="Times New Roman"/>
                <w:sz w:val="21"/>
              </w:rPr>
            </w:pPr>
            <w:r>
              <w:rPr>
                <w:rFonts w:ascii="Times New Roman" w:hAnsi="Times New Roman"/>
                <w:sz w:val="21"/>
              </w:rPr>
              <w:t>表2-9项目依托工程可行性分析</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072"/>
              <w:gridCol w:w="2833"/>
              <w:gridCol w:w="3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pct"/>
                  <w:gridSpan w:val="2"/>
                  <w:vAlign w:val="center"/>
                </w:tcPr>
                <w:p>
                  <w:pPr>
                    <w:pStyle w:val="79"/>
                    <w:ind w:firstLine="198"/>
                    <w:jc w:val="both"/>
                    <w:rPr>
                      <w:rFonts w:ascii="Times New Roman" w:hAnsi="Times New Roman"/>
                      <w:b/>
                    </w:rPr>
                  </w:pPr>
                  <w:r>
                    <w:rPr>
                      <w:rFonts w:ascii="Times New Roman" w:hAnsi="Times New Roman"/>
                      <w:b/>
                    </w:rPr>
                    <w:t>工程分类</w:t>
                  </w:r>
                </w:p>
              </w:tc>
              <w:tc>
                <w:tcPr>
                  <w:tcW w:w="1646" w:type="pct"/>
                  <w:vAlign w:val="center"/>
                </w:tcPr>
                <w:p>
                  <w:pPr>
                    <w:pStyle w:val="79"/>
                    <w:ind w:firstLine="198"/>
                    <w:jc w:val="both"/>
                    <w:rPr>
                      <w:rFonts w:ascii="Times New Roman" w:hAnsi="Times New Roman"/>
                      <w:b/>
                    </w:rPr>
                  </w:pPr>
                  <w:r>
                    <w:rPr>
                      <w:rFonts w:ascii="Times New Roman" w:hAnsi="Times New Roman"/>
                      <w:b/>
                    </w:rPr>
                    <w:t>依托现有工程</w:t>
                  </w:r>
                </w:p>
              </w:tc>
              <w:tc>
                <w:tcPr>
                  <w:tcW w:w="2200" w:type="pct"/>
                  <w:vAlign w:val="center"/>
                </w:tcPr>
                <w:p>
                  <w:pPr>
                    <w:pStyle w:val="79"/>
                    <w:ind w:firstLine="198"/>
                    <w:jc w:val="both"/>
                    <w:rPr>
                      <w:rFonts w:ascii="Times New Roman" w:hAnsi="Times New Roman"/>
                      <w:b/>
                    </w:rPr>
                  </w:pPr>
                  <w:r>
                    <w:rPr>
                      <w:rFonts w:ascii="Times New Roman" w:hAnsi="Times New Roman"/>
                      <w:b/>
                    </w:rPr>
                    <w:t>依托可行性分析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2" w:type="pct"/>
                  <w:vMerge w:val="restart"/>
                  <w:vAlign w:val="center"/>
                </w:tcPr>
                <w:p>
                  <w:pPr>
                    <w:pStyle w:val="79"/>
                    <w:jc w:val="both"/>
                    <w:rPr>
                      <w:rFonts w:ascii="Times New Roman" w:hAnsi="Times New Roman"/>
                    </w:rPr>
                  </w:pPr>
                  <w:r>
                    <w:rPr>
                      <w:rFonts w:ascii="Times New Roman" w:hAnsi="Times New Roman"/>
                    </w:rPr>
                    <w:t>公用工程</w:t>
                  </w:r>
                </w:p>
              </w:tc>
              <w:tc>
                <w:tcPr>
                  <w:tcW w:w="623" w:type="pct"/>
                  <w:vAlign w:val="center"/>
                </w:tcPr>
                <w:p>
                  <w:pPr>
                    <w:pStyle w:val="79"/>
                    <w:ind w:firstLine="198"/>
                    <w:jc w:val="both"/>
                    <w:rPr>
                      <w:rFonts w:ascii="Times New Roman" w:hAnsi="Times New Roman"/>
                    </w:rPr>
                  </w:pPr>
                  <w:r>
                    <w:rPr>
                      <w:rFonts w:ascii="Times New Roman" w:hAnsi="Times New Roman"/>
                    </w:rPr>
                    <w:t>供水</w:t>
                  </w:r>
                </w:p>
              </w:tc>
              <w:tc>
                <w:tcPr>
                  <w:tcW w:w="1646" w:type="pct"/>
                  <w:vAlign w:val="center"/>
                </w:tcPr>
                <w:p>
                  <w:pPr>
                    <w:pStyle w:val="79"/>
                    <w:ind w:firstLine="198"/>
                    <w:jc w:val="both"/>
                    <w:rPr>
                      <w:rFonts w:ascii="Times New Roman" w:hAnsi="Times New Roman"/>
                    </w:rPr>
                  </w:pPr>
                  <w:r>
                    <w:rPr>
                      <w:rFonts w:ascii="Times New Roman" w:hAnsi="Times New Roman"/>
                    </w:rPr>
                    <w:t>由厂区自来水供给</w:t>
                  </w:r>
                </w:p>
              </w:tc>
              <w:tc>
                <w:tcPr>
                  <w:tcW w:w="2200" w:type="pct"/>
                  <w:vAlign w:val="center"/>
                </w:tcPr>
                <w:p>
                  <w:pPr>
                    <w:pStyle w:val="79"/>
                    <w:ind w:firstLine="198"/>
                    <w:jc w:val="both"/>
                    <w:rPr>
                      <w:rFonts w:ascii="Times New Roman" w:hAnsi="Times New Roman"/>
                    </w:rPr>
                  </w:pPr>
                  <w:r>
                    <w:rPr>
                      <w:rFonts w:ascii="Times New Roman" w:hAnsi="Times New Roman"/>
                    </w:rPr>
                    <w:t>满足本项目用水依托需要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2" w:type="pct"/>
                  <w:vMerge w:val="continue"/>
                  <w:vAlign w:val="center"/>
                </w:tcPr>
                <w:p>
                  <w:pPr>
                    <w:pStyle w:val="79"/>
                    <w:ind w:firstLine="198"/>
                    <w:jc w:val="both"/>
                    <w:rPr>
                      <w:rFonts w:ascii="Times New Roman" w:hAnsi="Times New Roman"/>
                    </w:rPr>
                  </w:pPr>
                </w:p>
              </w:tc>
              <w:tc>
                <w:tcPr>
                  <w:tcW w:w="623" w:type="pct"/>
                  <w:vAlign w:val="center"/>
                </w:tcPr>
                <w:p>
                  <w:pPr>
                    <w:pStyle w:val="79"/>
                    <w:ind w:firstLine="198"/>
                    <w:jc w:val="both"/>
                    <w:rPr>
                      <w:rFonts w:ascii="Times New Roman" w:hAnsi="Times New Roman"/>
                    </w:rPr>
                  </w:pPr>
                  <w:r>
                    <w:rPr>
                      <w:rFonts w:ascii="Times New Roman" w:hAnsi="Times New Roman"/>
                    </w:rPr>
                    <w:t>供电</w:t>
                  </w:r>
                </w:p>
              </w:tc>
              <w:tc>
                <w:tcPr>
                  <w:tcW w:w="1646" w:type="pct"/>
                  <w:vAlign w:val="center"/>
                </w:tcPr>
                <w:p>
                  <w:pPr>
                    <w:pStyle w:val="79"/>
                    <w:ind w:firstLine="198"/>
                    <w:jc w:val="both"/>
                    <w:rPr>
                      <w:rFonts w:ascii="Times New Roman" w:hAnsi="Times New Roman"/>
                    </w:rPr>
                  </w:pPr>
                  <w:r>
                    <w:rPr>
                      <w:rFonts w:ascii="Times New Roman" w:hAnsi="Times New Roman"/>
                    </w:rPr>
                    <w:t>由当地电网供给</w:t>
                  </w:r>
                </w:p>
              </w:tc>
              <w:tc>
                <w:tcPr>
                  <w:tcW w:w="2200" w:type="pct"/>
                  <w:vAlign w:val="center"/>
                </w:tcPr>
                <w:p>
                  <w:pPr>
                    <w:pStyle w:val="79"/>
                    <w:ind w:firstLine="198"/>
                    <w:jc w:val="both"/>
                    <w:rPr>
                      <w:rFonts w:ascii="Times New Roman" w:hAnsi="Times New Roman"/>
                    </w:rPr>
                  </w:pPr>
                  <w:r>
                    <w:rPr>
                      <w:rFonts w:ascii="Times New Roman" w:hAnsi="Times New Roman"/>
                    </w:rPr>
                    <w:t>满足本项目用电依托需要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2" w:type="pct"/>
                  <w:vMerge w:val="continue"/>
                  <w:vAlign w:val="center"/>
                </w:tcPr>
                <w:p>
                  <w:pPr>
                    <w:pStyle w:val="79"/>
                    <w:ind w:firstLine="198"/>
                    <w:jc w:val="both"/>
                    <w:rPr>
                      <w:rFonts w:ascii="Times New Roman" w:hAnsi="Times New Roman"/>
                    </w:rPr>
                  </w:pPr>
                </w:p>
              </w:tc>
              <w:tc>
                <w:tcPr>
                  <w:tcW w:w="623" w:type="pct"/>
                  <w:vAlign w:val="center"/>
                </w:tcPr>
                <w:p>
                  <w:pPr>
                    <w:pStyle w:val="79"/>
                    <w:ind w:firstLine="198"/>
                    <w:jc w:val="both"/>
                    <w:rPr>
                      <w:rFonts w:ascii="Times New Roman" w:hAnsi="Times New Roman"/>
                    </w:rPr>
                  </w:pPr>
                  <w:r>
                    <w:rPr>
                      <w:rFonts w:ascii="Times New Roman" w:hAnsi="Times New Roman"/>
                    </w:rPr>
                    <w:t>用气</w:t>
                  </w:r>
                </w:p>
              </w:tc>
              <w:tc>
                <w:tcPr>
                  <w:tcW w:w="1646" w:type="pct"/>
                  <w:vAlign w:val="center"/>
                </w:tcPr>
                <w:p>
                  <w:pPr>
                    <w:pStyle w:val="79"/>
                    <w:ind w:firstLine="198"/>
                    <w:jc w:val="both"/>
                    <w:rPr>
                      <w:rFonts w:ascii="Times New Roman" w:hAnsi="Times New Roman"/>
                    </w:rPr>
                  </w:pPr>
                  <w:r>
                    <w:rPr>
                      <w:rFonts w:ascii="Times New Roman" w:hAnsi="Times New Roman"/>
                    </w:rPr>
                    <w:t>天然气管网供给</w:t>
                  </w:r>
                </w:p>
              </w:tc>
              <w:tc>
                <w:tcPr>
                  <w:tcW w:w="2200" w:type="pct"/>
                  <w:vAlign w:val="center"/>
                </w:tcPr>
                <w:p>
                  <w:pPr>
                    <w:pStyle w:val="79"/>
                    <w:ind w:firstLine="198"/>
                    <w:jc w:val="both"/>
                    <w:rPr>
                      <w:rFonts w:ascii="Times New Roman" w:hAnsi="Times New Roman"/>
                    </w:rPr>
                  </w:pPr>
                  <w:r>
                    <w:rPr>
                      <w:rFonts w:ascii="Times New Roman" w:hAnsi="Times New Roman"/>
                    </w:rPr>
                    <w:t>满足本项目用气依托需要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2" w:type="pct"/>
                  <w:vMerge w:val="continue"/>
                  <w:vAlign w:val="center"/>
                </w:tcPr>
                <w:p>
                  <w:pPr>
                    <w:pStyle w:val="79"/>
                    <w:ind w:firstLine="198"/>
                    <w:jc w:val="both"/>
                    <w:rPr>
                      <w:rFonts w:ascii="Times New Roman" w:hAnsi="Times New Roman"/>
                    </w:rPr>
                  </w:pPr>
                </w:p>
              </w:tc>
              <w:tc>
                <w:tcPr>
                  <w:tcW w:w="623" w:type="pct"/>
                  <w:vAlign w:val="center"/>
                </w:tcPr>
                <w:p>
                  <w:pPr>
                    <w:pStyle w:val="79"/>
                    <w:ind w:firstLine="198"/>
                    <w:jc w:val="both"/>
                    <w:rPr>
                      <w:rFonts w:ascii="Times New Roman" w:hAnsi="Times New Roman"/>
                    </w:rPr>
                  </w:pPr>
                  <w:r>
                    <w:rPr>
                      <w:rFonts w:hint="eastAsia" w:ascii="Times New Roman" w:hAnsi="Times New Roman"/>
                    </w:rPr>
                    <w:t>用蒸汽</w:t>
                  </w:r>
                </w:p>
              </w:tc>
              <w:tc>
                <w:tcPr>
                  <w:tcW w:w="1646" w:type="pct"/>
                  <w:vAlign w:val="center"/>
                </w:tcPr>
                <w:p>
                  <w:pPr>
                    <w:pStyle w:val="79"/>
                    <w:ind w:firstLine="198"/>
                    <w:jc w:val="both"/>
                    <w:rPr>
                      <w:rFonts w:ascii="Times New Roman" w:hAnsi="Times New Roman"/>
                    </w:rPr>
                  </w:pPr>
                  <w:r>
                    <w:rPr>
                      <w:rFonts w:hint="eastAsia" w:ascii="Times New Roman" w:hAnsi="Times New Roman"/>
                    </w:rPr>
                    <w:t>依托现有的三套蒸压斧</w:t>
                  </w:r>
                </w:p>
              </w:tc>
              <w:tc>
                <w:tcPr>
                  <w:tcW w:w="2200" w:type="pct"/>
                  <w:vAlign w:val="center"/>
                </w:tcPr>
                <w:p>
                  <w:pPr>
                    <w:pStyle w:val="79"/>
                    <w:ind w:firstLine="198"/>
                    <w:jc w:val="both"/>
                    <w:rPr>
                      <w:rFonts w:ascii="Times New Roman" w:hAnsi="Times New Roman"/>
                    </w:rPr>
                  </w:pPr>
                  <w:r>
                    <w:rPr>
                      <w:rFonts w:hint="eastAsia" w:ascii="Times New Roman" w:hAnsi="Times New Roman"/>
                    </w:rPr>
                    <w:t>进入蒸压斧的总容积不变，</w:t>
                  </w:r>
                  <w:r>
                    <w:rPr>
                      <w:rFonts w:hint="eastAsia" w:ascii="Times New Roman" w:hAnsi="Times New Roman"/>
                      <w:lang w:eastAsia="zh-CN"/>
                    </w:rPr>
                    <w:t>蒸汽养护</w:t>
                  </w:r>
                  <w:r>
                    <w:rPr>
                      <w:rFonts w:hint="eastAsia" w:ascii="Times New Roman" w:hAnsi="Times New Roman"/>
                    </w:rPr>
                    <w:t>可满足要求。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2" w:type="pct"/>
                  <w:vAlign w:val="center"/>
                </w:tcPr>
                <w:p>
                  <w:pPr>
                    <w:pStyle w:val="79"/>
                    <w:jc w:val="both"/>
                    <w:rPr>
                      <w:rFonts w:ascii="Times New Roman" w:hAnsi="Times New Roman"/>
                    </w:rPr>
                  </w:pPr>
                  <w:r>
                    <w:rPr>
                      <w:rFonts w:ascii="Times New Roman" w:hAnsi="Times New Roman"/>
                    </w:rPr>
                    <w:t>环保工程</w:t>
                  </w:r>
                </w:p>
              </w:tc>
              <w:tc>
                <w:tcPr>
                  <w:tcW w:w="623" w:type="pct"/>
                  <w:vAlign w:val="center"/>
                </w:tcPr>
                <w:p>
                  <w:pPr>
                    <w:pStyle w:val="79"/>
                    <w:jc w:val="both"/>
                    <w:rPr>
                      <w:rFonts w:ascii="Times New Roman" w:hAnsi="Times New Roman"/>
                    </w:rPr>
                  </w:pPr>
                  <w:r>
                    <w:rPr>
                      <w:rFonts w:ascii="Times New Roman" w:hAnsi="Times New Roman"/>
                    </w:rPr>
                    <w:t>生活污水</w:t>
                  </w:r>
                </w:p>
              </w:tc>
              <w:tc>
                <w:tcPr>
                  <w:tcW w:w="1646" w:type="pct"/>
                  <w:vAlign w:val="center"/>
                </w:tcPr>
                <w:p>
                  <w:pPr>
                    <w:pStyle w:val="79"/>
                    <w:ind w:firstLine="198"/>
                    <w:jc w:val="both"/>
                    <w:rPr>
                      <w:rFonts w:ascii="Times New Roman" w:hAnsi="Times New Roman"/>
                    </w:rPr>
                  </w:pPr>
                  <w:r>
                    <w:rPr>
                      <w:rFonts w:ascii="Times New Roman" w:hAnsi="Times New Roman"/>
                    </w:rPr>
                    <w:t>废水由砖厂预处理池（10m</w:t>
                  </w:r>
                  <w:r>
                    <w:rPr>
                      <w:rFonts w:ascii="Times New Roman" w:hAnsi="Times New Roman"/>
                      <w:vertAlign w:val="superscript"/>
                    </w:rPr>
                    <w:t>3</w:t>
                  </w:r>
                  <w:r>
                    <w:rPr>
                      <w:rFonts w:ascii="Times New Roman" w:hAnsi="Times New Roman"/>
                    </w:rPr>
                    <w:t>）处理后</w:t>
                  </w:r>
                  <w:r>
                    <w:rPr>
                      <w:rFonts w:hint="eastAsia" w:ascii="Times New Roman" w:hAnsi="Times New Roman"/>
                    </w:rPr>
                    <w:t>交由大英县洁达环保科技有限公司收集处理后达标排放</w:t>
                  </w:r>
                </w:p>
              </w:tc>
              <w:tc>
                <w:tcPr>
                  <w:tcW w:w="2200" w:type="pct"/>
                  <w:vAlign w:val="center"/>
                </w:tcPr>
                <w:p>
                  <w:pPr>
                    <w:pStyle w:val="79"/>
                    <w:ind w:firstLine="198"/>
                    <w:jc w:val="both"/>
                    <w:rPr>
                      <w:rFonts w:ascii="Times New Roman" w:hAnsi="Times New Roman"/>
                    </w:rPr>
                  </w:pPr>
                  <w:r>
                    <w:rPr>
                      <w:rFonts w:ascii="Times New Roman" w:hAnsi="Times New Roman"/>
                    </w:rPr>
                    <w:t>本项目生活污水量为1.19m</w:t>
                  </w:r>
                  <w:r>
                    <w:rPr>
                      <w:rFonts w:ascii="Times New Roman" w:hAnsi="Times New Roman"/>
                      <w:vertAlign w:val="superscript"/>
                    </w:rPr>
                    <w:t>3</w:t>
                  </w:r>
                  <w:r>
                    <w:rPr>
                      <w:rFonts w:ascii="Times New Roman" w:hAnsi="Times New Roman"/>
                    </w:rPr>
                    <w:t>/d满足本项目依托需要</w:t>
                  </w:r>
                </w:p>
              </w:tc>
            </w:tr>
          </w:tbl>
          <w:p>
            <w:pPr>
              <w:pStyle w:val="62"/>
              <w:spacing w:before="120" w:beforeLines="50"/>
              <w:ind w:firstLine="0"/>
              <w:rPr>
                <w:rFonts w:ascii="Times New Roman" w:hAnsi="Times New Roman"/>
                <w:b/>
              </w:rPr>
            </w:pPr>
            <w:r>
              <w:rPr>
                <w:rFonts w:ascii="Times New Roman" w:hAnsi="Times New Roman"/>
                <w:b/>
              </w:rPr>
              <w:t>9、厂区平面布置</w:t>
            </w:r>
          </w:p>
          <w:p>
            <w:pPr>
              <w:pStyle w:val="62"/>
              <w:adjustRightInd/>
              <w:ind w:firstLine="480" w:firstLineChars="200"/>
              <w:rPr>
                <w:rFonts w:ascii="Times New Roman" w:hAnsi="Times New Roman"/>
              </w:rPr>
            </w:pPr>
            <w:r>
              <w:rPr>
                <w:rFonts w:ascii="Times New Roman" w:hAnsi="Times New Roman"/>
              </w:rPr>
              <w:t>本项目根据厂区“分区合理、工艺流畅、物流短捷、突出环保与安全”的原则，结合场地的用地条件及生产工艺，综合考虑环保、消防、绿化、劳动卫生等要求，对平面布置进行了统筹安排。具体项目平面布置图详见附图7。</w:t>
            </w:r>
          </w:p>
          <w:p>
            <w:pPr>
              <w:pStyle w:val="62"/>
              <w:adjustRightInd/>
              <w:ind w:firstLine="480" w:firstLineChars="200"/>
              <w:rPr>
                <w:rFonts w:ascii="Times New Roman" w:hAnsi="Times New Roman"/>
              </w:rPr>
            </w:pPr>
            <w:r>
              <w:rPr>
                <w:rFonts w:ascii="Times New Roman" w:hAnsi="Times New Roman"/>
              </w:rPr>
              <w:t>本项目用地范围内仅设置生产车间、成品堆放区等。生产车间设置为封闭车间，原料堆放于车间内。运营期产生的大气污染物为粉尘，主要产尘点均设置于封闭式生产车间内，粉尘排放满足厂界及厂区周边居民敏感目标处的大气环境质量控制要求。同时，经过厂房隔声、基础减震、高噪音设备下沉安装、距离衰减等措施，本项目主要产噪设备产生的噪声也可以满足厂界达标排放及居民敏感目标处的声环境质量控制要求。</w:t>
            </w:r>
          </w:p>
          <w:p>
            <w:pPr>
              <w:pStyle w:val="62"/>
              <w:adjustRightInd/>
              <w:ind w:firstLine="480" w:firstLineChars="200"/>
              <w:rPr>
                <w:rFonts w:ascii="Times New Roman" w:hAnsi="Times New Roman"/>
              </w:rPr>
            </w:pPr>
            <w:r>
              <w:rPr>
                <w:rFonts w:ascii="Times New Roman" w:hAnsi="Times New Roman"/>
              </w:rPr>
              <w:t>本次项目合理利用了土地，使项目产生的各污染物都能得到有效的控制，满足达标排放的要求，因此本次项目平面布置较为合理。</w:t>
            </w:r>
          </w:p>
          <w:p>
            <w:pPr>
              <w:pStyle w:val="62"/>
              <w:adjustRightInd/>
              <w:ind w:firstLine="480" w:firstLineChars="200"/>
              <w:rPr>
                <w:rFonts w:ascii="Times New Roman" w:hAnsi="Times New Roman"/>
              </w:rPr>
            </w:pPr>
          </w:p>
          <w:p>
            <w:pPr>
              <w:pStyle w:val="62"/>
              <w:adjustRightInd/>
              <w:ind w:firstLine="480" w:firstLineChars="200"/>
              <w:rPr>
                <w:rFonts w:ascii="Times New Roman" w:hAnsi="Times New Roman"/>
              </w:rPr>
            </w:pPr>
          </w:p>
          <w:p>
            <w:pPr>
              <w:pStyle w:val="62"/>
              <w:adjustRightInd/>
              <w:ind w:firstLine="480" w:firstLineChars="200"/>
              <w:rPr>
                <w:rFonts w:ascii="Times New Roman" w:hAnsi="Times New Roman"/>
              </w:rPr>
            </w:pPr>
          </w:p>
          <w:p>
            <w:pPr>
              <w:pStyle w:val="62"/>
              <w:adjustRightInd/>
              <w:ind w:firstLine="480" w:firstLineChars="200"/>
              <w:rPr>
                <w:rFonts w:ascii="Times New Roman" w:hAnsi="Times New Roman"/>
              </w:rPr>
            </w:pPr>
          </w:p>
          <w:p>
            <w:pPr>
              <w:pStyle w:val="62"/>
              <w:adjustRightInd/>
              <w:ind w:firstLine="0"/>
              <w:rPr>
                <w:rFonts w:ascii="Times New Roman" w:hAnsi="Times New Roman"/>
              </w:rPr>
            </w:pPr>
          </w:p>
          <w:p>
            <w:pPr>
              <w:pStyle w:val="62"/>
              <w:adjustRightInd/>
              <w:ind w:firstLine="0"/>
              <w:rPr>
                <w:rFonts w:ascii="Times New Roman" w:hAnsi="Times New Roman"/>
                <w:bCs w:val="0"/>
                <w:szCs w:val="21"/>
              </w:rPr>
            </w:pPr>
          </w:p>
        </w:tc>
      </w:tr>
    </w:tbl>
    <w:p>
      <w:pPr>
        <w:sectPr>
          <w:pgSz w:w="11906" w:h="16838"/>
          <w:pgMar w:top="1701" w:right="1531" w:bottom="1701"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8824" w:type="dxa"/>
            <w:vAlign w:val="center"/>
          </w:tcPr>
          <w:p>
            <w:pPr>
              <w:pStyle w:val="75"/>
              <w:kinsoku w:val="0"/>
              <w:overflowPunct w:val="0"/>
              <w:spacing w:before="120" w:beforeLines="50" w:line="360" w:lineRule="auto"/>
              <w:jc w:val="center"/>
              <w:rPr>
                <w:rFonts w:ascii="Times New Roman" w:hAnsi="Times New Roman" w:eastAsiaTheme="minorEastAsia"/>
                <w:b/>
                <w:bCs/>
                <w:sz w:val="24"/>
                <w:szCs w:val="24"/>
                <w:lang w:eastAsia="zh-CN"/>
              </w:rPr>
            </w:pPr>
            <w:r>
              <w:rPr>
                <w:rFonts w:ascii="Times New Roman" w:hAnsi="Times New Roman"/>
                <w:b/>
                <w:bCs/>
                <w:sz w:val="24"/>
                <w:szCs w:val="24"/>
                <w:lang w:eastAsia="zh-CN"/>
              </w:rPr>
              <w:t>工艺流程和产排污环节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0" w:hRule="atLeast"/>
          <w:jc w:val="center"/>
        </w:trPr>
        <w:tc>
          <w:tcPr>
            <w:tcW w:w="8824" w:type="dxa"/>
          </w:tcPr>
          <w:p>
            <w:pPr>
              <w:spacing w:line="360" w:lineRule="auto"/>
              <w:rPr>
                <w:b/>
                <w:bCs/>
                <w:sz w:val="24"/>
              </w:rPr>
            </w:pPr>
            <w:r>
              <w:rPr>
                <w:b/>
                <w:bCs/>
                <w:sz w:val="24"/>
              </w:rPr>
              <w:t>1</w:t>
            </w:r>
            <w:r>
              <w:rPr>
                <w:b/>
              </w:rPr>
              <w:t>、</w:t>
            </w:r>
            <w:r>
              <w:rPr>
                <w:b/>
                <w:bCs/>
                <w:sz w:val="24"/>
              </w:rPr>
              <w:t>施工期工程分析</w:t>
            </w:r>
          </w:p>
          <w:p>
            <w:pPr>
              <w:tabs>
                <w:tab w:val="left" w:pos="3780"/>
              </w:tabs>
              <w:spacing w:line="360" w:lineRule="auto"/>
              <w:ind w:firstLine="480" w:firstLineChars="200"/>
              <w:rPr>
                <w:bCs/>
                <w:sz w:val="24"/>
              </w:rPr>
            </w:pPr>
            <w:r>
              <w:rPr>
                <w:sz w:val="24"/>
              </w:rPr>
              <w:t>本项目</w:t>
            </w:r>
            <w:r>
              <w:rPr>
                <w:rFonts w:hint="eastAsia"/>
                <w:sz w:val="24"/>
              </w:rPr>
              <w:t>在公司已有的</w:t>
            </w:r>
            <w:r>
              <w:rPr>
                <w:sz w:val="24"/>
              </w:rPr>
              <w:t>闲置空地进行简易式管架结构厂房的生产建设，施工期</w:t>
            </w:r>
            <w:r>
              <w:rPr>
                <w:bCs/>
                <w:sz w:val="24"/>
              </w:rPr>
              <w:t>主要为厂房搭建及设备安装、调试设。本项目在施工期的污染源较为简单，对环境影响小。</w:t>
            </w:r>
          </w:p>
          <w:p>
            <w:pPr>
              <w:tabs>
                <w:tab w:val="left" w:pos="3780"/>
              </w:tabs>
              <w:spacing w:line="360" w:lineRule="auto"/>
              <w:ind w:firstLine="480" w:firstLineChars="200"/>
              <w:rPr>
                <w:bCs/>
                <w:sz w:val="24"/>
              </w:rPr>
            </w:pPr>
            <w:r>
              <w:rPr>
                <w:bCs/>
                <w:sz w:val="24"/>
              </w:rPr>
              <w:t>施工期工艺流程及产污环节如下图所示。</w:t>
            </w:r>
          </w:p>
          <w:p>
            <w:pPr>
              <w:spacing w:line="360" w:lineRule="auto"/>
              <w:ind w:firstLine="422" w:firstLineChars="200"/>
            </w:pPr>
            <w:r>
              <w:rPr>
                <w:b/>
              </w:rPr>
              <w:object>
                <v:shape id="_x0000_i1025" o:spt="75" type="#_x0000_t75" style="height:101.3pt;width:363.35pt;" o:ole="t" filled="f" o:preferrelative="t" stroked="f" coordsize="21600,21600">
                  <v:path/>
                  <v:fill on="f" focussize="0,0"/>
                  <v:stroke on="f" joinstyle="miter"/>
                  <v:imagedata r:id="rId17" o:title=""/>
                  <o:lock v:ext="edit" aspectratio="f"/>
                  <w10:wrap type="none"/>
                  <w10:anchorlock/>
                </v:shape>
                <o:OLEObject Type="Embed" ProgID="Visio.Drawing.11" ShapeID="_x0000_i1025" DrawAspect="Content" ObjectID="_1468075725" r:id="rId16">
                  <o:LockedField>false</o:LockedField>
                </o:OLEObject>
              </w:object>
            </w:r>
          </w:p>
          <w:p>
            <w:pPr>
              <w:adjustRightInd w:val="0"/>
              <w:snapToGrid w:val="0"/>
              <w:spacing w:line="360" w:lineRule="auto"/>
              <w:ind w:firstLine="1265" w:firstLineChars="600"/>
              <w:rPr>
                <w:bCs/>
                <w:sz w:val="24"/>
              </w:rPr>
            </w:pPr>
            <w:r>
              <w:rPr>
                <w:b/>
              </w:rPr>
              <w:t>图2-4 项目施工期工艺流程及产污环节图</w:t>
            </w:r>
          </w:p>
          <w:p>
            <w:pPr>
              <w:spacing w:line="360" w:lineRule="auto"/>
              <w:rPr>
                <w:b/>
                <w:bCs/>
                <w:sz w:val="24"/>
              </w:rPr>
            </w:pPr>
            <w:r>
              <w:rPr>
                <w:b/>
                <w:bCs/>
                <w:sz w:val="24"/>
              </w:rPr>
              <w:t>2</w:t>
            </w:r>
            <w:r>
              <w:rPr>
                <w:b/>
              </w:rPr>
              <w:t>、</w:t>
            </w:r>
            <w:r>
              <w:rPr>
                <w:b/>
                <w:bCs/>
                <w:sz w:val="24"/>
              </w:rPr>
              <w:t>运营期工艺流程</w:t>
            </w:r>
          </w:p>
          <w:p>
            <w:pPr>
              <w:spacing w:line="360" w:lineRule="auto"/>
              <w:ind w:firstLine="482" w:firstLineChars="200"/>
              <w:rPr>
                <w:b/>
                <w:bCs/>
                <w:sz w:val="24"/>
              </w:rPr>
            </w:pPr>
            <w:r>
              <w:rPr>
                <w:b/>
                <w:bCs/>
                <w:sz w:val="24"/>
              </w:rPr>
              <w:t>2.1项目蒸压砖生产线生产工艺及产污分析</w:t>
            </w:r>
          </w:p>
          <w:p>
            <w:pPr>
              <w:spacing w:line="360" w:lineRule="auto"/>
              <w:ind w:firstLine="482" w:firstLineChars="200"/>
              <w:rPr>
                <w:rFonts w:hint="eastAsia"/>
                <w:b/>
                <w:bCs/>
                <w:sz w:val="24"/>
              </w:rPr>
            </w:pPr>
            <w:r>
              <w:rPr>
                <w:rFonts w:hint="eastAsia"/>
                <w:b/>
                <w:bCs/>
                <w:sz w:val="24"/>
              </w:rPr>
              <w:t>工艺流程涉密。</w:t>
            </w:r>
          </w:p>
          <w:p>
            <w:pPr>
              <w:spacing w:line="360" w:lineRule="auto"/>
              <w:ind w:firstLine="482" w:firstLineChars="200"/>
              <w:rPr>
                <w:b/>
                <w:bCs/>
                <w:sz w:val="24"/>
              </w:rPr>
            </w:pPr>
            <w:r>
              <w:rPr>
                <w:b/>
                <w:bCs/>
                <w:sz w:val="24"/>
              </w:rPr>
              <w:t>2.2项目蒸养砖生产线生产工艺及产污分析</w:t>
            </w:r>
          </w:p>
          <w:p>
            <w:pPr>
              <w:spacing w:line="360" w:lineRule="auto"/>
              <w:ind w:firstLine="480" w:firstLineChars="200"/>
              <w:rPr>
                <w:sz w:val="24"/>
              </w:rPr>
            </w:pPr>
            <w:r>
              <w:rPr>
                <w:rFonts w:hint="eastAsia"/>
                <w:sz w:val="24"/>
              </w:rPr>
              <w:t>蒸养砖</w:t>
            </w:r>
            <w:r>
              <w:rPr>
                <w:sz w:val="24"/>
              </w:rPr>
              <w:t>利用水泥、碎石、粉煤灰、石灰以及建筑垃圾</w:t>
            </w:r>
            <w:r>
              <w:rPr>
                <w:rFonts w:hint="eastAsia"/>
                <w:sz w:val="24"/>
              </w:rPr>
              <w:t>等</w:t>
            </w:r>
            <w:r>
              <w:rPr>
                <w:sz w:val="24"/>
              </w:rPr>
              <w:t>为原料生产轻质建筑材料，为了减少粉尘产生，本次</w:t>
            </w:r>
            <w:r>
              <w:rPr>
                <w:rFonts w:hint="eastAsia"/>
                <w:sz w:val="24"/>
              </w:rPr>
              <w:t>项目拟</w:t>
            </w:r>
            <w:r>
              <w:rPr>
                <w:sz w:val="24"/>
              </w:rPr>
              <w:t>对原生产线进行提标改造，直接购买成品石灰粉</w:t>
            </w:r>
            <w:r>
              <w:rPr>
                <w:rFonts w:hint="eastAsia"/>
                <w:sz w:val="24"/>
              </w:rPr>
              <w:t>替代原来的石灰块</w:t>
            </w:r>
            <w:r>
              <w:rPr>
                <w:sz w:val="24"/>
              </w:rPr>
              <w:t>，减少</w:t>
            </w:r>
            <w:r>
              <w:rPr>
                <w:rFonts w:hint="eastAsia"/>
                <w:sz w:val="24"/>
              </w:rPr>
              <w:t>了石灰块</w:t>
            </w:r>
            <w:r>
              <w:rPr>
                <w:sz w:val="24"/>
              </w:rPr>
              <w:t>破碎粉尘的产生，</w:t>
            </w:r>
            <w:r>
              <w:rPr>
                <w:rFonts w:hint="eastAsia"/>
                <w:sz w:val="24"/>
              </w:rPr>
              <w:t>同时将破碎工序布置在封闭车间内进行，加强车间易产尘点喷雾降尘设施的布置，以减少粉尘的产生，</w:t>
            </w:r>
            <w:r>
              <w:rPr>
                <w:sz w:val="24"/>
              </w:rPr>
              <w:t>其具体生产工艺及产污环节如下图所示：</w:t>
            </w:r>
          </w:p>
          <w:p>
            <w:pPr>
              <w:spacing w:line="360" w:lineRule="auto"/>
              <w:ind w:firstLine="422" w:firstLineChars="200"/>
              <w:rPr>
                <w:b/>
                <w:bCs/>
                <w:szCs w:val="21"/>
                <w:lang w:val="zh-CN"/>
              </w:rPr>
            </w:pPr>
            <w:r>
              <w:rPr>
                <w:b/>
                <w:bCs/>
                <w:szCs w:val="21"/>
                <w:lang w:val="zh-CN"/>
              </w:rPr>
              <w:drawing>
                <wp:inline distT="0" distB="0" distL="0" distR="0">
                  <wp:extent cx="4772660" cy="5317490"/>
                  <wp:effectExtent l="0" t="0" r="8890" b="0"/>
                  <wp:docPr id="21015454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45459"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81666" cy="5327796"/>
                          </a:xfrm>
                          <a:prstGeom prst="rect">
                            <a:avLst/>
                          </a:prstGeom>
                          <a:noFill/>
                          <a:ln>
                            <a:noFill/>
                          </a:ln>
                        </pic:spPr>
                      </pic:pic>
                    </a:graphicData>
                  </a:graphic>
                </wp:inline>
              </w:drawing>
            </w:r>
          </w:p>
          <w:p>
            <w:pPr>
              <w:adjustRightInd w:val="0"/>
              <w:snapToGrid w:val="0"/>
              <w:spacing w:line="360" w:lineRule="auto"/>
              <w:ind w:firstLine="1476" w:firstLineChars="700"/>
              <w:rPr>
                <w:bCs/>
                <w:sz w:val="24"/>
              </w:rPr>
            </w:pPr>
            <w:r>
              <w:rPr>
                <w:b/>
              </w:rPr>
              <w:t>图2-6 项目运营期蒸养砖生产工艺流程及产污环节图</w:t>
            </w:r>
          </w:p>
          <w:p>
            <w:pPr>
              <w:spacing w:line="360" w:lineRule="auto"/>
              <w:ind w:firstLine="480" w:firstLineChars="200"/>
              <w:rPr>
                <w:sz w:val="24"/>
              </w:rPr>
            </w:pPr>
            <w:r>
              <w:rPr>
                <w:sz w:val="24"/>
              </w:rPr>
              <w:t>工艺流程简述：</w:t>
            </w:r>
          </w:p>
          <w:p>
            <w:pPr>
              <w:pStyle w:val="78"/>
              <w:numPr>
                <w:ilvl w:val="0"/>
                <w:numId w:val="3"/>
              </w:numPr>
              <w:adjustRightInd w:val="0"/>
              <w:snapToGrid w:val="0"/>
              <w:spacing w:line="360" w:lineRule="auto"/>
              <w:ind w:left="0" w:firstLine="200" w:firstLineChars="0"/>
              <w:rPr>
                <w:sz w:val="24"/>
              </w:rPr>
            </w:pPr>
            <w:r>
              <w:rPr>
                <w:b/>
                <w:sz w:val="24"/>
              </w:rPr>
              <w:t>原料运输与储存</w:t>
            </w:r>
          </w:p>
          <w:p>
            <w:pPr>
              <w:adjustRightInd w:val="0"/>
              <w:snapToGrid w:val="0"/>
              <w:spacing w:line="360" w:lineRule="auto"/>
              <w:ind w:firstLine="480" w:firstLineChars="200"/>
              <w:rPr>
                <w:sz w:val="24"/>
              </w:rPr>
            </w:pPr>
            <w:r>
              <w:rPr>
                <w:sz w:val="24"/>
              </w:rPr>
              <w:t>建筑垃圾、碎石</w:t>
            </w:r>
            <w:r>
              <w:rPr>
                <w:rFonts w:hint="eastAsia"/>
                <w:sz w:val="24"/>
                <w:lang w:eastAsia="zh-CN"/>
              </w:rPr>
              <w:t>由</w:t>
            </w:r>
            <w:r>
              <w:rPr>
                <w:rFonts w:hint="eastAsia"/>
                <w:sz w:val="24"/>
              </w:rPr>
              <w:t>密闭货车运至厂区，</w:t>
            </w:r>
            <w:r>
              <w:rPr>
                <w:sz w:val="24"/>
              </w:rPr>
              <w:t>存于</w:t>
            </w:r>
            <w:r>
              <w:rPr>
                <w:rFonts w:hint="eastAsia"/>
                <w:sz w:val="24"/>
              </w:rPr>
              <w:t>封闭的</w:t>
            </w:r>
            <w:r>
              <w:rPr>
                <w:sz w:val="24"/>
              </w:rPr>
              <w:t>原料堆存区。外购的粉煤灰、水泥、石灰</w:t>
            </w:r>
            <w:r>
              <w:rPr>
                <w:rFonts w:hint="eastAsia"/>
                <w:sz w:val="24"/>
              </w:rPr>
              <w:t>粉</w:t>
            </w:r>
            <w:r>
              <w:rPr>
                <w:sz w:val="24"/>
              </w:rPr>
              <w:t>均为符合生产需要规格的原材料，购进的水泥、粉煤灰、石灰</w:t>
            </w:r>
            <w:r>
              <w:rPr>
                <w:rFonts w:hint="eastAsia"/>
                <w:sz w:val="24"/>
              </w:rPr>
              <w:t>粉</w:t>
            </w:r>
            <w:r>
              <w:rPr>
                <w:sz w:val="24"/>
              </w:rPr>
              <w:t>用专用罐车运至</w:t>
            </w:r>
            <w:r>
              <w:rPr>
                <w:rFonts w:hint="eastAsia"/>
                <w:sz w:val="24"/>
              </w:rPr>
              <w:t>厂区</w:t>
            </w:r>
            <w:r>
              <w:rPr>
                <w:sz w:val="24"/>
              </w:rPr>
              <w:t>，经管道连接罐车与水泥筒仓、粉煤灰筒仓后用气泵输送至水泥筒仓、粉煤灰筒仓。</w:t>
            </w:r>
            <w:r>
              <w:rPr>
                <w:sz w:val="24"/>
                <w:u w:val="single"/>
              </w:rPr>
              <w:t>该过程主要产生运输装卸粉尘、噪声</w:t>
            </w:r>
            <w:r>
              <w:rPr>
                <w:sz w:val="24"/>
              </w:rPr>
              <w:t>。</w:t>
            </w:r>
          </w:p>
          <w:p>
            <w:pPr>
              <w:pStyle w:val="78"/>
              <w:numPr>
                <w:ilvl w:val="0"/>
                <w:numId w:val="3"/>
              </w:numPr>
              <w:adjustRightInd w:val="0"/>
              <w:snapToGrid w:val="0"/>
              <w:spacing w:line="360" w:lineRule="auto"/>
              <w:ind w:left="0" w:firstLine="200" w:firstLineChars="0"/>
              <w:rPr>
                <w:b/>
                <w:sz w:val="24"/>
              </w:rPr>
            </w:pPr>
            <w:r>
              <w:rPr>
                <w:b/>
                <w:sz w:val="24"/>
              </w:rPr>
              <w:t>建筑垃圾与碎石湿式破碎</w:t>
            </w:r>
          </w:p>
          <w:p>
            <w:pPr>
              <w:adjustRightInd w:val="0"/>
              <w:snapToGrid w:val="0"/>
              <w:spacing w:line="360" w:lineRule="auto"/>
              <w:ind w:firstLine="480" w:firstLineChars="200"/>
              <w:rPr>
                <w:sz w:val="24"/>
                <w:u w:val="single"/>
              </w:rPr>
            </w:pPr>
            <w:r>
              <w:rPr>
                <w:sz w:val="24"/>
              </w:rPr>
              <w:t>建筑垃圾与碎石在运至厂前已预先破碎至合适的大小，在厂内通过密闭的传输带进入球磨机制砂，该过程采用湿法作业。球磨机内装载各种规格的研磨体，当球磨机回转时，物料与研磨体混合，物料与研磨体相互挤压、摩擦的过程中，</w:t>
            </w:r>
            <w:r>
              <w:rPr>
                <w:rFonts w:hint="eastAsia"/>
                <w:sz w:val="24"/>
              </w:rPr>
              <w:t>从而</w:t>
            </w:r>
            <w:r>
              <w:rPr>
                <w:sz w:val="24"/>
              </w:rPr>
              <w:t>将物料磨碎。球磨制砂产生的砂浆进入制砂池待用，制砂池的砂浆通过泵进入配料机。</w:t>
            </w:r>
            <w:r>
              <w:rPr>
                <w:sz w:val="24"/>
                <w:u w:val="single"/>
              </w:rPr>
              <w:t>该过程主要产生噪声。</w:t>
            </w:r>
          </w:p>
          <w:p>
            <w:pPr>
              <w:adjustRightInd w:val="0"/>
              <w:snapToGrid w:val="0"/>
              <w:spacing w:line="360" w:lineRule="auto"/>
              <w:ind w:firstLine="241" w:firstLineChars="100"/>
              <w:rPr>
                <w:sz w:val="24"/>
              </w:rPr>
            </w:pPr>
            <w:r>
              <w:rPr>
                <w:b/>
                <w:sz w:val="24"/>
              </w:rPr>
              <w:t>（3）配料搅拌</w:t>
            </w:r>
          </w:p>
          <w:p>
            <w:pPr>
              <w:adjustRightInd w:val="0"/>
              <w:snapToGrid w:val="0"/>
              <w:spacing w:line="360" w:lineRule="auto"/>
              <w:ind w:firstLine="480" w:firstLineChars="200"/>
              <w:rPr>
                <w:sz w:val="24"/>
              </w:rPr>
            </w:pPr>
            <w:r>
              <w:rPr>
                <w:rFonts w:hint="eastAsia"/>
                <w:sz w:val="24"/>
              </w:rPr>
              <w:t>将制好的</w:t>
            </w:r>
            <w:r>
              <w:rPr>
                <w:sz w:val="24"/>
              </w:rPr>
              <w:t>砂浆与水泥、粉煤灰、石灰等原料按照一定的比例</w:t>
            </w:r>
            <w:r>
              <w:rPr>
                <w:rFonts w:hint="eastAsia"/>
                <w:sz w:val="24"/>
              </w:rPr>
              <w:t>，</w:t>
            </w:r>
            <w:r>
              <w:rPr>
                <w:sz w:val="24"/>
              </w:rPr>
              <w:t>分别经计量器计量后进入配料机。将所需要的水按照设定流量，用水泵输送至配料机配备的加水器，均匀的喷洒在配料机内。</w:t>
            </w:r>
          </w:p>
          <w:p>
            <w:pPr>
              <w:adjustRightInd w:val="0"/>
              <w:snapToGrid w:val="0"/>
              <w:spacing w:line="360" w:lineRule="auto"/>
              <w:ind w:firstLine="480" w:firstLineChars="200"/>
              <w:rPr>
                <w:sz w:val="24"/>
              </w:rPr>
            </w:pPr>
            <w:r>
              <w:rPr>
                <w:sz w:val="24"/>
              </w:rPr>
              <w:t>进入配料机内的物料，在配料机内螺旋桨片的搅拌下，相互之间产生挤压、磨擦、剪切、对流作用从而进行剧烈的拌合，并向出料口推移，当物料到达搅拌机出料口时，各物料已相互混合均匀，并具有压实所需要的含水量。</w:t>
            </w:r>
            <w:r>
              <w:rPr>
                <w:sz w:val="24"/>
                <w:u w:val="single"/>
              </w:rPr>
              <w:t>该工序主要产生搅拌粉尘、噪声、</w:t>
            </w:r>
            <w:r>
              <w:rPr>
                <w:kern w:val="0"/>
                <w:sz w:val="24"/>
                <w:u w:val="single"/>
              </w:rPr>
              <w:t>冲洗废水。</w:t>
            </w:r>
          </w:p>
          <w:p>
            <w:pPr>
              <w:adjustRightInd w:val="0"/>
              <w:snapToGrid w:val="0"/>
              <w:spacing w:line="360" w:lineRule="auto"/>
              <w:ind w:firstLine="200"/>
              <w:rPr>
                <w:b/>
                <w:sz w:val="24"/>
              </w:rPr>
            </w:pPr>
            <w:r>
              <w:rPr>
                <w:b/>
                <w:sz w:val="24"/>
              </w:rPr>
              <w:t>（4）模具成型与静停养护</w:t>
            </w:r>
          </w:p>
          <w:p>
            <w:pPr>
              <w:adjustRightInd w:val="0"/>
              <w:snapToGrid w:val="0"/>
              <w:spacing w:line="360" w:lineRule="auto"/>
              <w:ind w:firstLine="480" w:firstLineChars="200"/>
              <w:rPr>
                <w:sz w:val="24"/>
              </w:rPr>
            </w:pPr>
            <w:r>
              <w:rPr>
                <w:sz w:val="24"/>
              </w:rPr>
              <w:t>搅拌后的</w:t>
            </w:r>
            <w:r>
              <w:rPr>
                <w:rFonts w:hint="eastAsia"/>
                <w:sz w:val="24"/>
              </w:rPr>
              <w:t>物料</w:t>
            </w:r>
            <w:r>
              <w:rPr>
                <w:sz w:val="24"/>
              </w:rPr>
              <w:t>从配料机的出料口出来浇筑到模具内，磨具通过摆渡池进入到相应轨道区进行自然静停养护4h。</w:t>
            </w:r>
          </w:p>
          <w:p>
            <w:pPr>
              <w:adjustRightInd w:val="0"/>
              <w:snapToGrid w:val="0"/>
              <w:spacing w:line="360" w:lineRule="auto"/>
              <w:ind w:firstLine="200"/>
              <w:rPr>
                <w:sz w:val="24"/>
              </w:rPr>
            </w:pPr>
            <w:r>
              <w:rPr>
                <w:b/>
                <w:sz w:val="24"/>
              </w:rPr>
              <w:t>（5）切割成型</w:t>
            </w:r>
          </w:p>
          <w:p>
            <w:pPr>
              <w:adjustRightInd w:val="0"/>
              <w:snapToGrid w:val="0"/>
              <w:spacing w:line="360" w:lineRule="auto"/>
              <w:ind w:firstLine="480" w:firstLineChars="200"/>
              <w:rPr>
                <w:sz w:val="24"/>
                <w:u w:val="single"/>
              </w:rPr>
            </w:pPr>
            <w:r>
              <w:rPr>
                <w:sz w:val="24"/>
              </w:rPr>
              <w:t>将基本成型的产品按照预定规格进行切割，该工序切割时产品未完全固化，含水率较高，切割原理为钢丝对产品进行线切割，不会产生粉尘，切割产生的边角料采用自来水冲洗，冲洗水进入沉淀池。</w:t>
            </w:r>
            <w:r>
              <w:rPr>
                <w:sz w:val="24"/>
                <w:u w:val="single"/>
              </w:rPr>
              <w:t>该过程主要产生冲洗废水。</w:t>
            </w:r>
          </w:p>
          <w:p>
            <w:pPr>
              <w:adjustRightInd w:val="0"/>
              <w:snapToGrid w:val="0"/>
              <w:spacing w:line="360" w:lineRule="auto"/>
              <w:ind w:firstLine="200"/>
              <w:rPr>
                <w:sz w:val="24"/>
              </w:rPr>
            </w:pPr>
            <w:r>
              <w:rPr>
                <w:b/>
                <w:sz w:val="24"/>
              </w:rPr>
              <w:t>（6）</w:t>
            </w:r>
            <w:r>
              <w:rPr>
                <w:rFonts w:hint="eastAsia"/>
                <w:b/>
                <w:sz w:val="24"/>
                <w:lang w:eastAsia="zh-CN"/>
              </w:rPr>
              <w:t>蒸汽</w:t>
            </w:r>
            <w:r>
              <w:rPr>
                <w:b/>
                <w:sz w:val="24"/>
              </w:rPr>
              <w:t>养护</w:t>
            </w:r>
          </w:p>
          <w:p>
            <w:pPr>
              <w:adjustRightInd w:val="0"/>
              <w:snapToGrid w:val="0"/>
              <w:spacing w:line="360" w:lineRule="auto"/>
              <w:ind w:firstLine="480" w:firstLineChars="200"/>
              <w:rPr>
                <w:sz w:val="24"/>
              </w:rPr>
            </w:pPr>
            <w:r>
              <w:rPr>
                <w:sz w:val="24"/>
              </w:rPr>
              <w:t>本项目蒸汽养护室采用常压蒸汽养护的方式，对产品进行养护，配套4t/h 天然气蒸汽锅炉一座。蒸压室配备3台蒸压釜。</w:t>
            </w:r>
          </w:p>
          <w:p>
            <w:pPr>
              <w:adjustRightInd w:val="0"/>
              <w:snapToGrid w:val="0"/>
              <w:spacing w:line="360" w:lineRule="auto"/>
              <w:ind w:firstLine="480" w:firstLineChars="200"/>
              <w:rPr>
                <w:sz w:val="24"/>
              </w:rPr>
            </w:pPr>
            <w:r>
              <w:rPr>
                <w:sz w:val="24"/>
              </w:rPr>
              <w:t>蒸汽养护可分为四个阶段，分别为静置期、升温期、恒温期和降温期，总持续时长为8h。产品输送至养护室后首先静置一段时间，使得内部空气排出；然后输送高温蒸汽对养护室进行升温，养护室温度逐渐升至100℃左右，该过程持续约6h；养护室温度升至100℃后，通过自动化系统（PLC）调节，通过控制蒸汽输送量使得养护室内温度保持平衡稳定，产品在100℃的蒸汽养护下，逐渐硬化、增加强度；最后进入降温期，该过程需持续缓慢</w:t>
            </w:r>
            <w:r>
              <w:rPr>
                <w:rFonts w:hint="eastAsia"/>
                <w:sz w:val="24"/>
                <w:lang w:eastAsia="zh-CN"/>
              </w:rPr>
              <w:t>地</w:t>
            </w:r>
            <w:r>
              <w:rPr>
                <w:sz w:val="24"/>
              </w:rPr>
              <w:t>进行，以免温差变化过大造成产品产生微裂缝，全过程持续约8h。降温完成后，将养护完成的产品拉出养护室，暂存于成品区。</w:t>
            </w:r>
          </w:p>
          <w:p>
            <w:pPr>
              <w:adjustRightInd w:val="0"/>
              <w:snapToGrid w:val="0"/>
              <w:spacing w:line="360" w:lineRule="auto"/>
              <w:ind w:firstLine="480" w:firstLineChars="200"/>
              <w:rPr>
                <w:sz w:val="24"/>
                <w:u w:val="single"/>
              </w:rPr>
            </w:pPr>
            <w:r>
              <w:rPr>
                <w:sz w:val="24"/>
              </w:rPr>
              <w:t>养护过程中的蒸汽约70%冷凝成水，回流沉淀池，剩余蒸汽在养护过程中损耗。</w:t>
            </w:r>
            <w:r>
              <w:rPr>
                <w:sz w:val="24"/>
                <w:u w:val="single"/>
              </w:rPr>
              <w:t>该工序主要产生锅炉燃烧废气。</w:t>
            </w:r>
          </w:p>
          <w:p>
            <w:pPr>
              <w:pStyle w:val="2"/>
              <w:spacing w:after="0" w:line="360" w:lineRule="auto"/>
              <w:ind w:left="0" w:leftChars="0"/>
            </w:pPr>
          </w:p>
          <w:p>
            <w:pPr>
              <w:adjustRightInd w:val="0"/>
              <w:snapToGrid w:val="0"/>
              <w:spacing w:line="360" w:lineRule="auto"/>
              <w:ind w:firstLine="200"/>
              <w:rPr>
                <w:bCs/>
                <w:szCs w:val="21"/>
              </w:rPr>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p>
            <w:pPr>
              <w:pStyle w:val="2"/>
              <w:spacing w:after="0" w:line="360" w:lineRule="auto"/>
              <w:ind w:left="0" w:leftChars="0"/>
            </w:pPr>
          </w:p>
        </w:tc>
      </w:tr>
    </w:tbl>
    <w:p>
      <w:pPr>
        <w:sectPr>
          <w:pgSz w:w="11906" w:h="16838"/>
          <w:pgMar w:top="1701" w:right="1531" w:bottom="1701"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8824" w:type="dxa"/>
            <w:vAlign w:val="center"/>
          </w:tcPr>
          <w:p>
            <w:pPr>
              <w:adjustRightInd w:val="0"/>
              <w:snapToGrid w:val="0"/>
              <w:contextualSpacing/>
              <w:jc w:val="center"/>
              <w:rPr>
                <w:b/>
                <w:sz w:val="24"/>
              </w:rPr>
            </w:pPr>
            <w:r>
              <w:rPr>
                <w:b/>
                <w:sz w:val="24"/>
              </w:rPr>
              <w:t>与项目有关的原有环境污染问题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824" w:type="dxa"/>
            <w:vAlign w:val="center"/>
          </w:tcPr>
          <w:p>
            <w:pPr>
              <w:adjustRightInd w:val="0"/>
              <w:snapToGrid w:val="0"/>
              <w:spacing w:before="120" w:beforeLines="50" w:line="360" w:lineRule="auto"/>
              <w:ind w:firstLine="480" w:firstLineChars="200"/>
              <w:contextualSpacing/>
              <w:rPr>
                <w:rFonts w:eastAsiaTheme="minorEastAsia"/>
                <w:b/>
                <w:sz w:val="24"/>
              </w:rPr>
            </w:pPr>
            <w:r>
              <w:rPr>
                <w:rFonts w:eastAsiaTheme="minorEastAsia"/>
                <w:sz w:val="24"/>
              </w:rPr>
              <w:t>四川鸿乔再生资源利用有限公司</w:t>
            </w:r>
            <w:r>
              <w:rPr>
                <w:rFonts w:hint="eastAsia" w:eastAsiaTheme="minorEastAsia"/>
                <w:sz w:val="24"/>
              </w:rPr>
              <w:t>已建的“</w:t>
            </w:r>
            <w:r>
              <w:rPr>
                <w:rFonts w:eastAsiaTheme="minorEastAsia"/>
                <w:sz w:val="24"/>
              </w:rPr>
              <w:t>鸿乔再生资源利用项目</w:t>
            </w:r>
            <w:r>
              <w:rPr>
                <w:rFonts w:hint="eastAsia" w:eastAsiaTheme="minorEastAsia"/>
                <w:sz w:val="24"/>
              </w:rPr>
              <w:t>”</w:t>
            </w:r>
            <w:r>
              <w:rPr>
                <w:rFonts w:eastAsiaTheme="minorEastAsia"/>
                <w:sz w:val="24"/>
              </w:rPr>
              <w:t>于2021年9月15日获得《遂宁市大英生态环境局关于鸿乔再生资源利用项目环境影响报告表的批复》（遂大环函〔2021〕119号）。项目利用</w:t>
            </w:r>
            <w:r>
              <w:rPr>
                <w:rFonts w:eastAsiaTheme="minorEastAsia"/>
                <w:kern w:val="0"/>
                <w:sz w:val="24"/>
              </w:rPr>
              <w:t>本地区建造新的建筑物所产生的建筑废料、市民装修产生的建筑装潢垃圾、拆迁工程产生的废料、道路修建与养护过程产生的废料等在内的</w:t>
            </w:r>
            <w:r>
              <w:rPr>
                <w:rFonts w:eastAsiaTheme="minorEastAsia"/>
                <w:sz w:val="24"/>
              </w:rPr>
              <w:t>建筑垃圾为主要原料，利用水泥、石灰、碎石、粉煤灰等作为辅料，生产轻质建筑材料（蒸养砖），年生产规模为8万m³，实现建筑垃圾的再生资源利用。项目受疫情影响等原因，建设进度有所延误，</w:t>
            </w:r>
            <w:r>
              <w:rPr>
                <w:rFonts w:eastAsiaTheme="minorEastAsia"/>
                <w:b/>
                <w:bCs/>
                <w:sz w:val="24"/>
              </w:rPr>
              <w:t>现处于设备调试阶段，加之企业流动资金困难，目前项目基本处于停滞状态，未正式投产，未申领</w:t>
            </w:r>
            <w:r>
              <w:rPr>
                <w:b/>
                <w:bCs/>
                <w:kern w:val="21"/>
                <w:sz w:val="24"/>
              </w:rPr>
              <w:t>排污许可手续，未进行项目竣工环境保护验收，</w:t>
            </w:r>
            <w:r>
              <w:rPr>
                <w:b/>
                <w:sz w:val="24"/>
              </w:rPr>
              <w:t>原项目无污染物产生及排放，且不涉及危险化学品的存储，不存在与项目有关的原有污染情况及主要环境问题，亦无环境遗留问题</w:t>
            </w:r>
            <w:r>
              <w:rPr>
                <w:rFonts w:hint="eastAsia"/>
                <w:b/>
                <w:sz w:val="24"/>
              </w:rPr>
              <w:t>，</w:t>
            </w:r>
            <w:r>
              <w:rPr>
                <w:rFonts w:hint="eastAsia" w:ascii="宋体" w:hAnsi="宋体" w:cs="宋体"/>
                <w:b/>
                <w:sz w:val="24"/>
              </w:rPr>
              <w:t>无环保投诉和纠纷</w:t>
            </w:r>
            <w:r>
              <w:rPr>
                <w:b/>
                <w:sz w:val="24"/>
              </w:rPr>
              <w:t>。</w:t>
            </w:r>
          </w:p>
          <w:p>
            <w:pPr>
              <w:pStyle w:val="70"/>
              <w:spacing w:line="360" w:lineRule="auto"/>
              <w:ind w:left="0" w:right="0" w:firstLine="480" w:firstLineChars="200"/>
              <w:jc w:val="both"/>
              <w:rPr>
                <w:kern w:val="2"/>
              </w:rPr>
            </w:pPr>
            <w:r>
              <w:t>本次环评根据原环评报告</w:t>
            </w:r>
            <w:r>
              <w:rPr>
                <w:rFonts w:hint="eastAsia"/>
              </w:rPr>
              <w:t>及调查情况</w:t>
            </w:r>
            <w:r>
              <w:t>进行简单的回顾性分析，</w:t>
            </w:r>
            <w:r>
              <w:rPr>
                <w:kern w:val="2"/>
              </w:rPr>
              <w:t>具体如下：</w:t>
            </w:r>
          </w:p>
          <w:p>
            <w:pPr>
              <w:spacing w:line="360" w:lineRule="auto"/>
              <w:rPr>
                <w:b/>
                <w:bCs/>
                <w:sz w:val="24"/>
              </w:rPr>
            </w:pPr>
            <w:r>
              <w:rPr>
                <w:b/>
                <w:bCs/>
                <w:sz w:val="24"/>
              </w:rPr>
              <w:t>1</w:t>
            </w:r>
            <w:r>
              <w:rPr>
                <w:b/>
              </w:rPr>
              <w:t>、</w:t>
            </w:r>
            <w:r>
              <w:rPr>
                <w:b/>
                <w:bCs/>
                <w:sz w:val="24"/>
              </w:rPr>
              <w:t>原项目蒸养砖</w:t>
            </w:r>
            <w:r>
              <w:rPr>
                <w:rFonts w:hint="eastAsia"/>
                <w:b/>
                <w:bCs/>
                <w:sz w:val="24"/>
              </w:rPr>
              <w:t>生产</w:t>
            </w:r>
            <w:r>
              <w:rPr>
                <w:b/>
                <w:bCs/>
                <w:sz w:val="24"/>
              </w:rPr>
              <w:t>工艺流程</w:t>
            </w:r>
          </w:p>
          <w:p>
            <w:pPr>
              <w:spacing w:line="360" w:lineRule="auto"/>
              <w:ind w:firstLine="480" w:firstLineChars="200"/>
              <w:rPr>
                <w:sz w:val="24"/>
              </w:rPr>
            </w:pPr>
            <w:r>
              <w:rPr>
                <w:sz w:val="24"/>
              </w:rPr>
              <w:t>本项目利用水泥、碎石、粉煤灰、石灰以及建筑垃圾为原料生产轻质建筑材料，其生产工艺如下图所示：</w:t>
            </w:r>
          </w:p>
          <w:p>
            <w:pPr>
              <w:spacing w:line="360" w:lineRule="auto"/>
              <w:ind w:firstLine="420" w:firstLineChars="200"/>
              <w:jc w:val="center"/>
              <w:rPr>
                <w:b/>
                <w:bCs/>
                <w:szCs w:val="21"/>
                <w:lang w:val="zh-CN"/>
              </w:rPr>
            </w:pPr>
            <w:r>
              <w:object>
                <v:shape id="_x0000_i1026" o:spt="75" type="#_x0000_t75" style="height:246.15pt;width:234.4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6" r:id="rId19">
                  <o:LockedField>false</o:LockedField>
                </o:OLEObject>
              </w:object>
            </w:r>
          </w:p>
          <w:p>
            <w:pPr>
              <w:adjustRightInd w:val="0"/>
              <w:snapToGrid w:val="0"/>
              <w:spacing w:line="360" w:lineRule="auto"/>
              <w:ind w:firstLine="422" w:firstLineChars="200"/>
              <w:jc w:val="center"/>
              <w:rPr>
                <w:bCs/>
                <w:sz w:val="24"/>
              </w:rPr>
            </w:pPr>
            <w:r>
              <w:rPr>
                <w:b/>
              </w:rPr>
              <w:t>图2-7</w:t>
            </w:r>
            <w:r>
              <w:rPr>
                <w:rFonts w:hint="eastAsia"/>
                <w:b/>
              </w:rPr>
              <w:t>原</w:t>
            </w:r>
            <w:r>
              <w:rPr>
                <w:b/>
              </w:rPr>
              <w:t>项目运营期工艺流程及产污环节图</w:t>
            </w:r>
          </w:p>
          <w:p>
            <w:pPr>
              <w:spacing w:line="360" w:lineRule="auto"/>
              <w:ind w:firstLine="480" w:firstLineChars="200"/>
              <w:rPr>
                <w:sz w:val="24"/>
              </w:rPr>
            </w:pPr>
            <w:r>
              <w:rPr>
                <w:sz w:val="24"/>
              </w:rPr>
              <w:t>工艺流程简述：</w:t>
            </w:r>
          </w:p>
          <w:p>
            <w:pPr>
              <w:pStyle w:val="78"/>
              <w:numPr>
                <w:ilvl w:val="0"/>
                <w:numId w:val="4"/>
              </w:numPr>
              <w:adjustRightInd w:val="0"/>
              <w:snapToGrid w:val="0"/>
              <w:spacing w:line="360" w:lineRule="auto"/>
              <w:ind w:firstLineChars="0"/>
              <w:rPr>
                <w:sz w:val="24"/>
              </w:rPr>
            </w:pPr>
            <w:r>
              <w:rPr>
                <w:b/>
                <w:sz w:val="24"/>
              </w:rPr>
              <w:t>原料运输与储存</w:t>
            </w:r>
          </w:p>
          <w:p>
            <w:pPr>
              <w:adjustRightInd w:val="0"/>
              <w:snapToGrid w:val="0"/>
              <w:spacing w:line="360" w:lineRule="auto"/>
              <w:ind w:firstLine="480" w:firstLineChars="200"/>
              <w:rPr>
                <w:sz w:val="24"/>
              </w:rPr>
            </w:pPr>
            <w:r>
              <w:rPr>
                <w:sz w:val="24"/>
              </w:rPr>
              <w:t>建筑垃圾、碎石、石灰块经密闭货车运送至生产车间，建筑垃圾、碎石存于原料堆存区，石灰块单独堆存于堆存区。外购的粉煤灰、水泥均为符合生产需要规格的原材料，购进的水泥、粉煤灰用专用罐车运至生产车间，经管道连接罐车与水泥筒仓、粉煤灰筒仓后用气泵输送至水泥筒仓、粉煤灰筒仓。</w:t>
            </w:r>
            <w:r>
              <w:rPr>
                <w:sz w:val="24"/>
                <w:u w:val="single"/>
              </w:rPr>
              <w:t>该过程主要产生运输装卸粉尘、噪声</w:t>
            </w:r>
            <w:r>
              <w:rPr>
                <w:sz w:val="24"/>
              </w:rPr>
              <w:t>。</w:t>
            </w:r>
          </w:p>
          <w:p>
            <w:pPr>
              <w:pStyle w:val="78"/>
              <w:numPr>
                <w:ilvl w:val="0"/>
                <w:numId w:val="4"/>
              </w:numPr>
              <w:adjustRightInd w:val="0"/>
              <w:snapToGrid w:val="0"/>
              <w:spacing w:line="360" w:lineRule="auto"/>
              <w:ind w:left="0" w:firstLine="200" w:firstLineChars="0"/>
              <w:rPr>
                <w:b/>
                <w:sz w:val="24"/>
              </w:rPr>
            </w:pPr>
            <w:r>
              <w:rPr>
                <w:b/>
                <w:sz w:val="24"/>
              </w:rPr>
              <w:t>建筑垃圾与碎石破碎</w:t>
            </w:r>
          </w:p>
          <w:p>
            <w:pPr>
              <w:adjustRightInd w:val="0"/>
              <w:snapToGrid w:val="0"/>
              <w:spacing w:line="360" w:lineRule="auto"/>
              <w:ind w:firstLine="480" w:firstLineChars="200"/>
              <w:rPr>
                <w:sz w:val="24"/>
                <w:u w:val="single"/>
              </w:rPr>
            </w:pPr>
            <w:r>
              <w:rPr>
                <w:sz w:val="24"/>
              </w:rPr>
              <w:t>建筑垃圾与碎石在运至厂前已预先破碎至合适的大小，在厂内通过密闭的传输带进入球磨机制砂，该过程采用湿法作业。球磨机内装载各种规格的研磨体，当球磨机回转时，物料与研磨体混合，物料与研磨体相互挤压、摩擦的过程中，将物料磨碎。球磨制砂产生的砂浆进入制砂池待用，制砂池的砂浆通过泵进入配料机。</w:t>
            </w:r>
            <w:r>
              <w:rPr>
                <w:sz w:val="24"/>
                <w:u w:val="single"/>
              </w:rPr>
              <w:t>该过程主要产生噪声。</w:t>
            </w:r>
          </w:p>
          <w:p>
            <w:pPr>
              <w:adjustRightInd w:val="0"/>
              <w:snapToGrid w:val="0"/>
              <w:spacing w:line="360" w:lineRule="auto"/>
              <w:ind w:firstLine="482" w:firstLineChars="200"/>
              <w:rPr>
                <w:sz w:val="24"/>
                <w:u w:val="single"/>
              </w:rPr>
            </w:pPr>
            <w:r>
              <w:rPr>
                <w:b/>
                <w:sz w:val="24"/>
              </w:rPr>
              <w:t>石灰块：</w:t>
            </w:r>
            <w:r>
              <w:rPr>
                <w:sz w:val="24"/>
              </w:rPr>
              <w:t>石灰块通过装载机铲至破碎机进料口进入埋设在地下的破碎机破碎，破碎后的石灰块颗粒提升斗提升至进入白灰罐1#暂存。项目破碎机密闭且位于地下，因此破碎过程的粉尘不会溢出，</w:t>
            </w:r>
            <w:r>
              <w:rPr>
                <w:sz w:val="24"/>
                <w:u w:val="single"/>
              </w:rPr>
              <w:t>该过程污染物为噪声</w:t>
            </w:r>
            <w:r>
              <w:rPr>
                <w:sz w:val="24"/>
              </w:rPr>
              <w:t>。石灰块颗粒再通过重力螺旋密闭输送带进入干式球磨机进行磨碎，磨碎后的石灰经提升机提升至白灰仓2#待用。</w:t>
            </w:r>
            <w:r>
              <w:rPr>
                <w:sz w:val="24"/>
                <w:u w:val="single"/>
              </w:rPr>
              <w:t>该过程的污染物为噪声、粉尘。</w:t>
            </w:r>
          </w:p>
          <w:p>
            <w:pPr>
              <w:adjustRightInd w:val="0"/>
              <w:snapToGrid w:val="0"/>
              <w:spacing w:line="360" w:lineRule="auto"/>
              <w:ind w:firstLine="241" w:firstLineChars="100"/>
              <w:rPr>
                <w:sz w:val="24"/>
              </w:rPr>
            </w:pPr>
            <w:r>
              <w:rPr>
                <w:b/>
                <w:sz w:val="24"/>
              </w:rPr>
              <w:t>（3）配料搅拌</w:t>
            </w:r>
          </w:p>
          <w:p>
            <w:pPr>
              <w:adjustRightInd w:val="0"/>
              <w:snapToGrid w:val="0"/>
              <w:spacing w:line="360" w:lineRule="auto"/>
              <w:ind w:firstLine="480" w:firstLineChars="200"/>
              <w:rPr>
                <w:sz w:val="24"/>
              </w:rPr>
            </w:pPr>
            <w:r>
              <w:rPr>
                <w:sz w:val="24"/>
              </w:rPr>
              <w:t>建筑垃圾碎石砂浆与水泥、粉煤灰、石灰等原料按照一定的比例分别经计量器中计量后进入配料机。将所需要的水按照设定流量，用水泵输送至配料机配备的加水器，均匀的喷洒在配料机内。</w:t>
            </w:r>
          </w:p>
          <w:p>
            <w:pPr>
              <w:adjustRightInd w:val="0"/>
              <w:snapToGrid w:val="0"/>
              <w:spacing w:line="360" w:lineRule="auto"/>
              <w:ind w:firstLine="480" w:firstLineChars="200"/>
              <w:rPr>
                <w:kern w:val="0"/>
                <w:sz w:val="24"/>
                <w:u w:val="single"/>
              </w:rPr>
            </w:pPr>
            <w:r>
              <w:rPr>
                <w:sz w:val="24"/>
              </w:rPr>
              <w:t>进入配料机内的物料，在配料机内螺旋桨片的搅拌下，相互之间产生挤压、磨擦、剪切、对流作用从而进行剧烈的拌合，并向出料口推移，当物料到达搅拌机出料口时，各物料已相互混合均匀，并具有压实所需要的含水量。</w:t>
            </w:r>
            <w:r>
              <w:rPr>
                <w:sz w:val="24"/>
                <w:u w:val="single"/>
              </w:rPr>
              <w:t>该工序主要产生搅拌粉尘、噪声、</w:t>
            </w:r>
            <w:r>
              <w:rPr>
                <w:kern w:val="0"/>
                <w:sz w:val="24"/>
                <w:u w:val="single"/>
              </w:rPr>
              <w:t>冲洗废水。</w:t>
            </w:r>
          </w:p>
          <w:p>
            <w:pPr>
              <w:pStyle w:val="2"/>
            </w:pPr>
          </w:p>
          <w:p>
            <w:pPr>
              <w:adjustRightInd w:val="0"/>
              <w:snapToGrid w:val="0"/>
              <w:spacing w:line="360" w:lineRule="auto"/>
              <w:ind w:firstLine="200"/>
              <w:rPr>
                <w:b/>
                <w:sz w:val="24"/>
              </w:rPr>
            </w:pPr>
            <w:r>
              <w:rPr>
                <w:b/>
                <w:sz w:val="24"/>
              </w:rPr>
              <w:t>（4）模具成型与静停养护</w:t>
            </w:r>
          </w:p>
          <w:p>
            <w:pPr>
              <w:adjustRightInd w:val="0"/>
              <w:snapToGrid w:val="0"/>
              <w:spacing w:line="360" w:lineRule="auto"/>
              <w:ind w:firstLine="480" w:firstLineChars="200"/>
              <w:rPr>
                <w:sz w:val="24"/>
              </w:rPr>
            </w:pPr>
            <w:r>
              <w:rPr>
                <w:sz w:val="24"/>
              </w:rPr>
              <w:t>搅拌后的混凝土从配料机的出料口出来浇筑到模具内，磨具通过摆渡池进入到相应轨道区进行自然静停养护4h。</w:t>
            </w:r>
          </w:p>
          <w:p>
            <w:pPr>
              <w:adjustRightInd w:val="0"/>
              <w:snapToGrid w:val="0"/>
              <w:spacing w:line="360" w:lineRule="auto"/>
              <w:ind w:firstLine="200"/>
              <w:rPr>
                <w:sz w:val="24"/>
              </w:rPr>
            </w:pPr>
            <w:r>
              <w:rPr>
                <w:b/>
                <w:sz w:val="24"/>
              </w:rPr>
              <w:t>（5）切割成型</w:t>
            </w:r>
          </w:p>
          <w:p>
            <w:pPr>
              <w:adjustRightInd w:val="0"/>
              <w:snapToGrid w:val="0"/>
              <w:spacing w:line="360" w:lineRule="auto"/>
              <w:ind w:firstLine="480" w:firstLineChars="200"/>
              <w:rPr>
                <w:sz w:val="24"/>
                <w:u w:val="single"/>
              </w:rPr>
            </w:pPr>
            <w:r>
              <w:rPr>
                <w:sz w:val="24"/>
              </w:rPr>
              <w:t>将基本成型的产品按照预定规格进行切割，该工序切割时产品未完全固化，含水率较高，切割原理为钢丝对产品进行线切割，不会产生粉尘，切割产生的边角料采用自来水冲洗，冲洗水进入沉淀池。</w:t>
            </w:r>
            <w:r>
              <w:rPr>
                <w:sz w:val="24"/>
                <w:u w:val="single"/>
              </w:rPr>
              <w:t>该过程主要产生冲洗废水。</w:t>
            </w:r>
          </w:p>
          <w:p>
            <w:pPr>
              <w:adjustRightInd w:val="0"/>
              <w:snapToGrid w:val="0"/>
              <w:spacing w:line="360" w:lineRule="auto"/>
              <w:ind w:firstLine="200"/>
              <w:rPr>
                <w:rFonts w:hint="eastAsia" w:eastAsia="宋体"/>
                <w:sz w:val="24"/>
                <w:lang w:eastAsia="zh-CN"/>
              </w:rPr>
            </w:pPr>
            <w:r>
              <w:rPr>
                <w:b/>
                <w:sz w:val="24"/>
              </w:rPr>
              <w:t>（6）</w:t>
            </w:r>
            <w:r>
              <w:rPr>
                <w:rFonts w:hint="eastAsia"/>
                <w:b/>
                <w:sz w:val="24"/>
                <w:lang w:eastAsia="zh-CN"/>
              </w:rPr>
              <w:t>蒸汽养护</w:t>
            </w:r>
          </w:p>
          <w:p>
            <w:pPr>
              <w:adjustRightInd w:val="0"/>
              <w:snapToGrid w:val="0"/>
              <w:spacing w:line="360" w:lineRule="auto"/>
              <w:ind w:firstLine="200"/>
              <w:rPr>
                <w:sz w:val="24"/>
              </w:rPr>
            </w:pPr>
            <w:r>
              <w:rPr>
                <w:sz w:val="24"/>
              </w:rPr>
              <w:t>本项目蒸汽养护室采用常压蒸汽养护的方式，对产品进行养护，配套4t/h 天然气蒸汽锅炉一座。蒸压室配备3台蒸压釜。</w:t>
            </w:r>
          </w:p>
          <w:p>
            <w:pPr>
              <w:adjustRightInd w:val="0"/>
              <w:snapToGrid w:val="0"/>
              <w:spacing w:line="360" w:lineRule="auto"/>
              <w:ind w:firstLine="200"/>
              <w:rPr>
                <w:sz w:val="24"/>
              </w:rPr>
            </w:pPr>
            <w:r>
              <w:rPr>
                <w:sz w:val="24"/>
              </w:rPr>
              <w:t>蒸汽养护可分为四个阶段，分别为静置期、升温期、恒温期和降温期，总持续时长为8h。产品输送至养护室后首先静置一段时间，使得内部空气排出；然后输送高温蒸汽对养护室进行升温，养护室温度逐渐升至100℃左右，该过程持续约6h；养护室温度升至100℃后，通过自动化系统（PLC）调节，通过控制蒸汽输送量使得养护室内温度保持平衡稳定，产品在100℃的蒸汽养护下，逐渐硬化、增加强度；最后进入降温期，该过程需持续</w:t>
            </w:r>
            <w:r>
              <w:rPr>
                <w:rFonts w:hint="eastAsia"/>
                <w:sz w:val="24"/>
                <w:lang w:eastAsia="zh-CN"/>
              </w:rPr>
              <w:t>缓慢地进行</w:t>
            </w:r>
            <w:r>
              <w:rPr>
                <w:sz w:val="24"/>
              </w:rPr>
              <w:t>，以免温差变化过大造成产品产生微裂缝，全过程持续约8h。降温完成后，将养护完成的产品拉出养护室，暂存于成品区。</w:t>
            </w:r>
          </w:p>
          <w:p>
            <w:pPr>
              <w:adjustRightInd w:val="0"/>
              <w:snapToGrid w:val="0"/>
              <w:spacing w:line="360" w:lineRule="auto"/>
              <w:ind w:firstLine="200"/>
              <w:rPr>
                <w:sz w:val="24"/>
                <w:u w:val="single"/>
              </w:rPr>
            </w:pPr>
            <w:r>
              <w:rPr>
                <w:sz w:val="24"/>
              </w:rPr>
              <w:t>养护过程中的蒸汽约70%冷凝成水，回流沉淀池，剩余蒸汽在养护过程中损耗。</w:t>
            </w:r>
            <w:r>
              <w:rPr>
                <w:sz w:val="24"/>
                <w:u w:val="single"/>
              </w:rPr>
              <w:t>该工序主要产生锅炉燃烧废气。</w:t>
            </w:r>
          </w:p>
          <w:p>
            <w:pPr>
              <w:pStyle w:val="70"/>
              <w:spacing w:line="360" w:lineRule="auto"/>
              <w:ind w:left="0" w:right="0" w:firstLine="0"/>
              <w:rPr>
                <w:b/>
                <w:bCs/>
              </w:rPr>
            </w:pPr>
            <w:r>
              <w:rPr>
                <w:b/>
                <w:bCs/>
              </w:rPr>
              <w:t>2、原项目废气产排情况</w:t>
            </w:r>
          </w:p>
          <w:p>
            <w:pPr>
              <w:pStyle w:val="70"/>
              <w:spacing w:line="360" w:lineRule="auto"/>
              <w:ind w:left="0" w:right="0" w:firstLine="0"/>
              <w:rPr>
                <w:b/>
                <w:bCs/>
              </w:rPr>
            </w:pPr>
          </w:p>
          <w:p>
            <w:pPr>
              <w:pStyle w:val="70"/>
              <w:spacing w:line="360" w:lineRule="auto"/>
              <w:ind w:left="0" w:right="0" w:firstLine="0"/>
              <w:rPr>
                <w:b/>
                <w:bCs/>
              </w:rPr>
            </w:pPr>
          </w:p>
          <w:p>
            <w:pPr>
              <w:pStyle w:val="70"/>
              <w:spacing w:line="360" w:lineRule="auto"/>
              <w:ind w:left="0" w:right="0" w:firstLine="0"/>
              <w:rPr>
                <w:b/>
                <w:bCs/>
              </w:rPr>
            </w:pPr>
          </w:p>
          <w:p>
            <w:pPr>
              <w:pStyle w:val="70"/>
              <w:spacing w:line="360" w:lineRule="auto"/>
              <w:ind w:left="0" w:right="0" w:firstLine="0"/>
              <w:rPr>
                <w:b/>
                <w:bCs/>
              </w:rPr>
            </w:pPr>
          </w:p>
          <w:p>
            <w:pPr>
              <w:pStyle w:val="70"/>
              <w:spacing w:line="360" w:lineRule="auto"/>
              <w:ind w:left="0" w:right="0" w:firstLine="0"/>
              <w:rPr>
                <w:b/>
                <w:bCs/>
              </w:rPr>
            </w:pPr>
          </w:p>
          <w:p>
            <w:pPr>
              <w:pStyle w:val="70"/>
              <w:spacing w:line="360" w:lineRule="auto"/>
              <w:ind w:left="0" w:right="0" w:firstLine="0"/>
              <w:rPr>
                <w:b/>
                <w:bCs/>
              </w:rPr>
            </w:pPr>
          </w:p>
          <w:p>
            <w:pPr>
              <w:pStyle w:val="70"/>
              <w:spacing w:line="360" w:lineRule="auto"/>
              <w:ind w:left="0" w:right="0" w:firstLine="0"/>
              <w:rPr>
                <w:b/>
                <w:bCs/>
              </w:rPr>
            </w:pPr>
          </w:p>
          <w:p>
            <w:pPr>
              <w:adjustRightInd w:val="0"/>
              <w:snapToGrid w:val="0"/>
              <w:jc w:val="center"/>
              <w:rPr>
                <w:b/>
                <w:bCs/>
                <w:szCs w:val="21"/>
              </w:rPr>
            </w:pPr>
            <w:r>
              <w:rPr>
                <w:b/>
                <w:bCs/>
                <w:szCs w:val="21"/>
              </w:rPr>
              <w:t>表2-10项目废气有组织排放一览表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794"/>
              <w:gridCol w:w="753"/>
              <w:gridCol w:w="1831"/>
              <w:gridCol w:w="892"/>
              <w:gridCol w:w="958"/>
              <w:gridCol w:w="1233"/>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507" w:type="pct"/>
                  <w:vAlign w:val="center"/>
                </w:tcPr>
                <w:p>
                  <w:pPr>
                    <w:pStyle w:val="3"/>
                    <w:spacing w:after="0"/>
                    <w:ind w:left="0" w:leftChars="0"/>
                    <w:jc w:val="center"/>
                    <w:rPr>
                      <w:b/>
                      <w:bCs/>
                      <w:sz w:val="21"/>
                      <w:szCs w:val="21"/>
                    </w:rPr>
                  </w:pPr>
                  <w:r>
                    <w:rPr>
                      <w:b/>
                      <w:bCs/>
                      <w:sz w:val="21"/>
                      <w:szCs w:val="21"/>
                    </w:rPr>
                    <w:t>产污</w:t>
                  </w:r>
                </w:p>
                <w:p>
                  <w:pPr>
                    <w:pStyle w:val="3"/>
                    <w:spacing w:after="0"/>
                    <w:ind w:left="0" w:leftChars="0"/>
                    <w:jc w:val="center"/>
                    <w:rPr>
                      <w:b/>
                      <w:bCs/>
                      <w:sz w:val="21"/>
                      <w:szCs w:val="21"/>
                    </w:rPr>
                  </w:pPr>
                  <w:r>
                    <w:rPr>
                      <w:b/>
                      <w:bCs/>
                      <w:sz w:val="21"/>
                      <w:szCs w:val="21"/>
                    </w:rPr>
                    <w:t>工段</w:t>
                  </w:r>
                </w:p>
              </w:tc>
              <w:tc>
                <w:tcPr>
                  <w:tcW w:w="455" w:type="pct"/>
                  <w:vAlign w:val="center"/>
                </w:tcPr>
                <w:p>
                  <w:pPr>
                    <w:pStyle w:val="3"/>
                    <w:spacing w:after="0"/>
                    <w:ind w:left="0" w:leftChars="0"/>
                    <w:jc w:val="center"/>
                    <w:rPr>
                      <w:b/>
                      <w:bCs/>
                      <w:sz w:val="21"/>
                      <w:szCs w:val="21"/>
                    </w:rPr>
                  </w:pPr>
                  <w:r>
                    <w:rPr>
                      <w:b/>
                      <w:bCs/>
                      <w:sz w:val="21"/>
                      <w:szCs w:val="21"/>
                    </w:rPr>
                    <w:t>产生量(t/a)</w:t>
                  </w:r>
                </w:p>
              </w:tc>
              <w:tc>
                <w:tcPr>
                  <w:tcW w:w="438" w:type="pct"/>
                  <w:vAlign w:val="center"/>
                </w:tcPr>
                <w:p>
                  <w:pPr>
                    <w:pStyle w:val="3"/>
                    <w:spacing w:after="0"/>
                    <w:ind w:left="0" w:leftChars="0"/>
                    <w:jc w:val="center"/>
                    <w:rPr>
                      <w:b/>
                      <w:bCs/>
                      <w:sz w:val="21"/>
                      <w:szCs w:val="21"/>
                    </w:rPr>
                  </w:pPr>
                  <w:r>
                    <w:rPr>
                      <w:b/>
                      <w:bCs/>
                      <w:sz w:val="21"/>
                      <w:szCs w:val="21"/>
                    </w:rPr>
                    <w:t>最大产生</w:t>
                  </w:r>
                </w:p>
                <w:p>
                  <w:pPr>
                    <w:pStyle w:val="3"/>
                    <w:spacing w:after="0"/>
                    <w:ind w:left="0" w:leftChars="0"/>
                    <w:jc w:val="center"/>
                    <w:rPr>
                      <w:b/>
                      <w:bCs/>
                      <w:sz w:val="21"/>
                      <w:szCs w:val="21"/>
                    </w:rPr>
                  </w:pPr>
                  <w:r>
                    <w:rPr>
                      <w:b/>
                      <w:bCs/>
                      <w:sz w:val="21"/>
                      <w:szCs w:val="21"/>
                    </w:rPr>
                    <w:t>速率(kg/h)</w:t>
                  </w:r>
                </w:p>
              </w:tc>
              <w:tc>
                <w:tcPr>
                  <w:tcW w:w="1066" w:type="pct"/>
                  <w:vAlign w:val="center"/>
                </w:tcPr>
                <w:p>
                  <w:pPr>
                    <w:pStyle w:val="3"/>
                    <w:spacing w:after="0"/>
                    <w:ind w:left="0" w:leftChars="0"/>
                    <w:jc w:val="center"/>
                    <w:rPr>
                      <w:b/>
                      <w:bCs/>
                      <w:sz w:val="21"/>
                      <w:szCs w:val="21"/>
                    </w:rPr>
                  </w:pPr>
                  <w:r>
                    <w:rPr>
                      <w:b/>
                      <w:bCs/>
                      <w:sz w:val="21"/>
                      <w:szCs w:val="21"/>
                    </w:rPr>
                    <w:t>治理措施及效率</w:t>
                  </w:r>
                </w:p>
              </w:tc>
              <w:tc>
                <w:tcPr>
                  <w:tcW w:w="519" w:type="pct"/>
                  <w:vAlign w:val="center"/>
                </w:tcPr>
                <w:p>
                  <w:pPr>
                    <w:pStyle w:val="3"/>
                    <w:spacing w:after="0"/>
                    <w:ind w:left="0" w:leftChars="0"/>
                    <w:jc w:val="center"/>
                    <w:rPr>
                      <w:b/>
                      <w:bCs/>
                      <w:sz w:val="21"/>
                      <w:szCs w:val="21"/>
                    </w:rPr>
                  </w:pPr>
                  <w:r>
                    <w:rPr>
                      <w:b/>
                      <w:bCs/>
                      <w:sz w:val="21"/>
                      <w:szCs w:val="21"/>
                    </w:rPr>
                    <w:t>排放</w:t>
                  </w:r>
                </w:p>
                <w:p>
                  <w:pPr>
                    <w:pStyle w:val="3"/>
                    <w:spacing w:after="0"/>
                    <w:ind w:left="0" w:leftChars="0"/>
                    <w:jc w:val="center"/>
                    <w:rPr>
                      <w:b/>
                      <w:bCs/>
                      <w:sz w:val="21"/>
                      <w:szCs w:val="21"/>
                    </w:rPr>
                  </w:pPr>
                  <w:r>
                    <w:rPr>
                      <w:b/>
                      <w:bCs/>
                      <w:sz w:val="21"/>
                      <w:szCs w:val="21"/>
                    </w:rPr>
                    <w:t>方式</w:t>
                  </w:r>
                </w:p>
              </w:tc>
              <w:tc>
                <w:tcPr>
                  <w:tcW w:w="558" w:type="pct"/>
                  <w:vAlign w:val="center"/>
                </w:tcPr>
                <w:p>
                  <w:pPr>
                    <w:pStyle w:val="3"/>
                    <w:spacing w:after="0"/>
                    <w:ind w:left="0" w:leftChars="0"/>
                    <w:jc w:val="center"/>
                    <w:rPr>
                      <w:b/>
                      <w:bCs/>
                      <w:sz w:val="21"/>
                      <w:szCs w:val="21"/>
                    </w:rPr>
                  </w:pPr>
                  <w:r>
                    <w:rPr>
                      <w:b/>
                      <w:bCs/>
                      <w:sz w:val="21"/>
                      <w:szCs w:val="21"/>
                    </w:rPr>
                    <w:t>排放量（t/a）</w:t>
                  </w:r>
                </w:p>
              </w:tc>
              <w:tc>
                <w:tcPr>
                  <w:tcW w:w="718" w:type="pct"/>
                  <w:vAlign w:val="center"/>
                </w:tcPr>
                <w:p>
                  <w:pPr>
                    <w:pStyle w:val="3"/>
                    <w:spacing w:after="0"/>
                    <w:ind w:left="0" w:leftChars="0"/>
                    <w:jc w:val="center"/>
                    <w:rPr>
                      <w:b/>
                      <w:bCs/>
                      <w:sz w:val="21"/>
                      <w:szCs w:val="21"/>
                    </w:rPr>
                  </w:pPr>
                  <w:r>
                    <w:rPr>
                      <w:b/>
                      <w:bCs/>
                      <w:sz w:val="21"/>
                      <w:szCs w:val="21"/>
                    </w:rPr>
                    <w:t>最大排放速率(kg/h)</w:t>
                  </w:r>
                </w:p>
              </w:tc>
              <w:tc>
                <w:tcPr>
                  <w:tcW w:w="738" w:type="pct"/>
                  <w:vAlign w:val="center"/>
                </w:tcPr>
                <w:p>
                  <w:pPr>
                    <w:pStyle w:val="3"/>
                    <w:spacing w:after="0"/>
                    <w:ind w:left="0" w:leftChars="0"/>
                    <w:jc w:val="center"/>
                    <w:rPr>
                      <w:b/>
                      <w:bCs/>
                      <w:sz w:val="21"/>
                      <w:szCs w:val="21"/>
                    </w:rPr>
                  </w:pPr>
                  <w:r>
                    <w:rPr>
                      <w:b/>
                      <w:bCs/>
                      <w:sz w:val="21"/>
                      <w:szCs w:val="21"/>
                    </w:rPr>
                    <w:t>最大排放浓度（mg/m</w:t>
                  </w:r>
                  <w:r>
                    <w:rPr>
                      <w:b/>
                      <w:bCs/>
                      <w:sz w:val="21"/>
                      <w:szCs w:val="21"/>
                      <w:vertAlign w:val="superscript"/>
                    </w:rPr>
                    <w:t>3</w:t>
                  </w:r>
                  <w:r>
                    <w:rPr>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vAlign w:val="center"/>
                </w:tcPr>
                <w:p>
                  <w:pPr>
                    <w:pStyle w:val="3"/>
                    <w:spacing w:after="0"/>
                    <w:ind w:left="0" w:leftChars="0"/>
                    <w:jc w:val="center"/>
                    <w:rPr>
                      <w:sz w:val="21"/>
                      <w:szCs w:val="21"/>
                    </w:rPr>
                  </w:pPr>
                  <w:r>
                    <w:rPr>
                      <w:sz w:val="21"/>
                      <w:szCs w:val="21"/>
                    </w:rPr>
                    <w:t>运输</w:t>
                  </w:r>
                </w:p>
                <w:p>
                  <w:pPr>
                    <w:pStyle w:val="3"/>
                    <w:spacing w:after="0"/>
                    <w:ind w:left="0" w:leftChars="0"/>
                    <w:jc w:val="center"/>
                    <w:rPr>
                      <w:sz w:val="21"/>
                      <w:szCs w:val="21"/>
                    </w:rPr>
                  </w:pPr>
                  <w:r>
                    <w:rPr>
                      <w:sz w:val="21"/>
                      <w:szCs w:val="21"/>
                    </w:rPr>
                    <w:t>装卸</w:t>
                  </w:r>
                </w:p>
              </w:tc>
              <w:tc>
                <w:tcPr>
                  <w:tcW w:w="455" w:type="pct"/>
                  <w:vMerge w:val="restart"/>
                  <w:vAlign w:val="center"/>
                </w:tcPr>
                <w:p>
                  <w:pPr>
                    <w:pStyle w:val="3"/>
                    <w:spacing w:after="0"/>
                    <w:ind w:left="0" w:leftChars="0"/>
                    <w:jc w:val="center"/>
                    <w:rPr>
                      <w:sz w:val="21"/>
                      <w:szCs w:val="21"/>
                    </w:rPr>
                  </w:pPr>
                  <w:r>
                    <w:rPr>
                      <w:sz w:val="21"/>
                      <w:szCs w:val="21"/>
                    </w:rPr>
                    <w:t>0.2025</w:t>
                  </w:r>
                </w:p>
              </w:tc>
              <w:tc>
                <w:tcPr>
                  <w:tcW w:w="438" w:type="pct"/>
                  <w:vMerge w:val="restart"/>
                  <w:vAlign w:val="center"/>
                </w:tcPr>
                <w:p>
                  <w:pPr>
                    <w:pStyle w:val="3"/>
                    <w:spacing w:after="0"/>
                    <w:ind w:left="0" w:leftChars="0"/>
                    <w:jc w:val="center"/>
                    <w:rPr>
                      <w:sz w:val="21"/>
                      <w:szCs w:val="21"/>
                    </w:rPr>
                  </w:pPr>
                  <w:r>
                    <w:rPr>
                      <w:sz w:val="21"/>
                      <w:szCs w:val="21"/>
                    </w:rPr>
                    <w:t>0.375</w:t>
                  </w:r>
                </w:p>
              </w:tc>
              <w:tc>
                <w:tcPr>
                  <w:tcW w:w="1066" w:type="pct"/>
                  <w:vMerge w:val="restart"/>
                  <w:vAlign w:val="center"/>
                </w:tcPr>
                <w:p>
                  <w:pPr>
                    <w:pStyle w:val="3"/>
                    <w:spacing w:after="0"/>
                    <w:ind w:left="0" w:leftChars="0"/>
                    <w:jc w:val="center"/>
                    <w:rPr>
                      <w:sz w:val="21"/>
                      <w:szCs w:val="21"/>
                    </w:rPr>
                  </w:pPr>
                  <w:r>
                    <w:rPr>
                      <w:sz w:val="21"/>
                      <w:szCs w:val="21"/>
                    </w:rPr>
                    <w:t>封闭厂房+洒水降尘，去除率80%</w:t>
                  </w:r>
                </w:p>
              </w:tc>
              <w:tc>
                <w:tcPr>
                  <w:tcW w:w="519" w:type="pct"/>
                  <w:vAlign w:val="center"/>
                </w:tcPr>
                <w:p>
                  <w:pPr>
                    <w:pStyle w:val="3"/>
                    <w:spacing w:after="0"/>
                    <w:ind w:left="0" w:leftChars="0"/>
                    <w:jc w:val="center"/>
                    <w:rPr>
                      <w:sz w:val="21"/>
                      <w:szCs w:val="21"/>
                    </w:rPr>
                  </w:pPr>
                  <w:r>
                    <w:rPr>
                      <w:sz w:val="21"/>
                      <w:szCs w:val="21"/>
                    </w:rPr>
                    <w:t>有组织</w:t>
                  </w:r>
                </w:p>
              </w:tc>
              <w:tc>
                <w:tcPr>
                  <w:tcW w:w="558" w:type="pct"/>
                  <w:vAlign w:val="center"/>
                </w:tcPr>
                <w:p>
                  <w:pPr>
                    <w:pStyle w:val="3"/>
                    <w:spacing w:after="0"/>
                    <w:ind w:left="0" w:leftChars="0"/>
                    <w:jc w:val="center"/>
                    <w:rPr>
                      <w:sz w:val="21"/>
                      <w:szCs w:val="21"/>
                    </w:rPr>
                  </w:pPr>
                  <w:r>
                    <w:rPr>
                      <w:sz w:val="21"/>
                      <w:szCs w:val="21"/>
                    </w:rPr>
                    <w:t>-</w:t>
                  </w:r>
                </w:p>
              </w:tc>
              <w:tc>
                <w:tcPr>
                  <w:tcW w:w="718" w:type="pct"/>
                  <w:vAlign w:val="center"/>
                </w:tcPr>
                <w:p>
                  <w:pPr>
                    <w:pStyle w:val="3"/>
                    <w:spacing w:after="0"/>
                    <w:ind w:left="0" w:leftChars="0"/>
                    <w:jc w:val="center"/>
                    <w:rPr>
                      <w:sz w:val="21"/>
                      <w:szCs w:val="21"/>
                    </w:rPr>
                  </w:pPr>
                  <w:r>
                    <w:rPr>
                      <w:sz w:val="21"/>
                      <w:szCs w:val="21"/>
                    </w:rPr>
                    <w:t>-</w:t>
                  </w:r>
                </w:p>
              </w:tc>
              <w:tc>
                <w:tcPr>
                  <w:tcW w:w="738" w:type="pct"/>
                  <w:vAlign w:val="center"/>
                </w:tcPr>
                <w:p>
                  <w:pPr>
                    <w:pStyle w:val="3"/>
                    <w:spacing w:after="0"/>
                    <w:ind w:left="0" w:left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continue"/>
                  <w:vAlign w:val="center"/>
                </w:tcPr>
                <w:p>
                  <w:pPr>
                    <w:pStyle w:val="3"/>
                    <w:spacing w:after="0"/>
                    <w:ind w:left="0" w:leftChars="0"/>
                    <w:jc w:val="center"/>
                    <w:rPr>
                      <w:sz w:val="21"/>
                      <w:szCs w:val="21"/>
                    </w:rPr>
                  </w:pPr>
                </w:p>
              </w:tc>
              <w:tc>
                <w:tcPr>
                  <w:tcW w:w="455" w:type="pct"/>
                  <w:vMerge w:val="continue"/>
                  <w:vAlign w:val="center"/>
                </w:tcPr>
                <w:p>
                  <w:pPr>
                    <w:pStyle w:val="3"/>
                    <w:spacing w:after="0"/>
                    <w:ind w:left="0" w:leftChars="0"/>
                    <w:jc w:val="center"/>
                    <w:rPr>
                      <w:sz w:val="21"/>
                      <w:szCs w:val="21"/>
                    </w:rPr>
                  </w:pPr>
                </w:p>
              </w:tc>
              <w:tc>
                <w:tcPr>
                  <w:tcW w:w="438" w:type="pct"/>
                  <w:vMerge w:val="continue"/>
                  <w:vAlign w:val="center"/>
                </w:tcPr>
                <w:p>
                  <w:pPr>
                    <w:pStyle w:val="3"/>
                    <w:spacing w:after="0"/>
                    <w:ind w:left="0" w:leftChars="0"/>
                    <w:jc w:val="center"/>
                    <w:rPr>
                      <w:sz w:val="21"/>
                      <w:szCs w:val="21"/>
                    </w:rPr>
                  </w:pPr>
                </w:p>
              </w:tc>
              <w:tc>
                <w:tcPr>
                  <w:tcW w:w="1066" w:type="pct"/>
                  <w:vMerge w:val="continue"/>
                  <w:vAlign w:val="center"/>
                </w:tcPr>
                <w:p>
                  <w:pPr>
                    <w:pStyle w:val="3"/>
                    <w:spacing w:after="0"/>
                    <w:ind w:left="0" w:leftChars="0"/>
                    <w:jc w:val="center"/>
                    <w:rPr>
                      <w:sz w:val="21"/>
                      <w:szCs w:val="21"/>
                    </w:rPr>
                  </w:pPr>
                </w:p>
              </w:tc>
              <w:tc>
                <w:tcPr>
                  <w:tcW w:w="519" w:type="pct"/>
                  <w:vAlign w:val="center"/>
                </w:tcPr>
                <w:p>
                  <w:pPr>
                    <w:pStyle w:val="3"/>
                    <w:spacing w:after="0"/>
                    <w:ind w:left="0" w:leftChars="0"/>
                    <w:jc w:val="center"/>
                    <w:rPr>
                      <w:sz w:val="21"/>
                      <w:szCs w:val="21"/>
                    </w:rPr>
                  </w:pPr>
                  <w:r>
                    <w:rPr>
                      <w:sz w:val="21"/>
                      <w:szCs w:val="21"/>
                    </w:rPr>
                    <w:t>无组织</w:t>
                  </w:r>
                </w:p>
              </w:tc>
              <w:tc>
                <w:tcPr>
                  <w:tcW w:w="558" w:type="pct"/>
                  <w:vAlign w:val="center"/>
                </w:tcPr>
                <w:p>
                  <w:pPr>
                    <w:pStyle w:val="3"/>
                    <w:spacing w:after="0"/>
                    <w:ind w:left="0" w:leftChars="0"/>
                    <w:jc w:val="center"/>
                    <w:rPr>
                      <w:sz w:val="21"/>
                      <w:szCs w:val="21"/>
                    </w:rPr>
                  </w:pPr>
                  <w:r>
                    <w:rPr>
                      <w:sz w:val="21"/>
                      <w:szCs w:val="21"/>
                    </w:rPr>
                    <w:t>0.0405</w:t>
                  </w:r>
                </w:p>
              </w:tc>
              <w:tc>
                <w:tcPr>
                  <w:tcW w:w="718" w:type="pct"/>
                  <w:vAlign w:val="center"/>
                </w:tcPr>
                <w:p>
                  <w:pPr>
                    <w:pStyle w:val="3"/>
                    <w:spacing w:after="0"/>
                    <w:ind w:left="0" w:leftChars="0"/>
                    <w:jc w:val="center"/>
                    <w:rPr>
                      <w:sz w:val="21"/>
                      <w:szCs w:val="21"/>
                    </w:rPr>
                  </w:pPr>
                  <w:r>
                    <w:rPr>
                      <w:sz w:val="21"/>
                      <w:szCs w:val="21"/>
                    </w:rPr>
                    <w:t>0.075</w:t>
                  </w:r>
                </w:p>
              </w:tc>
              <w:tc>
                <w:tcPr>
                  <w:tcW w:w="738" w:type="pct"/>
                  <w:vAlign w:val="center"/>
                </w:tcPr>
                <w:p>
                  <w:pPr>
                    <w:pStyle w:val="3"/>
                    <w:spacing w:after="0"/>
                    <w:ind w:left="0" w:left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vAlign w:val="center"/>
                </w:tcPr>
                <w:p>
                  <w:pPr>
                    <w:pStyle w:val="3"/>
                    <w:spacing w:after="0"/>
                    <w:ind w:left="0" w:leftChars="0"/>
                    <w:jc w:val="center"/>
                    <w:rPr>
                      <w:sz w:val="21"/>
                      <w:szCs w:val="21"/>
                    </w:rPr>
                  </w:pPr>
                  <w:r>
                    <w:rPr>
                      <w:sz w:val="21"/>
                      <w:szCs w:val="21"/>
                    </w:rPr>
                    <w:t>石灰块球磨</w:t>
                  </w:r>
                </w:p>
              </w:tc>
              <w:tc>
                <w:tcPr>
                  <w:tcW w:w="455" w:type="pct"/>
                  <w:vMerge w:val="restart"/>
                  <w:vAlign w:val="center"/>
                </w:tcPr>
                <w:p>
                  <w:pPr>
                    <w:pStyle w:val="3"/>
                    <w:spacing w:after="0"/>
                    <w:ind w:left="0" w:leftChars="0"/>
                    <w:jc w:val="center"/>
                    <w:rPr>
                      <w:sz w:val="21"/>
                      <w:szCs w:val="21"/>
                    </w:rPr>
                  </w:pPr>
                  <w:r>
                    <w:rPr>
                      <w:sz w:val="21"/>
                      <w:szCs w:val="21"/>
                    </w:rPr>
                    <w:t>0.3375</w:t>
                  </w:r>
                </w:p>
              </w:tc>
              <w:tc>
                <w:tcPr>
                  <w:tcW w:w="438" w:type="pct"/>
                  <w:vMerge w:val="restart"/>
                  <w:vAlign w:val="center"/>
                </w:tcPr>
                <w:p>
                  <w:pPr>
                    <w:pStyle w:val="3"/>
                    <w:spacing w:after="0"/>
                    <w:ind w:left="0" w:leftChars="0"/>
                    <w:jc w:val="center"/>
                    <w:rPr>
                      <w:sz w:val="21"/>
                      <w:szCs w:val="21"/>
                    </w:rPr>
                  </w:pPr>
                  <w:r>
                    <w:rPr>
                      <w:sz w:val="21"/>
                      <w:szCs w:val="21"/>
                    </w:rPr>
                    <w:t>2.5</w:t>
                  </w:r>
                </w:p>
              </w:tc>
              <w:tc>
                <w:tcPr>
                  <w:tcW w:w="1066" w:type="pct"/>
                  <w:vMerge w:val="restart"/>
                  <w:vAlign w:val="center"/>
                </w:tcPr>
                <w:p>
                  <w:pPr>
                    <w:pStyle w:val="3"/>
                    <w:spacing w:after="0"/>
                    <w:ind w:left="0" w:leftChars="0"/>
                    <w:jc w:val="center"/>
                    <w:rPr>
                      <w:sz w:val="21"/>
                      <w:szCs w:val="21"/>
                    </w:rPr>
                  </w:pPr>
                  <w:r>
                    <w:rPr>
                      <w:sz w:val="21"/>
                      <w:szCs w:val="21"/>
                    </w:rPr>
                    <w:t>集气系统（收集率90%）+布袋除尘器（去除99.8%）</w:t>
                  </w:r>
                </w:p>
              </w:tc>
              <w:tc>
                <w:tcPr>
                  <w:tcW w:w="519" w:type="pct"/>
                  <w:vAlign w:val="center"/>
                </w:tcPr>
                <w:p>
                  <w:pPr>
                    <w:pStyle w:val="3"/>
                    <w:spacing w:after="0"/>
                    <w:ind w:left="0" w:leftChars="0"/>
                    <w:jc w:val="center"/>
                    <w:rPr>
                      <w:sz w:val="21"/>
                      <w:szCs w:val="21"/>
                    </w:rPr>
                  </w:pPr>
                  <w:r>
                    <w:rPr>
                      <w:sz w:val="21"/>
                      <w:szCs w:val="21"/>
                    </w:rPr>
                    <w:t>有组织</w:t>
                  </w:r>
                </w:p>
              </w:tc>
              <w:tc>
                <w:tcPr>
                  <w:tcW w:w="558" w:type="pct"/>
                  <w:vAlign w:val="center"/>
                </w:tcPr>
                <w:p>
                  <w:pPr>
                    <w:pStyle w:val="3"/>
                    <w:spacing w:after="0"/>
                    <w:ind w:left="0" w:leftChars="0"/>
                    <w:jc w:val="center"/>
                    <w:rPr>
                      <w:sz w:val="21"/>
                      <w:szCs w:val="21"/>
                    </w:rPr>
                  </w:pPr>
                  <w:r>
                    <w:rPr>
                      <w:sz w:val="21"/>
                      <w:szCs w:val="21"/>
                    </w:rPr>
                    <w:t>0.0014</w:t>
                  </w:r>
                </w:p>
              </w:tc>
              <w:tc>
                <w:tcPr>
                  <w:tcW w:w="718" w:type="pct"/>
                  <w:vAlign w:val="center"/>
                </w:tcPr>
                <w:p>
                  <w:pPr>
                    <w:pStyle w:val="3"/>
                    <w:spacing w:after="0"/>
                    <w:ind w:left="0" w:leftChars="0"/>
                    <w:jc w:val="center"/>
                    <w:rPr>
                      <w:sz w:val="21"/>
                      <w:szCs w:val="21"/>
                    </w:rPr>
                  </w:pPr>
                  <w:r>
                    <w:rPr>
                      <w:sz w:val="21"/>
                      <w:szCs w:val="21"/>
                    </w:rPr>
                    <w:t>0.0045</w:t>
                  </w:r>
                </w:p>
              </w:tc>
              <w:tc>
                <w:tcPr>
                  <w:tcW w:w="738" w:type="pct"/>
                  <w:vAlign w:val="center"/>
                </w:tcPr>
                <w:p>
                  <w:pPr>
                    <w:pStyle w:val="3"/>
                    <w:spacing w:after="0"/>
                    <w:ind w:left="0" w:leftChars="0"/>
                    <w:jc w:val="center"/>
                    <w:rPr>
                      <w:sz w:val="21"/>
                      <w:szCs w:val="21"/>
                    </w:rPr>
                  </w:pPr>
                  <w:r>
                    <w:rPr>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continue"/>
                  <w:vAlign w:val="center"/>
                </w:tcPr>
                <w:p>
                  <w:pPr>
                    <w:pStyle w:val="3"/>
                    <w:spacing w:after="0"/>
                    <w:ind w:left="0" w:leftChars="0"/>
                    <w:jc w:val="center"/>
                    <w:rPr>
                      <w:sz w:val="21"/>
                      <w:szCs w:val="21"/>
                    </w:rPr>
                  </w:pPr>
                </w:p>
              </w:tc>
              <w:tc>
                <w:tcPr>
                  <w:tcW w:w="455" w:type="pct"/>
                  <w:vMerge w:val="continue"/>
                  <w:vAlign w:val="center"/>
                </w:tcPr>
                <w:p>
                  <w:pPr>
                    <w:pStyle w:val="3"/>
                    <w:spacing w:after="0"/>
                    <w:ind w:left="0" w:leftChars="0"/>
                    <w:jc w:val="center"/>
                    <w:rPr>
                      <w:sz w:val="21"/>
                      <w:szCs w:val="21"/>
                    </w:rPr>
                  </w:pPr>
                </w:p>
              </w:tc>
              <w:tc>
                <w:tcPr>
                  <w:tcW w:w="438" w:type="pct"/>
                  <w:vMerge w:val="continue"/>
                  <w:vAlign w:val="center"/>
                </w:tcPr>
                <w:p>
                  <w:pPr>
                    <w:pStyle w:val="3"/>
                    <w:spacing w:after="0"/>
                    <w:ind w:left="0" w:leftChars="0"/>
                    <w:jc w:val="center"/>
                    <w:rPr>
                      <w:sz w:val="21"/>
                      <w:szCs w:val="21"/>
                    </w:rPr>
                  </w:pPr>
                </w:p>
              </w:tc>
              <w:tc>
                <w:tcPr>
                  <w:tcW w:w="1066" w:type="pct"/>
                  <w:vMerge w:val="continue"/>
                  <w:vAlign w:val="center"/>
                </w:tcPr>
                <w:p>
                  <w:pPr>
                    <w:pStyle w:val="3"/>
                    <w:spacing w:after="0"/>
                    <w:ind w:left="0" w:leftChars="0"/>
                    <w:jc w:val="center"/>
                    <w:rPr>
                      <w:sz w:val="21"/>
                      <w:szCs w:val="21"/>
                    </w:rPr>
                  </w:pPr>
                </w:p>
              </w:tc>
              <w:tc>
                <w:tcPr>
                  <w:tcW w:w="519" w:type="pct"/>
                  <w:vAlign w:val="center"/>
                </w:tcPr>
                <w:p>
                  <w:pPr>
                    <w:pStyle w:val="3"/>
                    <w:spacing w:after="0"/>
                    <w:ind w:left="0" w:leftChars="0"/>
                    <w:jc w:val="center"/>
                    <w:rPr>
                      <w:sz w:val="21"/>
                      <w:szCs w:val="21"/>
                    </w:rPr>
                  </w:pPr>
                  <w:r>
                    <w:rPr>
                      <w:sz w:val="21"/>
                      <w:szCs w:val="21"/>
                    </w:rPr>
                    <w:t>无组织</w:t>
                  </w:r>
                </w:p>
              </w:tc>
              <w:tc>
                <w:tcPr>
                  <w:tcW w:w="558" w:type="pct"/>
                  <w:vAlign w:val="center"/>
                </w:tcPr>
                <w:p>
                  <w:pPr>
                    <w:pStyle w:val="3"/>
                    <w:spacing w:after="0"/>
                    <w:ind w:left="0" w:leftChars="0"/>
                    <w:jc w:val="center"/>
                    <w:rPr>
                      <w:sz w:val="21"/>
                      <w:szCs w:val="21"/>
                    </w:rPr>
                  </w:pPr>
                  <w:r>
                    <w:rPr>
                      <w:sz w:val="21"/>
                      <w:szCs w:val="21"/>
                    </w:rPr>
                    <w:t>0.075</w:t>
                  </w:r>
                </w:p>
              </w:tc>
              <w:tc>
                <w:tcPr>
                  <w:tcW w:w="718" w:type="pct"/>
                  <w:vAlign w:val="center"/>
                </w:tcPr>
                <w:p>
                  <w:pPr>
                    <w:pStyle w:val="3"/>
                    <w:spacing w:after="0"/>
                    <w:ind w:left="0" w:leftChars="0"/>
                    <w:jc w:val="center"/>
                    <w:rPr>
                      <w:sz w:val="21"/>
                      <w:szCs w:val="21"/>
                    </w:rPr>
                  </w:pPr>
                  <w:r>
                    <w:rPr>
                      <w:sz w:val="21"/>
                      <w:szCs w:val="21"/>
                    </w:rPr>
                    <w:t>0.25</w:t>
                  </w:r>
                </w:p>
              </w:tc>
              <w:tc>
                <w:tcPr>
                  <w:tcW w:w="738" w:type="pct"/>
                  <w:vAlign w:val="center"/>
                </w:tcPr>
                <w:p>
                  <w:pPr>
                    <w:pStyle w:val="3"/>
                    <w:spacing w:after="0"/>
                    <w:ind w:left="0" w:left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vAlign w:val="center"/>
                </w:tcPr>
                <w:p>
                  <w:pPr>
                    <w:pStyle w:val="3"/>
                    <w:spacing w:after="0"/>
                    <w:ind w:left="0" w:leftChars="0"/>
                    <w:jc w:val="center"/>
                    <w:rPr>
                      <w:sz w:val="21"/>
                      <w:szCs w:val="21"/>
                    </w:rPr>
                  </w:pPr>
                  <w:r>
                    <w:rPr>
                      <w:sz w:val="21"/>
                      <w:szCs w:val="21"/>
                    </w:rPr>
                    <w:t>粉料</w:t>
                  </w:r>
                </w:p>
                <w:p>
                  <w:pPr>
                    <w:pStyle w:val="3"/>
                    <w:spacing w:after="0"/>
                    <w:ind w:left="0" w:leftChars="0"/>
                    <w:jc w:val="center"/>
                    <w:rPr>
                      <w:sz w:val="21"/>
                      <w:szCs w:val="21"/>
                    </w:rPr>
                  </w:pPr>
                  <w:r>
                    <w:rPr>
                      <w:sz w:val="21"/>
                      <w:szCs w:val="21"/>
                    </w:rPr>
                    <w:t>筒仓</w:t>
                  </w:r>
                </w:p>
              </w:tc>
              <w:tc>
                <w:tcPr>
                  <w:tcW w:w="455" w:type="pct"/>
                  <w:vMerge w:val="restart"/>
                  <w:vAlign w:val="center"/>
                </w:tcPr>
                <w:p>
                  <w:pPr>
                    <w:pStyle w:val="3"/>
                    <w:spacing w:after="0"/>
                    <w:ind w:left="0" w:leftChars="0"/>
                    <w:jc w:val="center"/>
                    <w:rPr>
                      <w:sz w:val="21"/>
                      <w:szCs w:val="21"/>
                    </w:rPr>
                  </w:pPr>
                  <w:r>
                    <w:rPr>
                      <w:sz w:val="21"/>
                      <w:szCs w:val="21"/>
                    </w:rPr>
                    <w:t>2</w:t>
                  </w:r>
                </w:p>
              </w:tc>
              <w:tc>
                <w:tcPr>
                  <w:tcW w:w="438" w:type="pct"/>
                  <w:vMerge w:val="restart"/>
                  <w:vAlign w:val="center"/>
                </w:tcPr>
                <w:p>
                  <w:pPr>
                    <w:pStyle w:val="3"/>
                    <w:spacing w:after="0"/>
                    <w:ind w:left="0" w:leftChars="0"/>
                    <w:jc w:val="center"/>
                    <w:rPr>
                      <w:sz w:val="21"/>
                      <w:szCs w:val="21"/>
                    </w:rPr>
                  </w:pPr>
                  <w:r>
                    <w:rPr>
                      <w:sz w:val="21"/>
                      <w:szCs w:val="21"/>
                    </w:rPr>
                    <w:t>12</w:t>
                  </w:r>
                </w:p>
              </w:tc>
              <w:tc>
                <w:tcPr>
                  <w:tcW w:w="1066" w:type="pct"/>
                  <w:vMerge w:val="restart"/>
                  <w:vAlign w:val="center"/>
                </w:tcPr>
                <w:p>
                  <w:pPr>
                    <w:pStyle w:val="3"/>
                    <w:spacing w:after="0"/>
                    <w:ind w:left="0" w:leftChars="0"/>
                    <w:jc w:val="center"/>
                    <w:rPr>
                      <w:sz w:val="21"/>
                      <w:szCs w:val="21"/>
                    </w:rPr>
                  </w:pPr>
                  <w:r>
                    <w:rPr>
                      <w:sz w:val="21"/>
                      <w:szCs w:val="21"/>
                    </w:rPr>
                    <w:t>集气系统（收集率98%）+布袋除尘器（去除99.8%）</w:t>
                  </w:r>
                </w:p>
              </w:tc>
              <w:tc>
                <w:tcPr>
                  <w:tcW w:w="519" w:type="pct"/>
                  <w:vAlign w:val="center"/>
                </w:tcPr>
                <w:p>
                  <w:pPr>
                    <w:pStyle w:val="3"/>
                    <w:spacing w:after="0"/>
                    <w:ind w:left="0" w:leftChars="0"/>
                    <w:jc w:val="center"/>
                    <w:rPr>
                      <w:sz w:val="21"/>
                      <w:szCs w:val="21"/>
                    </w:rPr>
                  </w:pPr>
                  <w:r>
                    <w:rPr>
                      <w:sz w:val="21"/>
                      <w:szCs w:val="21"/>
                    </w:rPr>
                    <w:t>有组织</w:t>
                  </w:r>
                </w:p>
              </w:tc>
              <w:tc>
                <w:tcPr>
                  <w:tcW w:w="558" w:type="pct"/>
                  <w:vAlign w:val="center"/>
                </w:tcPr>
                <w:p>
                  <w:pPr>
                    <w:pStyle w:val="3"/>
                    <w:spacing w:after="0"/>
                    <w:ind w:left="0" w:leftChars="0"/>
                    <w:jc w:val="center"/>
                    <w:rPr>
                      <w:sz w:val="21"/>
                      <w:szCs w:val="21"/>
                    </w:rPr>
                  </w:pPr>
                  <w:r>
                    <w:rPr>
                      <w:sz w:val="21"/>
                      <w:szCs w:val="21"/>
                    </w:rPr>
                    <w:t>0.0047</w:t>
                  </w:r>
                </w:p>
              </w:tc>
              <w:tc>
                <w:tcPr>
                  <w:tcW w:w="718" w:type="pct"/>
                  <w:vAlign w:val="center"/>
                </w:tcPr>
                <w:p>
                  <w:pPr>
                    <w:pStyle w:val="3"/>
                    <w:spacing w:after="0"/>
                    <w:ind w:left="0" w:leftChars="0"/>
                    <w:jc w:val="center"/>
                    <w:rPr>
                      <w:sz w:val="21"/>
                      <w:szCs w:val="21"/>
                    </w:rPr>
                  </w:pPr>
                  <w:r>
                    <w:rPr>
                      <w:sz w:val="21"/>
                      <w:szCs w:val="21"/>
                    </w:rPr>
                    <w:t>0.0235</w:t>
                  </w:r>
                </w:p>
              </w:tc>
              <w:tc>
                <w:tcPr>
                  <w:tcW w:w="738" w:type="pct"/>
                  <w:vAlign w:val="center"/>
                </w:tcPr>
                <w:p>
                  <w:pPr>
                    <w:pStyle w:val="3"/>
                    <w:spacing w:after="0"/>
                    <w:ind w:left="0" w:leftChars="0"/>
                    <w:jc w:val="center"/>
                    <w:rPr>
                      <w:sz w:val="21"/>
                      <w:szCs w:val="21"/>
                    </w:rPr>
                  </w:pPr>
                  <w:r>
                    <w:rPr>
                      <w:sz w:val="21"/>
                      <w:szCs w:val="21"/>
                    </w:rPr>
                    <w:t>4.704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continue"/>
                  <w:vAlign w:val="center"/>
                </w:tcPr>
                <w:p>
                  <w:pPr>
                    <w:pStyle w:val="3"/>
                    <w:spacing w:after="0"/>
                    <w:ind w:left="0" w:leftChars="0"/>
                    <w:jc w:val="center"/>
                    <w:rPr>
                      <w:sz w:val="21"/>
                      <w:szCs w:val="21"/>
                    </w:rPr>
                  </w:pPr>
                </w:p>
              </w:tc>
              <w:tc>
                <w:tcPr>
                  <w:tcW w:w="455" w:type="pct"/>
                  <w:vMerge w:val="continue"/>
                  <w:vAlign w:val="center"/>
                </w:tcPr>
                <w:p>
                  <w:pPr>
                    <w:pStyle w:val="3"/>
                    <w:spacing w:after="0"/>
                    <w:ind w:left="0" w:leftChars="0"/>
                    <w:jc w:val="center"/>
                    <w:rPr>
                      <w:sz w:val="21"/>
                      <w:szCs w:val="21"/>
                    </w:rPr>
                  </w:pPr>
                </w:p>
              </w:tc>
              <w:tc>
                <w:tcPr>
                  <w:tcW w:w="438" w:type="pct"/>
                  <w:vMerge w:val="continue"/>
                  <w:vAlign w:val="center"/>
                </w:tcPr>
                <w:p>
                  <w:pPr>
                    <w:pStyle w:val="3"/>
                    <w:spacing w:after="0"/>
                    <w:ind w:left="0" w:leftChars="0"/>
                    <w:jc w:val="center"/>
                    <w:rPr>
                      <w:sz w:val="21"/>
                      <w:szCs w:val="21"/>
                    </w:rPr>
                  </w:pPr>
                </w:p>
              </w:tc>
              <w:tc>
                <w:tcPr>
                  <w:tcW w:w="1066" w:type="pct"/>
                  <w:vMerge w:val="continue"/>
                  <w:vAlign w:val="center"/>
                </w:tcPr>
                <w:p>
                  <w:pPr>
                    <w:pStyle w:val="3"/>
                    <w:spacing w:after="0"/>
                    <w:ind w:left="0" w:leftChars="0"/>
                    <w:jc w:val="center"/>
                    <w:rPr>
                      <w:sz w:val="21"/>
                      <w:szCs w:val="21"/>
                    </w:rPr>
                  </w:pPr>
                </w:p>
              </w:tc>
              <w:tc>
                <w:tcPr>
                  <w:tcW w:w="519" w:type="pct"/>
                  <w:vAlign w:val="center"/>
                </w:tcPr>
                <w:p>
                  <w:pPr>
                    <w:pStyle w:val="3"/>
                    <w:spacing w:after="0"/>
                    <w:ind w:left="0" w:leftChars="0"/>
                    <w:jc w:val="center"/>
                    <w:rPr>
                      <w:sz w:val="21"/>
                      <w:szCs w:val="21"/>
                    </w:rPr>
                  </w:pPr>
                  <w:r>
                    <w:rPr>
                      <w:sz w:val="21"/>
                      <w:szCs w:val="21"/>
                    </w:rPr>
                    <w:t>无组织</w:t>
                  </w:r>
                </w:p>
              </w:tc>
              <w:tc>
                <w:tcPr>
                  <w:tcW w:w="558" w:type="pct"/>
                  <w:vAlign w:val="center"/>
                </w:tcPr>
                <w:p>
                  <w:pPr>
                    <w:pStyle w:val="3"/>
                    <w:spacing w:after="0"/>
                    <w:ind w:left="0" w:leftChars="0"/>
                    <w:jc w:val="center"/>
                    <w:rPr>
                      <w:sz w:val="21"/>
                      <w:szCs w:val="21"/>
                    </w:rPr>
                  </w:pPr>
                  <w:r>
                    <w:rPr>
                      <w:sz w:val="21"/>
                      <w:szCs w:val="21"/>
                    </w:rPr>
                    <w:t>0.048</w:t>
                  </w:r>
                </w:p>
              </w:tc>
              <w:tc>
                <w:tcPr>
                  <w:tcW w:w="718" w:type="pct"/>
                  <w:vAlign w:val="center"/>
                </w:tcPr>
                <w:p>
                  <w:pPr>
                    <w:pStyle w:val="3"/>
                    <w:spacing w:after="0"/>
                    <w:ind w:left="0" w:leftChars="0"/>
                    <w:jc w:val="center"/>
                    <w:rPr>
                      <w:sz w:val="21"/>
                      <w:szCs w:val="21"/>
                    </w:rPr>
                  </w:pPr>
                  <w:r>
                    <w:rPr>
                      <w:sz w:val="21"/>
                      <w:szCs w:val="21"/>
                    </w:rPr>
                    <w:t>0.24</w:t>
                  </w:r>
                </w:p>
              </w:tc>
              <w:tc>
                <w:tcPr>
                  <w:tcW w:w="738" w:type="pct"/>
                  <w:vAlign w:val="center"/>
                </w:tcPr>
                <w:p>
                  <w:pPr>
                    <w:pStyle w:val="3"/>
                    <w:spacing w:after="0"/>
                    <w:ind w:left="0" w:left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vAlign w:val="center"/>
                </w:tcPr>
                <w:p>
                  <w:pPr>
                    <w:pStyle w:val="3"/>
                    <w:spacing w:after="0"/>
                    <w:ind w:left="0" w:leftChars="0"/>
                    <w:jc w:val="center"/>
                    <w:rPr>
                      <w:sz w:val="21"/>
                      <w:szCs w:val="21"/>
                    </w:rPr>
                  </w:pPr>
                  <w:r>
                    <w:rPr>
                      <w:sz w:val="21"/>
                      <w:szCs w:val="21"/>
                    </w:rPr>
                    <w:t>配料搅拌</w:t>
                  </w:r>
                </w:p>
              </w:tc>
              <w:tc>
                <w:tcPr>
                  <w:tcW w:w="455" w:type="pct"/>
                  <w:vMerge w:val="restart"/>
                  <w:vAlign w:val="center"/>
                </w:tcPr>
                <w:p>
                  <w:pPr>
                    <w:pStyle w:val="3"/>
                    <w:spacing w:after="0"/>
                    <w:ind w:left="0" w:leftChars="0"/>
                    <w:jc w:val="center"/>
                    <w:rPr>
                      <w:sz w:val="21"/>
                      <w:szCs w:val="21"/>
                    </w:rPr>
                  </w:pPr>
                  <w:r>
                    <w:rPr>
                      <w:sz w:val="21"/>
                      <w:szCs w:val="21"/>
                    </w:rPr>
                    <w:t>0.9233</w:t>
                  </w:r>
                </w:p>
              </w:tc>
              <w:tc>
                <w:tcPr>
                  <w:tcW w:w="438" w:type="pct"/>
                  <w:vMerge w:val="restart"/>
                  <w:vAlign w:val="center"/>
                </w:tcPr>
                <w:p>
                  <w:pPr>
                    <w:pStyle w:val="3"/>
                    <w:spacing w:after="0"/>
                    <w:ind w:left="0" w:leftChars="0"/>
                    <w:jc w:val="center"/>
                    <w:rPr>
                      <w:sz w:val="21"/>
                      <w:szCs w:val="21"/>
                    </w:rPr>
                  </w:pPr>
                  <w:r>
                    <w:rPr>
                      <w:sz w:val="21"/>
                      <w:szCs w:val="21"/>
                    </w:rPr>
                    <w:t>1</w:t>
                  </w:r>
                </w:p>
              </w:tc>
              <w:tc>
                <w:tcPr>
                  <w:tcW w:w="1066" w:type="pct"/>
                  <w:vMerge w:val="continue"/>
                  <w:vAlign w:val="center"/>
                </w:tcPr>
                <w:p>
                  <w:pPr>
                    <w:pStyle w:val="3"/>
                    <w:spacing w:after="0"/>
                    <w:ind w:left="0" w:leftChars="0"/>
                    <w:jc w:val="center"/>
                    <w:rPr>
                      <w:sz w:val="21"/>
                      <w:szCs w:val="21"/>
                    </w:rPr>
                  </w:pPr>
                </w:p>
              </w:tc>
              <w:tc>
                <w:tcPr>
                  <w:tcW w:w="519" w:type="pct"/>
                  <w:vAlign w:val="center"/>
                </w:tcPr>
                <w:p>
                  <w:pPr>
                    <w:pStyle w:val="3"/>
                    <w:spacing w:after="0"/>
                    <w:ind w:left="0" w:leftChars="0"/>
                    <w:jc w:val="center"/>
                    <w:rPr>
                      <w:sz w:val="21"/>
                      <w:szCs w:val="21"/>
                    </w:rPr>
                  </w:pPr>
                  <w:r>
                    <w:rPr>
                      <w:sz w:val="21"/>
                      <w:szCs w:val="21"/>
                    </w:rPr>
                    <w:t>有组织</w:t>
                  </w:r>
                </w:p>
              </w:tc>
              <w:tc>
                <w:tcPr>
                  <w:tcW w:w="558" w:type="pct"/>
                  <w:vAlign w:val="center"/>
                </w:tcPr>
                <w:p>
                  <w:pPr>
                    <w:pStyle w:val="3"/>
                    <w:spacing w:after="0"/>
                    <w:ind w:left="0" w:leftChars="0"/>
                    <w:jc w:val="center"/>
                    <w:rPr>
                      <w:sz w:val="21"/>
                      <w:szCs w:val="21"/>
                    </w:rPr>
                  </w:pPr>
                  <w:r>
                    <w:rPr>
                      <w:sz w:val="21"/>
                      <w:szCs w:val="21"/>
                    </w:rPr>
                    <w:t>0.0012</w:t>
                  </w:r>
                </w:p>
              </w:tc>
              <w:tc>
                <w:tcPr>
                  <w:tcW w:w="718" w:type="pct"/>
                  <w:vAlign w:val="center"/>
                </w:tcPr>
                <w:p>
                  <w:pPr>
                    <w:pStyle w:val="3"/>
                    <w:spacing w:after="0"/>
                    <w:ind w:left="0" w:leftChars="0"/>
                    <w:jc w:val="center"/>
                    <w:rPr>
                      <w:sz w:val="21"/>
                      <w:szCs w:val="21"/>
                    </w:rPr>
                  </w:pPr>
                  <w:r>
                    <w:rPr>
                      <w:sz w:val="21"/>
                      <w:szCs w:val="21"/>
                    </w:rPr>
                    <w:t>0.002</w:t>
                  </w:r>
                </w:p>
              </w:tc>
              <w:tc>
                <w:tcPr>
                  <w:tcW w:w="738" w:type="pct"/>
                  <w:vAlign w:val="center"/>
                </w:tcPr>
                <w:p>
                  <w:pPr>
                    <w:pStyle w:val="3"/>
                    <w:spacing w:after="0"/>
                    <w:ind w:left="0" w:leftChars="0"/>
                    <w:jc w:val="center"/>
                    <w:rPr>
                      <w:sz w:val="21"/>
                      <w:szCs w:val="21"/>
                    </w:rPr>
                  </w:pPr>
                  <w:r>
                    <w:rPr>
                      <w:sz w:val="21"/>
                      <w:szCs w:val="21"/>
                    </w:rPr>
                    <w:t>0.3920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continue"/>
                  <w:vAlign w:val="center"/>
                </w:tcPr>
                <w:p>
                  <w:pPr>
                    <w:pStyle w:val="3"/>
                    <w:spacing w:after="0"/>
                    <w:ind w:left="0" w:leftChars="0"/>
                    <w:jc w:val="center"/>
                    <w:rPr>
                      <w:sz w:val="21"/>
                      <w:szCs w:val="21"/>
                    </w:rPr>
                  </w:pPr>
                </w:p>
              </w:tc>
              <w:tc>
                <w:tcPr>
                  <w:tcW w:w="455" w:type="pct"/>
                  <w:vMerge w:val="continue"/>
                  <w:vAlign w:val="center"/>
                </w:tcPr>
                <w:p>
                  <w:pPr>
                    <w:pStyle w:val="3"/>
                    <w:spacing w:after="0"/>
                    <w:ind w:left="0" w:leftChars="0"/>
                    <w:jc w:val="center"/>
                    <w:rPr>
                      <w:sz w:val="21"/>
                      <w:szCs w:val="21"/>
                    </w:rPr>
                  </w:pPr>
                </w:p>
              </w:tc>
              <w:tc>
                <w:tcPr>
                  <w:tcW w:w="438" w:type="pct"/>
                  <w:vMerge w:val="continue"/>
                  <w:vAlign w:val="center"/>
                </w:tcPr>
                <w:p>
                  <w:pPr>
                    <w:pStyle w:val="3"/>
                    <w:spacing w:after="0"/>
                    <w:ind w:left="0" w:leftChars="0"/>
                    <w:jc w:val="center"/>
                    <w:rPr>
                      <w:sz w:val="21"/>
                      <w:szCs w:val="21"/>
                    </w:rPr>
                  </w:pPr>
                </w:p>
              </w:tc>
              <w:tc>
                <w:tcPr>
                  <w:tcW w:w="1066" w:type="pct"/>
                  <w:vMerge w:val="continue"/>
                  <w:vAlign w:val="center"/>
                </w:tcPr>
                <w:p>
                  <w:pPr>
                    <w:pStyle w:val="3"/>
                    <w:spacing w:after="0"/>
                    <w:ind w:left="0" w:leftChars="0"/>
                    <w:jc w:val="center"/>
                    <w:rPr>
                      <w:sz w:val="21"/>
                      <w:szCs w:val="21"/>
                    </w:rPr>
                  </w:pPr>
                </w:p>
              </w:tc>
              <w:tc>
                <w:tcPr>
                  <w:tcW w:w="519" w:type="pct"/>
                  <w:vAlign w:val="center"/>
                </w:tcPr>
                <w:p>
                  <w:pPr>
                    <w:pStyle w:val="3"/>
                    <w:spacing w:after="0"/>
                    <w:ind w:left="0" w:leftChars="0"/>
                    <w:jc w:val="center"/>
                    <w:rPr>
                      <w:sz w:val="21"/>
                      <w:szCs w:val="21"/>
                    </w:rPr>
                  </w:pPr>
                  <w:r>
                    <w:rPr>
                      <w:sz w:val="21"/>
                      <w:szCs w:val="21"/>
                    </w:rPr>
                    <w:t>无组织</w:t>
                  </w:r>
                </w:p>
              </w:tc>
              <w:tc>
                <w:tcPr>
                  <w:tcW w:w="558" w:type="pct"/>
                  <w:vAlign w:val="center"/>
                </w:tcPr>
                <w:p>
                  <w:pPr>
                    <w:pStyle w:val="3"/>
                    <w:spacing w:after="0"/>
                    <w:ind w:left="0" w:leftChars="0"/>
                    <w:jc w:val="center"/>
                    <w:rPr>
                      <w:sz w:val="21"/>
                      <w:szCs w:val="21"/>
                    </w:rPr>
                  </w:pPr>
                  <w:r>
                    <w:rPr>
                      <w:sz w:val="21"/>
                      <w:szCs w:val="21"/>
                    </w:rPr>
                    <w:t>0.012</w:t>
                  </w:r>
                </w:p>
              </w:tc>
              <w:tc>
                <w:tcPr>
                  <w:tcW w:w="718" w:type="pct"/>
                  <w:vAlign w:val="center"/>
                </w:tcPr>
                <w:p>
                  <w:pPr>
                    <w:pStyle w:val="3"/>
                    <w:spacing w:after="0"/>
                    <w:ind w:left="0" w:leftChars="0"/>
                    <w:jc w:val="center"/>
                    <w:rPr>
                      <w:sz w:val="21"/>
                      <w:szCs w:val="21"/>
                    </w:rPr>
                  </w:pPr>
                  <w:r>
                    <w:rPr>
                      <w:sz w:val="21"/>
                      <w:szCs w:val="21"/>
                    </w:rPr>
                    <w:t>0.02</w:t>
                  </w:r>
                </w:p>
              </w:tc>
              <w:tc>
                <w:tcPr>
                  <w:tcW w:w="738" w:type="pct"/>
                  <w:vAlign w:val="center"/>
                </w:tcPr>
                <w:p>
                  <w:pPr>
                    <w:pStyle w:val="3"/>
                    <w:spacing w:after="0"/>
                    <w:ind w:left="0" w:left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986" w:type="pct"/>
                  <w:gridSpan w:val="5"/>
                  <w:vAlign w:val="center"/>
                </w:tcPr>
                <w:p>
                  <w:pPr>
                    <w:pStyle w:val="3"/>
                    <w:wordWrap w:val="0"/>
                    <w:spacing w:after="0"/>
                    <w:ind w:left="0" w:leftChars="0"/>
                    <w:jc w:val="center"/>
                    <w:rPr>
                      <w:sz w:val="21"/>
                      <w:szCs w:val="21"/>
                    </w:rPr>
                  </w:pPr>
                  <w:r>
                    <w:rPr>
                      <w:sz w:val="21"/>
                      <w:szCs w:val="21"/>
                    </w:rPr>
                    <w:t>《四川省水泥工业大气污染物排放标准》（DB51/2864-2021）散装水泥</w:t>
                  </w:r>
                  <w:r>
                    <w:rPr>
                      <w:rFonts w:hint="eastAsia"/>
                      <w:sz w:val="21"/>
                      <w:szCs w:val="21"/>
                    </w:rPr>
                    <w:t>中转站</w:t>
                  </w:r>
                  <w:r>
                    <w:rPr>
                      <w:sz w:val="21"/>
                      <w:szCs w:val="21"/>
                    </w:rPr>
                    <w:t>及水泥制品生产标准限值</w:t>
                  </w:r>
                </w:p>
              </w:tc>
              <w:tc>
                <w:tcPr>
                  <w:tcW w:w="558" w:type="pct"/>
                  <w:vAlign w:val="center"/>
                </w:tcPr>
                <w:p>
                  <w:pPr>
                    <w:pStyle w:val="3"/>
                    <w:spacing w:after="0"/>
                    <w:ind w:left="0" w:leftChars="0"/>
                    <w:jc w:val="center"/>
                    <w:rPr>
                      <w:sz w:val="21"/>
                      <w:szCs w:val="21"/>
                    </w:rPr>
                  </w:pPr>
                  <w:r>
                    <w:rPr>
                      <w:sz w:val="21"/>
                      <w:szCs w:val="21"/>
                    </w:rPr>
                    <w:t>--</w:t>
                  </w:r>
                </w:p>
              </w:tc>
              <w:tc>
                <w:tcPr>
                  <w:tcW w:w="718" w:type="pct"/>
                  <w:vAlign w:val="center"/>
                </w:tcPr>
                <w:p>
                  <w:pPr>
                    <w:pStyle w:val="3"/>
                    <w:spacing w:after="0"/>
                    <w:ind w:left="0" w:leftChars="0"/>
                    <w:jc w:val="center"/>
                    <w:rPr>
                      <w:sz w:val="21"/>
                      <w:szCs w:val="21"/>
                    </w:rPr>
                  </w:pPr>
                  <w:r>
                    <w:rPr>
                      <w:sz w:val="21"/>
                      <w:szCs w:val="21"/>
                    </w:rPr>
                    <w:t>-</w:t>
                  </w:r>
                </w:p>
              </w:tc>
              <w:tc>
                <w:tcPr>
                  <w:tcW w:w="738" w:type="pct"/>
                  <w:vAlign w:val="center"/>
                </w:tcPr>
                <w:p>
                  <w:pPr>
                    <w:pStyle w:val="3"/>
                    <w:spacing w:after="0"/>
                    <w:ind w:left="0" w:leftChars="0"/>
                    <w:jc w:val="center"/>
                    <w:rPr>
                      <w:sz w:val="21"/>
                      <w:szCs w:val="21"/>
                    </w:rPr>
                  </w:pPr>
                  <w:r>
                    <w:rPr>
                      <w:sz w:val="21"/>
                      <w:szCs w:val="21"/>
                    </w:rPr>
                    <w:t>10</w:t>
                  </w:r>
                </w:p>
              </w:tc>
            </w:tr>
          </w:tbl>
          <w:p>
            <w:pPr>
              <w:spacing w:line="480" w:lineRule="exact"/>
              <w:ind w:firstLine="454"/>
              <w:rPr>
                <w:sz w:val="24"/>
              </w:rPr>
            </w:pPr>
            <w:r>
              <w:rPr>
                <w:sz w:val="24"/>
              </w:rPr>
              <w:t>原项目锅炉废气产生与排放</w:t>
            </w:r>
          </w:p>
          <w:p>
            <w:pPr>
              <w:adjustRightInd w:val="0"/>
              <w:snapToGrid w:val="0"/>
              <w:jc w:val="center"/>
              <w:rPr>
                <w:b/>
                <w:bCs/>
                <w:szCs w:val="21"/>
              </w:rPr>
            </w:pPr>
            <w:r>
              <w:rPr>
                <w:b/>
                <w:bCs/>
                <w:szCs w:val="21"/>
              </w:rPr>
              <w:t>表2-11 锅炉废气排放一览表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1709"/>
              <w:gridCol w:w="1809"/>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pct"/>
                  <w:vAlign w:val="center"/>
                </w:tcPr>
                <w:p>
                  <w:pPr>
                    <w:pStyle w:val="46"/>
                    <w:spacing w:beforeLines="0" w:afterLines="0" w:line="240" w:lineRule="auto"/>
                    <w:rPr>
                      <w:rFonts w:ascii="Times New Roman"/>
                      <w:b/>
                      <w:szCs w:val="21"/>
                    </w:rPr>
                  </w:pPr>
                  <w:r>
                    <w:rPr>
                      <w:rFonts w:ascii="Times New Roman"/>
                      <w:b/>
                      <w:szCs w:val="21"/>
                    </w:rPr>
                    <w:t>项目</w:t>
                  </w:r>
                </w:p>
              </w:tc>
              <w:tc>
                <w:tcPr>
                  <w:tcW w:w="994" w:type="pct"/>
                  <w:vAlign w:val="center"/>
                </w:tcPr>
                <w:p>
                  <w:pPr>
                    <w:pStyle w:val="46"/>
                    <w:spacing w:beforeLines="0" w:afterLines="0" w:line="240" w:lineRule="auto"/>
                    <w:rPr>
                      <w:rFonts w:ascii="Times New Roman"/>
                      <w:b/>
                      <w:szCs w:val="21"/>
                    </w:rPr>
                  </w:pPr>
                  <w:r>
                    <w:rPr>
                      <w:rFonts w:ascii="Times New Roman"/>
                      <w:b/>
                      <w:szCs w:val="21"/>
                    </w:rPr>
                    <w:t>烟尘</w:t>
                  </w:r>
                </w:p>
              </w:tc>
              <w:tc>
                <w:tcPr>
                  <w:tcW w:w="1052" w:type="pct"/>
                  <w:vAlign w:val="center"/>
                </w:tcPr>
                <w:p>
                  <w:pPr>
                    <w:pStyle w:val="46"/>
                    <w:spacing w:beforeLines="0" w:afterLines="0" w:line="240" w:lineRule="auto"/>
                    <w:rPr>
                      <w:rFonts w:ascii="Times New Roman"/>
                      <w:b/>
                      <w:szCs w:val="21"/>
                    </w:rPr>
                  </w:pPr>
                  <w:r>
                    <w:rPr>
                      <w:rFonts w:ascii="Times New Roman"/>
                      <w:b/>
                      <w:szCs w:val="21"/>
                    </w:rPr>
                    <w:t>SO</w:t>
                  </w:r>
                  <w:r>
                    <w:rPr>
                      <w:rFonts w:ascii="Times New Roman"/>
                      <w:b/>
                      <w:szCs w:val="21"/>
                      <w:vertAlign w:val="subscript"/>
                    </w:rPr>
                    <w:t>2</w:t>
                  </w:r>
                </w:p>
              </w:tc>
              <w:tc>
                <w:tcPr>
                  <w:tcW w:w="1789" w:type="pct"/>
                  <w:vAlign w:val="center"/>
                </w:tcPr>
                <w:p>
                  <w:pPr>
                    <w:pStyle w:val="46"/>
                    <w:spacing w:beforeLines="0" w:afterLines="0" w:line="240" w:lineRule="auto"/>
                    <w:rPr>
                      <w:rFonts w:ascii="Times New Roman"/>
                      <w:b/>
                      <w:szCs w:val="21"/>
                    </w:rPr>
                  </w:pPr>
                  <w:r>
                    <w:rPr>
                      <w:rFonts w:ascii="Times New Roman"/>
                      <w:b/>
                      <w:szCs w:val="21"/>
                    </w:rPr>
                    <w:t>NOx（低氮燃烧-国内领先）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pct"/>
                  <w:vAlign w:val="center"/>
                </w:tcPr>
                <w:p>
                  <w:pPr>
                    <w:pStyle w:val="46"/>
                    <w:spacing w:beforeLines="0" w:afterLines="0" w:line="240" w:lineRule="auto"/>
                    <w:rPr>
                      <w:rFonts w:ascii="Times New Roman"/>
                      <w:b/>
                      <w:bCs/>
                      <w:iCs/>
                      <w:snapToGrid w:val="0"/>
                      <w:spacing w:val="-4"/>
                      <w:szCs w:val="21"/>
                      <w:lang w:bidi="en-US"/>
                    </w:rPr>
                  </w:pPr>
                  <w:r>
                    <w:rPr>
                      <w:rFonts w:ascii="Times New Roman"/>
                      <w:szCs w:val="21"/>
                    </w:rPr>
                    <w:t>产生量</w:t>
                  </w:r>
                </w:p>
              </w:tc>
              <w:tc>
                <w:tcPr>
                  <w:tcW w:w="994" w:type="pct"/>
                  <w:vAlign w:val="center"/>
                </w:tcPr>
                <w:p>
                  <w:pPr>
                    <w:pStyle w:val="46"/>
                    <w:spacing w:beforeLines="0" w:afterLines="0" w:line="240" w:lineRule="auto"/>
                    <w:rPr>
                      <w:rFonts w:ascii="Times New Roman"/>
                      <w:b/>
                      <w:bCs/>
                      <w:iCs/>
                      <w:snapToGrid w:val="0"/>
                      <w:spacing w:val="-4"/>
                      <w:szCs w:val="21"/>
                      <w:lang w:bidi="en-US"/>
                    </w:rPr>
                  </w:pPr>
                  <w:r>
                    <w:rPr>
                      <w:rFonts w:ascii="Times New Roman"/>
                      <w:szCs w:val="21"/>
                    </w:rPr>
                    <w:t>0.072t/a</w:t>
                  </w:r>
                </w:p>
              </w:tc>
              <w:tc>
                <w:tcPr>
                  <w:tcW w:w="1052"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0.24t/a</w:t>
                  </w:r>
                </w:p>
              </w:tc>
              <w:tc>
                <w:tcPr>
                  <w:tcW w:w="1789" w:type="pct"/>
                  <w:vAlign w:val="center"/>
                </w:tcPr>
                <w:p>
                  <w:pPr>
                    <w:pStyle w:val="46"/>
                    <w:spacing w:beforeLines="0" w:afterLines="0" w:line="240" w:lineRule="auto"/>
                    <w:rPr>
                      <w:rFonts w:ascii="Times New Roman"/>
                      <w:b/>
                      <w:bCs/>
                      <w:iCs/>
                      <w:snapToGrid w:val="0"/>
                      <w:spacing w:val="-4"/>
                      <w:szCs w:val="21"/>
                      <w:lang w:bidi="en-US"/>
                    </w:rPr>
                  </w:pPr>
                  <w:r>
                    <w:rPr>
                      <w:rFonts w:ascii="Times New Roman"/>
                      <w:szCs w:val="21"/>
                    </w:rPr>
                    <w:t>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产生速率</w:t>
                  </w:r>
                </w:p>
              </w:tc>
              <w:tc>
                <w:tcPr>
                  <w:tcW w:w="994"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0.01</w:t>
                  </w:r>
                  <w:r>
                    <w:rPr>
                      <w:rFonts w:ascii="Times New Roman"/>
                      <w:kern w:val="2"/>
                      <w:szCs w:val="21"/>
                    </w:rPr>
                    <w:t>kg/h</w:t>
                  </w:r>
                </w:p>
              </w:tc>
              <w:tc>
                <w:tcPr>
                  <w:tcW w:w="1052"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0.0333</w:t>
                  </w:r>
                  <w:r>
                    <w:rPr>
                      <w:rFonts w:ascii="Times New Roman"/>
                      <w:kern w:val="2"/>
                      <w:szCs w:val="21"/>
                    </w:rPr>
                    <w:t>kg/h</w:t>
                  </w:r>
                </w:p>
              </w:tc>
              <w:tc>
                <w:tcPr>
                  <w:tcW w:w="1789"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0.0583</w:t>
                  </w:r>
                  <w:r>
                    <w:rPr>
                      <w:rFonts w:ascii="Times New Roman"/>
                      <w:kern w:val="2"/>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pct"/>
                  <w:vAlign w:val="center"/>
                </w:tcPr>
                <w:p>
                  <w:pPr>
                    <w:pStyle w:val="46"/>
                    <w:spacing w:beforeLines="0" w:afterLines="0" w:line="240" w:lineRule="auto"/>
                    <w:rPr>
                      <w:rFonts w:ascii="Times New Roman"/>
                      <w:b/>
                      <w:bCs/>
                      <w:iCs/>
                      <w:snapToGrid w:val="0"/>
                      <w:spacing w:val="-4"/>
                      <w:szCs w:val="21"/>
                      <w:lang w:bidi="en-US"/>
                    </w:rPr>
                  </w:pPr>
                  <w:r>
                    <w:rPr>
                      <w:rFonts w:ascii="Times New Roman"/>
                      <w:szCs w:val="21"/>
                    </w:rPr>
                    <w:t>产生浓度</w:t>
                  </w:r>
                </w:p>
              </w:tc>
              <w:tc>
                <w:tcPr>
                  <w:tcW w:w="994" w:type="pct"/>
                  <w:vAlign w:val="center"/>
                </w:tcPr>
                <w:p>
                  <w:pPr>
                    <w:pStyle w:val="46"/>
                    <w:spacing w:beforeLines="0" w:afterLines="0" w:line="240" w:lineRule="auto"/>
                    <w:rPr>
                      <w:rFonts w:ascii="Times New Roman"/>
                      <w:bCs/>
                      <w:iCs/>
                      <w:snapToGrid w:val="0"/>
                      <w:spacing w:val="-4"/>
                      <w:szCs w:val="21"/>
                      <w:vertAlign w:val="superscript"/>
                      <w:lang w:bidi="en-US"/>
                    </w:rPr>
                  </w:pPr>
                  <w:r>
                    <w:rPr>
                      <w:rFonts w:ascii="Times New Roman"/>
                      <w:szCs w:val="21"/>
                    </w:rPr>
                    <w:t>11.13mg/m</w:t>
                  </w:r>
                  <w:r>
                    <w:rPr>
                      <w:rFonts w:ascii="Times New Roman"/>
                      <w:szCs w:val="21"/>
                      <w:vertAlign w:val="superscript"/>
                    </w:rPr>
                    <w:t>3</w:t>
                  </w:r>
                </w:p>
              </w:tc>
              <w:tc>
                <w:tcPr>
                  <w:tcW w:w="1052"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37.12mg/m</w:t>
                  </w:r>
                  <w:r>
                    <w:rPr>
                      <w:rFonts w:ascii="Times New Roman"/>
                      <w:szCs w:val="21"/>
                      <w:vertAlign w:val="superscript"/>
                    </w:rPr>
                    <w:t>3</w:t>
                  </w:r>
                </w:p>
              </w:tc>
              <w:tc>
                <w:tcPr>
                  <w:tcW w:w="1789" w:type="pct"/>
                  <w:vAlign w:val="center"/>
                </w:tcPr>
                <w:p>
                  <w:pPr>
                    <w:pStyle w:val="46"/>
                    <w:spacing w:beforeLines="0" w:afterLines="0" w:line="240" w:lineRule="auto"/>
                    <w:rPr>
                      <w:rFonts w:ascii="Times New Roman"/>
                      <w:bCs/>
                      <w:iCs/>
                      <w:snapToGrid w:val="0"/>
                      <w:spacing w:val="-4"/>
                      <w:szCs w:val="21"/>
                      <w:lang w:bidi="en-US"/>
                    </w:rPr>
                  </w:pPr>
                  <w:r>
                    <w:rPr>
                      <w:rFonts w:ascii="Times New Roman"/>
                      <w:szCs w:val="21"/>
                    </w:rPr>
                    <w:t>64.96mg/m</w:t>
                  </w:r>
                  <w:r>
                    <w:rPr>
                      <w:rFonts w:ascii="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pct"/>
                  <w:vAlign w:val="center"/>
                </w:tcPr>
                <w:p>
                  <w:pPr>
                    <w:pStyle w:val="46"/>
                    <w:spacing w:beforeLines="0" w:afterLines="0" w:line="240" w:lineRule="auto"/>
                    <w:jc w:val="both"/>
                    <w:rPr>
                      <w:rFonts w:ascii="Times New Roman"/>
                      <w:szCs w:val="21"/>
                    </w:rPr>
                  </w:pPr>
                  <w:r>
                    <w:rPr>
                      <w:rFonts w:ascii="Times New Roman"/>
                      <w:szCs w:val="21"/>
                    </w:rPr>
                    <w:t>GB13271-2014表3 燃气标准</w:t>
                  </w:r>
                </w:p>
              </w:tc>
              <w:tc>
                <w:tcPr>
                  <w:tcW w:w="994" w:type="pct"/>
                  <w:vAlign w:val="center"/>
                </w:tcPr>
                <w:p>
                  <w:pPr>
                    <w:pStyle w:val="46"/>
                    <w:spacing w:beforeLines="0" w:afterLines="0" w:line="240" w:lineRule="auto"/>
                    <w:rPr>
                      <w:rFonts w:ascii="Times New Roman"/>
                      <w:szCs w:val="21"/>
                    </w:rPr>
                  </w:pPr>
                  <w:r>
                    <w:rPr>
                      <w:rFonts w:ascii="Times New Roman"/>
                      <w:szCs w:val="21"/>
                    </w:rPr>
                    <w:t>20</w:t>
                  </w:r>
                </w:p>
              </w:tc>
              <w:tc>
                <w:tcPr>
                  <w:tcW w:w="1052" w:type="pct"/>
                  <w:vAlign w:val="center"/>
                </w:tcPr>
                <w:p>
                  <w:pPr>
                    <w:pStyle w:val="46"/>
                    <w:spacing w:beforeLines="0" w:afterLines="0" w:line="240" w:lineRule="auto"/>
                    <w:rPr>
                      <w:rFonts w:ascii="Times New Roman"/>
                      <w:szCs w:val="21"/>
                    </w:rPr>
                  </w:pPr>
                  <w:r>
                    <w:rPr>
                      <w:rFonts w:ascii="Times New Roman"/>
                      <w:szCs w:val="21"/>
                    </w:rPr>
                    <w:t>50</w:t>
                  </w:r>
                </w:p>
              </w:tc>
              <w:tc>
                <w:tcPr>
                  <w:tcW w:w="1789" w:type="pct"/>
                  <w:vAlign w:val="center"/>
                </w:tcPr>
                <w:p>
                  <w:pPr>
                    <w:pStyle w:val="46"/>
                    <w:spacing w:beforeLines="0" w:afterLines="0" w:line="240" w:lineRule="auto"/>
                    <w:rPr>
                      <w:rFonts w:ascii="Times New Roman"/>
                      <w:szCs w:val="21"/>
                    </w:rPr>
                  </w:pPr>
                  <w:r>
                    <w:rPr>
                      <w:rFonts w:ascii="Times New Roman"/>
                      <w:szCs w:val="21"/>
                    </w:rPr>
                    <w:t>150</w:t>
                  </w:r>
                </w:p>
              </w:tc>
            </w:tr>
          </w:tbl>
          <w:p>
            <w:pPr>
              <w:spacing w:line="480" w:lineRule="exact"/>
              <w:ind w:firstLine="454"/>
              <w:rPr>
                <w:sz w:val="24"/>
              </w:rPr>
            </w:pPr>
            <w:r>
              <w:rPr>
                <w:rFonts w:eastAsiaTheme="minorEastAsia"/>
                <w:sz w:val="24"/>
              </w:rPr>
              <w:t xml:space="preserve">根据原“鸿乔再生资源利用项目” </w:t>
            </w:r>
            <w:r>
              <w:rPr>
                <w:rFonts w:hint="eastAsia" w:eastAsiaTheme="minorEastAsia"/>
                <w:sz w:val="24"/>
              </w:rPr>
              <w:t>环评报告</w:t>
            </w:r>
            <w:r>
              <w:rPr>
                <w:kern w:val="0"/>
                <w:sz w:val="24"/>
              </w:rPr>
              <w:t>原有工程污染物总量控制指标详见下表：</w:t>
            </w:r>
          </w:p>
          <w:p>
            <w:pPr>
              <w:pStyle w:val="61"/>
              <w:rPr>
                <w:sz w:val="21"/>
                <w:szCs w:val="21"/>
              </w:rPr>
            </w:pPr>
            <w:r>
              <w:rPr>
                <w:sz w:val="21"/>
                <w:szCs w:val="21"/>
              </w:rPr>
              <w:t>表2-12总量控制指标</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2162"/>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Align w:val="center"/>
                </w:tcPr>
                <w:p>
                  <w:pPr>
                    <w:pStyle w:val="80"/>
                    <w:rPr>
                      <w:rFonts w:ascii="Times New Roman" w:hAnsi="Times New Roman"/>
                    </w:rPr>
                  </w:pPr>
                  <w:r>
                    <w:rPr>
                      <w:rFonts w:ascii="Times New Roman" w:hAnsi="Times New Roman"/>
                    </w:rPr>
                    <w:t>污染物类型</w:t>
                  </w:r>
                </w:p>
              </w:tc>
              <w:tc>
                <w:tcPr>
                  <w:tcW w:w="1257" w:type="pct"/>
                  <w:vAlign w:val="center"/>
                </w:tcPr>
                <w:p>
                  <w:pPr>
                    <w:pStyle w:val="80"/>
                    <w:rPr>
                      <w:rFonts w:ascii="Times New Roman" w:hAnsi="Times New Roman"/>
                    </w:rPr>
                  </w:pPr>
                  <w:r>
                    <w:rPr>
                      <w:rFonts w:ascii="Times New Roman" w:hAnsi="Times New Roman"/>
                    </w:rPr>
                    <w:t>污染物</w:t>
                  </w:r>
                </w:p>
              </w:tc>
              <w:tc>
                <w:tcPr>
                  <w:tcW w:w="2562" w:type="pct"/>
                  <w:vAlign w:val="center"/>
                </w:tcPr>
                <w:p>
                  <w:pPr>
                    <w:pStyle w:val="80"/>
                    <w:rPr>
                      <w:rFonts w:ascii="Times New Roman" w:hAnsi="Times New Roman"/>
                    </w:rPr>
                  </w:pPr>
                  <w:r>
                    <w:rPr>
                      <w:rFonts w:ascii="Times New Roman" w:hAnsi="Times New Roman"/>
                    </w:rPr>
                    <w:t>建议总量指标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restart"/>
                  <w:vAlign w:val="center"/>
                </w:tcPr>
                <w:p>
                  <w:pPr>
                    <w:pStyle w:val="79"/>
                    <w:rPr>
                      <w:rFonts w:ascii="Times New Roman" w:hAnsi="Times New Roman"/>
                    </w:rPr>
                  </w:pPr>
                  <w:r>
                    <w:rPr>
                      <w:rFonts w:ascii="Times New Roman" w:hAnsi="Times New Roman"/>
                    </w:rPr>
                    <w:t>大气污染</w:t>
                  </w:r>
                </w:p>
              </w:tc>
              <w:tc>
                <w:tcPr>
                  <w:tcW w:w="1257" w:type="pct"/>
                  <w:vAlign w:val="center"/>
                </w:tcPr>
                <w:p>
                  <w:pPr>
                    <w:pStyle w:val="79"/>
                    <w:rPr>
                      <w:rFonts w:ascii="Times New Roman" w:hAnsi="Times New Roman"/>
                    </w:rPr>
                  </w:pPr>
                  <w:r>
                    <w:rPr>
                      <w:rFonts w:ascii="Times New Roman" w:hAnsi="Times New Roman"/>
                      <w:sz w:val="24"/>
                    </w:rPr>
                    <w:t>SO</w:t>
                  </w:r>
                  <w:r>
                    <w:rPr>
                      <w:rFonts w:ascii="Times New Roman" w:hAnsi="Times New Roman"/>
                      <w:sz w:val="24"/>
                      <w:vertAlign w:val="subscript"/>
                    </w:rPr>
                    <w:t>2</w:t>
                  </w:r>
                </w:p>
              </w:tc>
              <w:tc>
                <w:tcPr>
                  <w:tcW w:w="2562" w:type="pct"/>
                  <w:vAlign w:val="center"/>
                </w:tcPr>
                <w:p>
                  <w:pPr>
                    <w:pStyle w:val="79"/>
                    <w:rPr>
                      <w:rFonts w:ascii="Times New Roman" w:hAnsi="Times New Roman"/>
                    </w:rPr>
                  </w:pPr>
                  <w:r>
                    <w:rPr>
                      <w:rFonts w:ascii="Times New Roman" w:hAnsi="Times New Roman"/>
                    </w:rPr>
                    <w:t>0.24t/a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continue"/>
                  <w:vAlign w:val="center"/>
                </w:tcPr>
                <w:p>
                  <w:pPr>
                    <w:pStyle w:val="79"/>
                    <w:rPr>
                      <w:rFonts w:ascii="Times New Roman" w:hAnsi="Times New Roman"/>
                    </w:rPr>
                  </w:pPr>
                </w:p>
              </w:tc>
              <w:tc>
                <w:tcPr>
                  <w:tcW w:w="1257" w:type="pct"/>
                  <w:vAlign w:val="center"/>
                </w:tcPr>
                <w:p>
                  <w:pPr>
                    <w:pStyle w:val="79"/>
                    <w:rPr>
                      <w:rFonts w:ascii="Times New Roman" w:hAnsi="Times New Roman"/>
                    </w:rPr>
                  </w:pPr>
                  <w:r>
                    <w:rPr>
                      <w:rFonts w:ascii="Times New Roman" w:hAnsi="Times New Roman"/>
                      <w:sz w:val="24"/>
                    </w:rPr>
                    <w:t>NOx</w:t>
                  </w:r>
                </w:p>
              </w:tc>
              <w:tc>
                <w:tcPr>
                  <w:tcW w:w="2562" w:type="pct"/>
                  <w:vAlign w:val="center"/>
                </w:tcPr>
                <w:p>
                  <w:pPr>
                    <w:pStyle w:val="79"/>
                    <w:rPr>
                      <w:rFonts w:ascii="Times New Roman" w:hAnsi="Times New Roman"/>
                    </w:rPr>
                  </w:pPr>
                  <w:r>
                    <w:rPr>
                      <w:rFonts w:ascii="Times New Roman" w:hAnsi="Times New Roman"/>
                    </w:rPr>
                    <w:t>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continue"/>
                  <w:vAlign w:val="center"/>
                </w:tcPr>
                <w:p>
                  <w:pPr>
                    <w:pStyle w:val="79"/>
                    <w:rPr>
                      <w:rFonts w:ascii="Times New Roman" w:hAnsi="Times New Roman"/>
                    </w:rPr>
                  </w:pPr>
                </w:p>
              </w:tc>
              <w:tc>
                <w:tcPr>
                  <w:tcW w:w="1257" w:type="pct"/>
                  <w:vAlign w:val="center"/>
                </w:tcPr>
                <w:p>
                  <w:pPr>
                    <w:pStyle w:val="79"/>
                    <w:rPr>
                      <w:rFonts w:ascii="Times New Roman" w:hAnsi="Times New Roman"/>
                    </w:rPr>
                  </w:pPr>
                  <w:r>
                    <w:rPr>
                      <w:rFonts w:ascii="Times New Roman" w:hAnsi="Times New Roman"/>
                    </w:rPr>
                    <w:t>颗粒物</w:t>
                  </w:r>
                </w:p>
              </w:tc>
              <w:tc>
                <w:tcPr>
                  <w:tcW w:w="2562" w:type="pct"/>
                  <w:vAlign w:val="center"/>
                </w:tcPr>
                <w:p>
                  <w:pPr>
                    <w:pStyle w:val="79"/>
                    <w:rPr>
                      <w:rFonts w:ascii="Times New Roman" w:hAnsi="Times New Roman"/>
                    </w:rPr>
                  </w:pPr>
                  <w:r>
                    <w:rPr>
                      <w:rFonts w:ascii="Times New Roman" w:hAnsi="Times New Roman"/>
                    </w:rPr>
                    <w:t>0.3042t/a</w:t>
                  </w:r>
                </w:p>
              </w:tc>
            </w:tr>
          </w:tbl>
          <w:p>
            <w:pPr>
              <w:adjustRightInd w:val="0"/>
              <w:snapToGrid w:val="0"/>
              <w:spacing w:line="360" w:lineRule="auto"/>
            </w:pPr>
          </w:p>
          <w:p>
            <w:pPr>
              <w:pStyle w:val="2"/>
              <w:ind w:firstLine="482"/>
              <w:rPr>
                <w:b/>
                <w:bCs/>
                <w:sz w:val="24"/>
              </w:rPr>
            </w:pPr>
            <w:r>
              <w:rPr>
                <w:rFonts w:hint="eastAsia"/>
                <w:b/>
                <w:bCs/>
                <w:sz w:val="24"/>
              </w:rPr>
              <w:t>3</w:t>
            </w:r>
            <w:r>
              <w:rPr>
                <w:b/>
                <w:bCs/>
                <w:sz w:val="24"/>
              </w:rPr>
              <w:t>.</w:t>
            </w:r>
            <w:r>
              <w:rPr>
                <w:rFonts w:hint="eastAsia"/>
                <w:b/>
                <w:bCs/>
                <w:sz w:val="24"/>
              </w:rPr>
              <w:t>原项目现状图</w:t>
            </w:r>
          </w:p>
          <w:tbl>
            <w:tblPr>
              <w:tblStyle w:val="26"/>
              <w:tblW w:w="47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4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2500" w:type="pct"/>
                </w:tcPr>
                <w:p>
                  <w:pPr>
                    <w:pStyle w:val="2"/>
                    <w:ind w:left="0" w:leftChars="0" w:firstLine="0" w:firstLineChars="0"/>
                    <w:jc w:val="center"/>
                    <w:rPr>
                      <w:b/>
                      <w:bCs/>
                      <w:sz w:val="24"/>
                    </w:rPr>
                  </w:pPr>
                  <w:r>
                    <w:rPr>
                      <w:b/>
                      <w:bCs/>
                      <w:sz w:val="24"/>
                    </w:rPr>
                    <w:drawing>
                      <wp:inline distT="0" distB="0" distL="0" distR="0">
                        <wp:extent cx="2399030" cy="1799590"/>
                        <wp:effectExtent l="0" t="0" r="1270" b="0"/>
                        <wp:docPr id="838497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9729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99276" cy="1800000"/>
                                </a:xfrm>
                                <a:prstGeom prst="rect">
                                  <a:avLst/>
                                </a:prstGeom>
                                <a:noFill/>
                                <a:ln>
                                  <a:noFill/>
                                </a:ln>
                              </pic:spPr>
                            </pic:pic>
                          </a:graphicData>
                        </a:graphic>
                      </wp:inline>
                    </w:drawing>
                  </w:r>
                </w:p>
              </w:tc>
              <w:tc>
                <w:tcPr>
                  <w:tcW w:w="2500" w:type="pct"/>
                </w:tcPr>
                <w:p>
                  <w:pPr>
                    <w:pStyle w:val="2"/>
                    <w:ind w:left="0" w:leftChars="0" w:firstLine="0" w:firstLineChars="0"/>
                    <w:jc w:val="center"/>
                    <w:rPr>
                      <w:b/>
                      <w:bCs/>
                      <w:sz w:val="24"/>
                    </w:rPr>
                  </w:pPr>
                  <w:r>
                    <w:rPr>
                      <w:b/>
                      <w:bCs/>
                      <w:sz w:val="24"/>
                    </w:rPr>
                    <w:drawing>
                      <wp:inline distT="0" distB="0" distL="0" distR="0">
                        <wp:extent cx="2398395" cy="1799590"/>
                        <wp:effectExtent l="0" t="0" r="1905" b="0"/>
                        <wp:docPr id="21350162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6288"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98913"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00" w:type="pct"/>
                </w:tcPr>
                <w:p>
                  <w:pPr>
                    <w:pStyle w:val="2"/>
                    <w:ind w:left="0" w:leftChars="0" w:firstLine="0" w:firstLineChars="0"/>
                    <w:jc w:val="center"/>
                    <w:rPr>
                      <w:b/>
                      <w:bCs/>
                      <w:sz w:val="24"/>
                    </w:rPr>
                  </w:pPr>
                  <w:r>
                    <w:rPr>
                      <w:rFonts w:hint="eastAsia"/>
                      <w:b/>
                      <w:bCs/>
                      <w:sz w:val="24"/>
                    </w:rPr>
                    <w:t>湿式湿式球磨机</w:t>
                  </w:r>
                </w:p>
              </w:tc>
              <w:tc>
                <w:tcPr>
                  <w:tcW w:w="2500" w:type="pct"/>
                </w:tcPr>
                <w:p>
                  <w:pPr>
                    <w:pStyle w:val="2"/>
                    <w:ind w:left="0" w:leftChars="0" w:firstLine="0" w:firstLineChars="0"/>
                    <w:jc w:val="center"/>
                    <w:rPr>
                      <w:b/>
                      <w:bCs/>
                      <w:sz w:val="24"/>
                    </w:rPr>
                  </w:pPr>
                  <w:r>
                    <w:rPr>
                      <w:rFonts w:hint="eastAsia"/>
                      <w:b/>
                      <w:bCs/>
                      <w:sz w:val="24"/>
                    </w:rPr>
                    <w:t>密闭式配料机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2500" w:type="pct"/>
                </w:tcPr>
                <w:p>
                  <w:pPr>
                    <w:pStyle w:val="2"/>
                    <w:ind w:left="0" w:leftChars="0" w:firstLine="0" w:firstLineChars="0"/>
                    <w:jc w:val="center"/>
                    <w:rPr>
                      <w:b/>
                      <w:bCs/>
                      <w:sz w:val="24"/>
                    </w:rPr>
                  </w:pPr>
                  <w:r>
                    <w:rPr>
                      <w:b/>
                      <w:bCs/>
                      <w:sz w:val="24"/>
                    </w:rPr>
                    <w:drawing>
                      <wp:inline distT="0" distB="0" distL="0" distR="0">
                        <wp:extent cx="2399030" cy="1799590"/>
                        <wp:effectExtent l="0" t="0" r="1270" b="0"/>
                        <wp:docPr id="1900975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7515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99277" cy="1800000"/>
                                </a:xfrm>
                                <a:prstGeom prst="rect">
                                  <a:avLst/>
                                </a:prstGeom>
                                <a:noFill/>
                                <a:ln>
                                  <a:noFill/>
                                </a:ln>
                              </pic:spPr>
                            </pic:pic>
                          </a:graphicData>
                        </a:graphic>
                      </wp:inline>
                    </w:drawing>
                  </w:r>
                </w:p>
              </w:tc>
              <w:tc>
                <w:tcPr>
                  <w:tcW w:w="2500" w:type="pct"/>
                </w:tcPr>
                <w:p>
                  <w:pPr>
                    <w:pStyle w:val="2"/>
                    <w:ind w:left="0" w:leftChars="0" w:firstLine="0" w:firstLineChars="0"/>
                    <w:jc w:val="center"/>
                    <w:rPr>
                      <w:b/>
                      <w:bCs/>
                      <w:sz w:val="24"/>
                    </w:rPr>
                  </w:pPr>
                  <w:r>
                    <w:rPr>
                      <w:rFonts w:hint="eastAsia"/>
                      <w:b/>
                      <w:bCs/>
                      <w:sz w:val="24"/>
                    </w:rPr>
                    <w:drawing>
                      <wp:inline distT="0" distB="0" distL="0" distR="0">
                        <wp:extent cx="2398395" cy="1799590"/>
                        <wp:effectExtent l="0" t="0" r="1905" b="0"/>
                        <wp:docPr id="4457512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123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98913"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00" w:type="pct"/>
                </w:tcPr>
                <w:p>
                  <w:pPr>
                    <w:pStyle w:val="2"/>
                    <w:ind w:left="0" w:leftChars="0" w:firstLine="0" w:firstLineChars="0"/>
                    <w:jc w:val="center"/>
                    <w:rPr>
                      <w:b/>
                      <w:bCs/>
                      <w:sz w:val="24"/>
                    </w:rPr>
                  </w:pPr>
                  <w:r>
                    <w:rPr>
                      <w:rFonts w:hint="eastAsia"/>
                      <w:b/>
                      <w:bCs/>
                      <w:sz w:val="24"/>
                    </w:rPr>
                    <w:t>蒸压釜</w:t>
                  </w:r>
                </w:p>
              </w:tc>
              <w:tc>
                <w:tcPr>
                  <w:tcW w:w="2500" w:type="pct"/>
                </w:tcPr>
                <w:p>
                  <w:pPr>
                    <w:pStyle w:val="2"/>
                    <w:ind w:left="0" w:leftChars="0" w:firstLine="0" w:firstLineChars="0"/>
                    <w:jc w:val="center"/>
                    <w:rPr>
                      <w:b/>
                      <w:bCs/>
                      <w:sz w:val="24"/>
                    </w:rPr>
                  </w:pPr>
                  <w:r>
                    <w:rPr>
                      <w:rFonts w:hint="eastAsia"/>
                      <w:b/>
                      <w:bCs/>
                      <w:sz w:val="24"/>
                    </w:rPr>
                    <w:t>项目已建厂房</w:t>
                  </w:r>
                </w:p>
              </w:tc>
            </w:tr>
          </w:tbl>
          <w:p/>
          <w:p>
            <w:pPr>
              <w:pStyle w:val="2"/>
              <w:spacing w:after="0" w:line="360" w:lineRule="auto"/>
              <w:ind w:left="0" w:leftChars="0" w:firstLine="482"/>
              <w:rPr>
                <w:b/>
                <w:bCs/>
                <w:sz w:val="24"/>
              </w:rPr>
            </w:pPr>
            <w:r>
              <w:rPr>
                <w:rFonts w:hint="eastAsia"/>
                <w:b/>
                <w:bCs/>
                <w:sz w:val="24"/>
              </w:rPr>
              <w:t>3</w:t>
            </w:r>
            <w:r>
              <w:rPr>
                <w:b/>
                <w:bCs/>
                <w:sz w:val="24"/>
              </w:rPr>
              <w:t>.</w:t>
            </w:r>
            <w:r>
              <w:rPr>
                <w:rFonts w:hint="eastAsia"/>
                <w:b/>
                <w:bCs/>
                <w:sz w:val="24"/>
              </w:rPr>
              <w:t>原项目环境问题及整改措施</w:t>
            </w:r>
          </w:p>
          <w:p>
            <w:pPr>
              <w:pStyle w:val="2"/>
              <w:spacing w:after="0" w:line="360" w:lineRule="auto"/>
              <w:ind w:left="0" w:leftChars="0" w:firstLine="480"/>
              <w:rPr>
                <w:sz w:val="24"/>
              </w:rPr>
            </w:pPr>
            <w:r>
              <w:rPr>
                <w:rFonts w:hint="eastAsia"/>
                <w:sz w:val="24"/>
              </w:rPr>
              <w:t>原项目未生产，无污染物排放及环境污染问题，根据项目原环评中天然气锅炉排气筒为8米，项目堆场，车间等喷雾降尘设施较少，同时石灰块破碎将产生大量的粉尘，故本次技改后，将原环评中的排气筒整改为1</w:t>
            </w:r>
            <w:r>
              <w:rPr>
                <w:sz w:val="24"/>
              </w:rPr>
              <w:t>5</w:t>
            </w:r>
            <w:r>
              <w:rPr>
                <w:rFonts w:hint="eastAsia"/>
                <w:sz w:val="24"/>
              </w:rPr>
              <w:t>米，同时在原项目堆场，生产车间等易产尘点增设喷雾降尘装置，减少车间无组织粉尘的排放，另购买成品石灰粉替代石灰块，减少破碎粉尘的产生</w:t>
            </w:r>
            <w:r>
              <w:rPr>
                <w:rFonts w:hint="eastAsia"/>
                <w:sz w:val="24"/>
                <w:lang w:eastAsia="zh-CN"/>
              </w:rPr>
              <w:t>和</w:t>
            </w:r>
            <w:r>
              <w:rPr>
                <w:rFonts w:hint="eastAsia"/>
                <w:sz w:val="24"/>
              </w:rPr>
              <w:t>排放。</w:t>
            </w:r>
          </w:p>
          <w:p>
            <w:pPr>
              <w:pStyle w:val="2"/>
            </w:pPr>
          </w:p>
          <w:p>
            <w:pPr>
              <w:pStyle w:val="2"/>
            </w:pPr>
          </w:p>
          <w:p>
            <w:pPr>
              <w:pStyle w:val="2"/>
            </w:pPr>
          </w:p>
          <w:p>
            <w:pPr>
              <w:pStyle w:val="2"/>
            </w:pPr>
          </w:p>
          <w:p>
            <w:pPr>
              <w:pStyle w:val="2"/>
              <w:ind w:left="0" w:leftChars="0" w:firstLine="0" w:firstLineChars="0"/>
              <w:rPr>
                <w:b/>
                <w:bCs/>
                <w:sz w:val="24"/>
              </w:rPr>
            </w:pPr>
          </w:p>
        </w:tc>
      </w:tr>
    </w:tbl>
    <w:p>
      <w:pPr>
        <w:pStyle w:val="23"/>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8825" w:type="dxa"/>
            <w:vAlign w:val="center"/>
          </w:tcPr>
          <w:p>
            <w:pPr>
              <w:adjustRightInd w:val="0"/>
              <w:snapToGrid w:val="0"/>
              <w:jc w:val="center"/>
              <w:rPr>
                <w:b/>
                <w:sz w:val="24"/>
              </w:rPr>
            </w:pPr>
            <w:r>
              <w:rPr>
                <w:b/>
                <w:bCs/>
                <w:sz w:val="24"/>
              </w:rPr>
              <w:t>区域环境质量现状区域环境质量现状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8825" w:type="dxa"/>
            <w:vAlign w:val="center"/>
          </w:tcPr>
          <w:p>
            <w:pPr>
              <w:spacing w:line="360" w:lineRule="auto"/>
              <w:rPr>
                <w:b/>
                <w:bCs/>
                <w:sz w:val="24"/>
              </w:rPr>
            </w:pPr>
            <w:r>
              <w:rPr>
                <w:b/>
                <w:bCs/>
                <w:sz w:val="24"/>
              </w:rPr>
              <w:t>1</w:t>
            </w:r>
            <w:r>
              <w:rPr>
                <w:b/>
                <w:bCs/>
              </w:rPr>
              <w:t>、</w:t>
            </w:r>
            <w:r>
              <w:rPr>
                <w:b/>
                <w:bCs/>
                <w:sz w:val="24"/>
              </w:rPr>
              <w:t>空气环境质量</w:t>
            </w:r>
          </w:p>
          <w:p>
            <w:pPr>
              <w:spacing w:line="360" w:lineRule="auto"/>
              <w:ind w:firstLine="482" w:firstLineChars="200"/>
              <w:rPr>
                <w:b/>
                <w:bCs/>
                <w:sz w:val="24"/>
              </w:rPr>
            </w:pPr>
            <w:r>
              <w:rPr>
                <w:b/>
                <w:bCs/>
                <w:sz w:val="24"/>
              </w:rPr>
              <w:t>1.1环境空气质量达标区判定</w:t>
            </w:r>
          </w:p>
          <w:p>
            <w:pPr>
              <w:widowControl/>
              <w:spacing w:line="360" w:lineRule="auto"/>
              <w:ind w:firstLine="480" w:firstLineChars="200"/>
              <w:rPr>
                <w:rFonts w:eastAsiaTheme="minorEastAsia"/>
                <w:sz w:val="24"/>
              </w:rPr>
            </w:pPr>
            <w:r>
              <w:rPr>
                <w:rFonts w:eastAsiaTheme="minorEastAsia"/>
                <w:kern w:val="0"/>
                <w:sz w:val="24"/>
                <w:lang w:bidi="ar"/>
              </w:rPr>
              <w:t>根据《环境影响评价技术导则—大气环境》（HJ2.2-2018）中6.2.1基本污染物环境质量现状数据“6.2.1.1项目所在区域达标判定，优先采用国家或地方生态环境主管部门公开发布的评价基准年环境质量公告或环境质量报告中的数据或结论”，6.2.2其他污染物环境质量数据“6.2.2.2评价范围内没有环境空气质量监测网数据或公开发布的环境空气质量现状数据的，可收集评价范围内近3年与项目排放的其他污染物有关的历史监测资料”。</w:t>
            </w:r>
          </w:p>
          <w:p>
            <w:pPr>
              <w:widowControl/>
              <w:spacing w:line="360" w:lineRule="auto"/>
              <w:ind w:firstLine="480" w:firstLineChars="200"/>
              <w:rPr>
                <w:rFonts w:eastAsiaTheme="minorEastAsia"/>
                <w:sz w:val="24"/>
              </w:rPr>
            </w:pPr>
            <w:r>
              <w:rPr>
                <w:rFonts w:eastAsiaTheme="minorEastAsia"/>
                <w:kern w:val="0"/>
                <w:sz w:val="24"/>
                <w:lang w:bidi="ar"/>
              </w:rPr>
              <w:t>大英县属遂宁市，地理位置邻近，地形、气候条件相近，故本次判定参考遂宁市生态环境保护局于2023年1月20日公布的《2022年遂宁市环境质量公告》中的数据。</w:t>
            </w:r>
          </w:p>
          <w:p>
            <w:pPr>
              <w:widowControl/>
              <w:spacing w:line="360" w:lineRule="auto"/>
              <w:ind w:firstLine="480" w:firstLineChars="200"/>
              <w:rPr>
                <w:rFonts w:eastAsiaTheme="minorEastAsia"/>
                <w:sz w:val="24"/>
              </w:rPr>
            </w:pPr>
            <w:r>
              <w:rPr>
                <w:rFonts w:eastAsiaTheme="minorEastAsia"/>
                <w:kern w:val="0"/>
                <w:sz w:val="24"/>
                <w:lang w:bidi="ar"/>
              </w:rPr>
              <w:t>2022年遂宁市城区环境空气质量124天优、208天良、33天轻度污染，空气质量达标天数比例91.0%。主要污染物SO</w:t>
            </w:r>
            <w:r>
              <w:rPr>
                <w:rFonts w:eastAsiaTheme="minorEastAsia"/>
                <w:kern w:val="0"/>
                <w:sz w:val="24"/>
                <w:vertAlign w:val="subscript"/>
                <w:lang w:bidi="ar"/>
              </w:rPr>
              <w:t>2</w:t>
            </w:r>
            <w:r>
              <w:rPr>
                <w:rFonts w:eastAsiaTheme="minorEastAsia"/>
                <w:kern w:val="0"/>
                <w:sz w:val="24"/>
                <w:lang w:bidi="ar"/>
              </w:rPr>
              <w:t>、NO</w:t>
            </w:r>
            <w:r>
              <w:rPr>
                <w:rFonts w:eastAsiaTheme="minorEastAsia"/>
                <w:kern w:val="0"/>
                <w:sz w:val="24"/>
                <w:vertAlign w:val="subscript"/>
                <w:lang w:bidi="ar"/>
              </w:rPr>
              <w:t>2</w:t>
            </w:r>
            <w:r>
              <w:rPr>
                <w:rFonts w:eastAsiaTheme="minorEastAsia"/>
                <w:kern w:val="0"/>
                <w:sz w:val="24"/>
                <w:lang w:bidi="ar"/>
              </w:rPr>
              <w:t>、PM</w:t>
            </w:r>
            <w:r>
              <w:rPr>
                <w:rFonts w:eastAsiaTheme="minorEastAsia"/>
                <w:kern w:val="0"/>
                <w:sz w:val="24"/>
                <w:vertAlign w:val="subscript"/>
                <w:lang w:bidi="ar"/>
              </w:rPr>
              <w:t>10</w:t>
            </w:r>
            <w:r>
              <w:rPr>
                <w:rFonts w:eastAsiaTheme="minorEastAsia"/>
                <w:kern w:val="0"/>
                <w:sz w:val="24"/>
                <w:lang w:bidi="ar"/>
              </w:rPr>
              <w:t>、PM</w:t>
            </w:r>
            <w:r>
              <w:rPr>
                <w:rFonts w:eastAsiaTheme="minorEastAsia"/>
                <w:kern w:val="0"/>
                <w:sz w:val="24"/>
                <w:vertAlign w:val="subscript"/>
                <w:lang w:bidi="ar"/>
              </w:rPr>
              <w:t>2.5</w:t>
            </w:r>
            <w:r>
              <w:rPr>
                <w:rFonts w:eastAsiaTheme="minorEastAsia"/>
                <w:kern w:val="0"/>
                <w:sz w:val="24"/>
                <w:lang w:bidi="ar"/>
              </w:rPr>
              <w:t>、CO和O</w:t>
            </w:r>
            <w:r>
              <w:rPr>
                <w:rFonts w:eastAsiaTheme="minorEastAsia"/>
                <w:kern w:val="0"/>
                <w:sz w:val="24"/>
                <w:vertAlign w:val="subscript"/>
                <w:lang w:bidi="ar"/>
              </w:rPr>
              <w:t>3</w:t>
            </w:r>
            <w:r>
              <w:rPr>
                <w:rFonts w:eastAsiaTheme="minorEastAsia"/>
                <w:kern w:val="0"/>
                <w:sz w:val="24"/>
                <w:lang w:bidi="ar"/>
              </w:rPr>
              <w:t>的年均值分别为9.8微克/立方米、20.1微克/立方米、54.0微克/立方米、29.8微克/立方米、0.9毫克/立方米和146微克/立方米。同比NO</w:t>
            </w:r>
            <w:r>
              <w:rPr>
                <w:rFonts w:eastAsiaTheme="minorEastAsia"/>
                <w:kern w:val="0"/>
                <w:sz w:val="24"/>
                <w:vertAlign w:val="subscript"/>
                <w:lang w:bidi="ar"/>
              </w:rPr>
              <w:t>2</w:t>
            </w:r>
            <w:r>
              <w:rPr>
                <w:rFonts w:eastAsiaTheme="minorEastAsia"/>
                <w:kern w:val="0"/>
                <w:sz w:val="24"/>
                <w:lang w:bidi="ar"/>
              </w:rPr>
              <w:t>、PM</w:t>
            </w:r>
            <w:r>
              <w:rPr>
                <w:rFonts w:eastAsiaTheme="minorEastAsia"/>
                <w:kern w:val="0"/>
                <w:sz w:val="24"/>
                <w:vertAlign w:val="subscript"/>
                <w:lang w:bidi="ar"/>
              </w:rPr>
              <w:t>2.5</w:t>
            </w:r>
            <w:r>
              <w:rPr>
                <w:rFonts w:eastAsiaTheme="minorEastAsia"/>
                <w:kern w:val="0"/>
                <w:sz w:val="24"/>
                <w:lang w:bidi="ar"/>
              </w:rPr>
              <w:t>浓度分别下降了1.0%、0.3%，SO</w:t>
            </w:r>
            <w:r>
              <w:rPr>
                <w:rFonts w:eastAsiaTheme="minorEastAsia"/>
                <w:kern w:val="0"/>
                <w:sz w:val="24"/>
                <w:vertAlign w:val="subscript"/>
                <w:lang w:bidi="ar"/>
              </w:rPr>
              <w:t>2</w:t>
            </w:r>
            <w:r>
              <w:rPr>
                <w:rFonts w:eastAsiaTheme="minorEastAsia"/>
                <w:kern w:val="0"/>
                <w:sz w:val="24"/>
                <w:lang w:bidi="ar"/>
              </w:rPr>
              <w:t>、O</w:t>
            </w:r>
            <w:r>
              <w:rPr>
                <w:rFonts w:eastAsiaTheme="minorEastAsia"/>
                <w:kern w:val="0"/>
                <w:sz w:val="24"/>
                <w:vertAlign w:val="subscript"/>
                <w:lang w:bidi="ar"/>
              </w:rPr>
              <w:t>3</w:t>
            </w:r>
            <w:r>
              <w:rPr>
                <w:rFonts w:eastAsiaTheme="minorEastAsia"/>
                <w:kern w:val="0"/>
                <w:sz w:val="24"/>
                <w:lang w:bidi="ar"/>
              </w:rPr>
              <w:t>和PM</w:t>
            </w:r>
            <w:r>
              <w:rPr>
                <w:rFonts w:eastAsiaTheme="minorEastAsia"/>
                <w:kern w:val="0"/>
                <w:sz w:val="24"/>
                <w:vertAlign w:val="subscript"/>
                <w:lang w:bidi="ar"/>
              </w:rPr>
              <w:t>10</w:t>
            </w:r>
            <w:r>
              <w:rPr>
                <w:rFonts w:eastAsiaTheme="minorEastAsia"/>
                <w:kern w:val="0"/>
                <w:sz w:val="24"/>
                <w:lang w:bidi="ar"/>
              </w:rPr>
              <w:t>浓度分别上升了21.0%、16.2%和9.8%，CO浓度保持稳定。</w:t>
            </w:r>
          </w:p>
          <w:p>
            <w:pPr>
              <w:adjustRightInd w:val="0"/>
              <w:spacing w:line="360" w:lineRule="auto"/>
              <w:ind w:firstLine="480" w:firstLineChars="200"/>
              <w:rPr>
                <w:rFonts w:eastAsiaTheme="minorEastAsia"/>
              </w:rPr>
            </w:pPr>
            <w:r>
              <w:rPr>
                <w:rFonts w:eastAsiaTheme="minorEastAsia"/>
                <w:kern w:val="0"/>
                <w:sz w:val="24"/>
                <w:lang w:bidi="ar"/>
              </w:rPr>
              <w:t>根据《2022年遂宁市环境质量公告》进行区域达标评价，各评价因子现状如下表所示</w:t>
            </w:r>
            <w:r>
              <w:rPr>
                <w:rFonts w:eastAsiaTheme="minorEastAsia"/>
                <w:sz w:val="24"/>
              </w:rPr>
              <w:t>。</w:t>
            </w:r>
          </w:p>
          <w:p>
            <w:pPr>
              <w:pStyle w:val="93"/>
              <w:spacing w:beforeLines="0" w:afterLines="0"/>
              <w:ind w:firstLine="482" w:firstLineChars="200"/>
              <w:rPr>
                <w:rFonts w:eastAsia="黑体"/>
                <w:szCs w:val="24"/>
              </w:rPr>
            </w:pPr>
            <w:r>
              <w:rPr>
                <w:rFonts w:eastAsia="黑体"/>
                <w:szCs w:val="24"/>
              </w:rPr>
              <w:t>表3-1  2022年度遂宁市环境空气质量统计表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268"/>
              <w:gridCol w:w="1639"/>
              <w:gridCol w:w="1130"/>
              <w:gridCol w:w="1065"/>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b/>
                      <w:bCs/>
                      <w:color w:val="auto"/>
                    </w:rPr>
                  </w:pPr>
                  <w:r>
                    <w:rPr>
                      <w:rFonts w:eastAsia="宋体"/>
                      <w:b/>
                      <w:bCs/>
                      <w:color w:val="auto"/>
                    </w:rPr>
                    <w:t>序号</w:t>
                  </w:r>
                </w:p>
              </w:tc>
              <w:tc>
                <w:tcPr>
                  <w:tcW w:w="1319" w:type="pct"/>
                  <w:vAlign w:val="center"/>
                </w:tcPr>
                <w:p>
                  <w:pPr>
                    <w:pStyle w:val="92"/>
                    <w:rPr>
                      <w:b/>
                      <w:bCs/>
                      <w:color w:val="auto"/>
                    </w:rPr>
                  </w:pPr>
                  <w:r>
                    <w:rPr>
                      <w:rFonts w:eastAsia="宋体"/>
                      <w:b/>
                      <w:bCs/>
                      <w:color w:val="auto"/>
                    </w:rPr>
                    <w:t>污染物项目</w:t>
                  </w:r>
                </w:p>
              </w:tc>
              <w:tc>
                <w:tcPr>
                  <w:tcW w:w="953" w:type="pct"/>
                  <w:vAlign w:val="center"/>
                </w:tcPr>
                <w:p>
                  <w:pPr>
                    <w:pStyle w:val="92"/>
                    <w:rPr>
                      <w:b/>
                      <w:bCs/>
                      <w:color w:val="auto"/>
                    </w:rPr>
                  </w:pPr>
                  <w:r>
                    <w:rPr>
                      <w:rFonts w:eastAsia="宋体"/>
                      <w:b/>
                      <w:bCs/>
                      <w:color w:val="auto"/>
                    </w:rPr>
                    <w:t>年平均浓度值</w:t>
                  </w:r>
                </w:p>
              </w:tc>
              <w:tc>
                <w:tcPr>
                  <w:tcW w:w="657" w:type="pct"/>
                  <w:vAlign w:val="center"/>
                </w:tcPr>
                <w:p>
                  <w:pPr>
                    <w:pStyle w:val="92"/>
                    <w:rPr>
                      <w:b/>
                      <w:bCs/>
                      <w:color w:val="auto"/>
                    </w:rPr>
                  </w:pPr>
                  <w:r>
                    <w:rPr>
                      <w:rFonts w:eastAsia="宋体"/>
                      <w:b/>
                      <w:bCs/>
                      <w:color w:val="auto"/>
                    </w:rPr>
                    <w:t>标准值</w:t>
                  </w:r>
                </w:p>
              </w:tc>
              <w:tc>
                <w:tcPr>
                  <w:tcW w:w="619" w:type="pct"/>
                  <w:vAlign w:val="center"/>
                </w:tcPr>
                <w:p>
                  <w:pPr>
                    <w:pStyle w:val="92"/>
                    <w:rPr>
                      <w:b/>
                      <w:bCs/>
                      <w:color w:val="auto"/>
                    </w:rPr>
                  </w:pPr>
                  <w:r>
                    <w:rPr>
                      <w:rFonts w:eastAsia="宋体"/>
                      <w:b/>
                      <w:bCs/>
                      <w:color w:val="auto"/>
                    </w:rPr>
                    <w:t>是否达标</w:t>
                  </w:r>
                </w:p>
              </w:tc>
              <w:tc>
                <w:tcPr>
                  <w:tcW w:w="1030" w:type="pct"/>
                  <w:vAlign w:val="center"/>
                </w:tcPr>
                <w:p>
                  <w:pPr>
                    <w:pStyle w:val="92"/>
                    <w:rPr>
                      <w:b/>
                      <w:bCs/>
                      <w:color w:val="auto"/>
                    </w:rPr>
                  </w:pPr>
                  <w:r>
                    <w:rPr>
                      <w:rFonts w:eastAsia="宋体"/>
                      <w:b/>
                      <w:bCs/>
                      <w:color w:val="auto"/>
                    </w:rPr>
                    <w:t>平均时间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1</w:t>
                  </w:r>
                </w:p>
              </w:tc>
              <w:tc>
                <w:tcPr>
                  <w:tcW w:w="1319" w:type="pct"/>
                  <w:vAlign w:val="center"/>
                </w:tcPr>
                <w:p>
                  <w:pPr>
                    <w:pStyle w:val="92"/>
                    <w:rPr>
                      <w:rFonts w:eastAsia="宋体"/>
                      <w:color w:val="auto"/>
                    </w:rPr>
                  </w:pPr>
                  <w:r>
                    <w:rPr>
                      <w:color w:val="auto"/>
                    </w:rPr>
                    <w:t>SO</w:t>
                  </w:r>
                  <w:r>
                    <w:rPr>
                      <w:color w:val="auto"/>
                      <w:vertAlign w:val="subscript"/>
                    </w:rPr>
                    <w:t>2</w:t>
                  </w:r>
                  <w:r>
                    <w:rPr>
                      <w:rFonts w:eastAsia="宋体"/>
                      <w:color w:val="auto"/>
                    </w:rPr>
                    <w:t>(</w:t>
                  </w:r>
                  <w:r>
                    <w:rPr>
                      <w:color w:val="auto"/>
                    </w:rPr>
                    <w:t>μg/m³</w:t>
                  </w:r>
                  <w:r>
                    <w:rPr>
                      <w:rFonts w:eastAsia="宋体"/>
                      <w:color w:val="auto"/>
                    </w:rPr>
                    <w:t>)</w:t>
                  </w:r>
                </w:p>
              </w:tc>
              <w:tc>
                <w:tcPr>
                  <w:tcW w:w="953" w:type="pct"/>
                  <w:vAlign w:val="center"/>
                </w:tcPr>
                <w:p>
                  <w:pPr>
                    <w:pStyle w:val="92"/>
                    <w:rPr>
                      <w:rFonts w:eastAsia="宋体"/>
                      <w:color w:val="auto"/>
                    </w:rPr>
                  </w:pPr>
                  <w:r>
                    <w:rPr>
                      <w:rFonts w:eastAsia="宋体"/>
                      <w:color w:val="auto"/>
                    </w:rPr>
                    <w:t>9.8</w:t>
                  </w:r>
                </w:p>
              </w:tc>
              <w:tc>
                <w:tcPr>
                  <w:tcW w:w="657" w:type="pct"/>
                  <w:vAlign w:val="center"/>
                </w:tcPr>
                <w:p>
                  <w:pPr>
                    <w:pStyle w:val="92"/>
                    <w:rPr>
                      <w:color w:val="auto"/>
                    </w:rPr>
                  </w:pPr>
                  <w:r>
                    <w:rPr>
                      <w:color w:val="auto"/>
                    </w:rPr>
                    <w:t>60</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rFonts w:eastAsia="宋体"/>
                      <w:color w:val="auto"/>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2</w:t>
                  </w:r>
                </w:p>
              </w:tc>
              <w:tc>
                <w:tcPr>
                  <w:tcW w:w="1319" w:type="pct"/>
                  <w:vAlign w:val="center"/>
                </w:tcPr>
                <w:p>
                  <w:pPr>
                    <w:pStyle w:val="92"/>
                    <w:rPr>
                      <w:rFonts w:eastAsia="宋体"/>
                      <w:color w:val="auto"/>
                    </w:rPr>
                  </w:pPr>
                  <w:r>
                    <w:rPr>
                      <w:color w:val="auto"/>
                    </w:rPr>
                    <w:t>NO</w:t>
                  </w:r>
                  <w:r>
                    <w:rPr>
                      <w:color w:val="auto"/>
                      <w:vertAlign w:val="subscript"/>
                    </w:rPr>
                    <w:t>2</w:t>
                  </w:r>
                  <w:r>
                    <w:rPr>
                      <w:rFonts w:eastAsia="宋体"/>
                      <w:color w:val="auto"/>
                    </w:rPr>
                    <w:t>(</w:t>
                  </w:r>
                  <w:r>
                    <w:rPr>
                      <w:color w:val="auto"/>
                    </w:rPr>
                    <w:t>μg/m³</w:t>
                  </w:r>
                  <w:r>
                    <w:rPr>
                      <w:rFonts w:eastAsia="宋体"/>
                      <w:color w:val="auto"/>
                    </w:rPr>
                    <w:t>)</w:t>
                  </w:r>
                </w:p>
              </w:tc>
              <w:tc>
                <w:tcPr>
                  <w:tcW w:w="953" w:type="pct"/>
                  <w:vAlign w:val="center"/>
                </w:tcPr>
                <w:p>
                  <w:pPr>
                    <w:pStyle w:val="92"/>
                    <w:rPr>
                      <w:rFonts w:eastAsia="宋体"/>
                      <w:color w:val="auto"/>
                    </w:rPr>
                  </w:pPr>
                  <w:r>
                    <w:rPr>
                      <w:rFonts w:eastAsia="宋体"/>
                      <w:color w:val="auto"/>
                    </w:rPr>
                    <w:t>20.1</w:t>
                  </w:r>
                </w:p>
              </w:tc>
              <w:tc>
                <w:tcPr>
                  <w:tcW w:w="657" w:type="pct"/>
                  <w:vAlign w:val="center"/>
                </w:tcPr>
                <w:p>
                  <w:pPr>
                    <w:pStyle w:val="92"/>
                    <w:rPr>
                      <w:color w:val="auto"/>
                    </w:rPr>
                  </w:pPr>
                  <w:r>
                    <w:rPr>
                      <w:color w:val="auto"/>
                    </w:rPr>
                    <w:t>40</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rFonts w:eastAsia="宋体"/>
                      <w:color w:val="auto"/>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3</w:t>
                  </w:r>
                </w:p>
              </w:tc>
              <w:tc>
                <w:tcPr>
                  <w:tcW w:w="1319" w:type="pct"/>
                  <w:vAlign w:val="center"/>
                </w:tcPr>
                <w:p>
                  <w:pPr>
                    <w:pStyle w:val="92"/>
                    <w:rPr>
                      <w:rFonts w:eastAsia="宋体"/>
                      <w:color w:val="auto"/>
                    </w:rPr>
                  </w:pPr>
                  <w:r>
                    <w:rPr>
                      <w:color w:val="auto"/>
                    </w:rPr>
                    <w:t>PM</w:t>
                  </w:r>
                  <w:r>
                    <w:rPr>
                      <w:color w:val="auto"/>
                      <w:vertAlign w:val="subscript"/>
                    </w:rPr>
                    <w:t>10</w:t>
                  </w:r>
                  <w:r>
                    <w:rPr>
                      <w:rFonts w:eastAsia="宋体"/>
                      <w:color w:val="auto"/>
                    </w:rPr>
                    <w:t>(</w:t>
                  </w:r>
                  <w:r>
                    <w:rPr>
                      <w:color w:val="auto"/>
                    </w:rPr>
                    <w:t>μg/m³</w:t>
                  </w:r>
                  <w:r>
                    <w:rPr>
                      <w:rFonts w:eastAsia="宋体"/>
                      <w:color w:val="auto"/>
                    </w:rPr>
                    <w:t>)</w:t>
                  </w:r>
                </w:p>
              </w:tc>
              <w:tc>
                <w:tcPr>
                  <w:tcW w:w="953" w:type="pct"/>
                  <w:vAlign w:val="center"/>
                </w:tcPr>
                <w:p>
                  <w:pPr>
                    <w:pStyle w:val="92"/>
                    <w:rPr>
                      <w:rFonts w:eastAsia="宋体"/>
                      <w:color w:val="auto"/>
                    </w:rPr>
                  </w:pPr>
                  <w:r>
                    <w:rPr>
                      <w:rFonts w:eastAsia="宋体"/>
                      <w:color w:val="auto"/>
                    </w:rPr>
                    <w:t>54</w:t>
                  </w:r>
                </w:p>
              </w:tc>
              <w:tc>
                <w:tcPr>
                  <w:tcW w:w="657" w:type="pct"/>
                  <w:vAlign w:val="center"/>
                </w:tcPr>
                <w:p>
                  <w:pPr>
                    <w:pStyle w:val="92"/>
                    <w:rPr>
                      <w:color w:val="auto"/>
                    </w:rPr>
                  </w:pPr>
                  <w:r>
                    <w:rPr>
                      <w:color w:val="auto"/>
                    </w:rPr>
                    <w:t>70</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rFonts w:eastAsia="宋体"/>
                      <w:color w:val="auto"/>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4</w:t>
                  </w:r>
                </w:p>
              </w:tc>
              <w:tc>
                <w:tcPr>
                  <w:tcW w:w="1319" w:type="pct"/>
                  <w:vAlign w:val="center"/>
                </w:tcPr>
                <w:p>
                  <w:pPr>
                    <w:pStyle w:val="92"/>
                    <w:rPr>
                      <w:rFonts w:eastAsia="宋体"/>
                      <w:color w:val="auto"/>
                    </w:rPr>
                  </w:pPr>
                  <w:r>
                    <w:rPr>
                      <w:color w:val="auto"/>
                    </w:rPr>
                    <w:t>PM</w:t>
                  </w:r>
                  <w:r>
                    <w:rPr>
                      <w:color w:val="auto"/>
                      <w:vertAlign w:val="subscript"/>
                    </w:rPr>
                    <w:t>2.5</w:t>
                  </w:r>
                  <w:r>
                    <w:rPr>
                      <w:rFonts w:eastAsia="宋体"/>
                      <w:color w:val="auto"/>
                    </w:rPr>
                    <w:t>(</w:t>
                  </w:r>
                  <w:r>
                    <w:rPr>
                      <w:color w:val="auto"/>
                    </w:rPr>
                    <w:t>μg/m³</w:t>
                  </w:r>
                  <w:r>
                    <w:rPr>
                      <w:rFonts w:eastAsia="宋体"/>
                      <w:color w:val="auto"/>
                    </w:rPr>
                    <w:t>)</w:t>
                  </w:r>
                </w:p>
              </w:tc>
              <w:tc>
                <w:tcPr>
                  <w:tcW w:w="953" w:type="pct"/>
                  <w:vAlign w:val="center"/>
                </w:tcPr>
                <w:p>
                  <w:pPr>
                    <w:pStyle w:val="92"/>
                    <w:rPr>
                      <w:rFonts w:eastAsia="宋体"/>
                      <w:color w:val="auto"/>
                    </w:rPr>
                  </w:pPr>
                  <w:r>
                    <w:rPr>
                      <w:rFonts w:eastAsia="宋体"/>
                      <w:color w:val="auto"/>
                    </w:rPr>
                    <w:t>29.8</w:t>
                  </w:r>
                </w:p>
              </w:tc>
              <w:tc>
                <w:tcPr>
                  <w:tcW w:w="657" w:type="pct"/>
                  <w:vAlign w:val="center"/>
                </w:tcPr>
                <w:p>
                  <w:pPr>
                    <w:pStyle w:val="92"/>
                    <w:rPr>
                      <w:color w:val="auto"/>
                    </w:rPr>
                  </w:pPr>
                  <w:r>
                    <w:rPr>
                      <w:color w:val="auto"/>
                    </w:rPr>
                    <w:t>35</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rFonts w:eastAsia="宋体"/>
                      <w:color w:val="auto"/>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5</w:t>
                  </w:r>
                </w:p>
              </w:tc>
              <w:tc>
                <w:tcPr>
                  <w:tcW w:w="1319" w:type="pct"/>
                  <w:vAlign w:val="center"/>
                </w:tcPr>
                <w:p>
                  <w:pPr>
                    <w:pStyle w:val="92"/>
                    <w:rPr>
                      <w:rFonts w:eastAsia="宋体"/>
                      <w:color w:val="auto"/>
                    </w:rPr>
                  </w:pPr>
                  <w:r>
                    <w:rPr>
                      <w:color w:val="auto"/>
                    </w:rPr>
                    <w:t>CO</w:t>
                  </w:r>
                  <w:r>
                    <w:rPr>
                      <w:rFonts w:eastAsia="宋体"/>
                      <w:color w:val="auto"/>
                    </w:rPr>
                    <w:t>(</w:t>
                  </w:r>
                  <w:r>
                    <w:rPr>
                      <w:color w:val="auto"/>
                    </w:rPr>
                    <w:t>mg/m³</w:t>
                  </w:r>
                  <w:r>
                    <w:rPr>
                      <w:rFonts w:eastAsia="宋体"/>
                      <w:color w:val="auto"/>
                    </w:rPr>
                    <w:t>)(第</w:t>
                  </w:r>
                  <w:r>
                    <w:rPr>
                      <w:color w:val="auto"/>
                    </w:rPr>
                    <w:t>95</w:t>
                  </w:r>
                  <w:r>
                    <w:rPr>
                      <w:rFonts w:eastAsia="宋体"/>
                      <w:color w:val="auto"/>
                    </w:rPr>
                    <w:t>百分位浓度值)</w:t>
                  </w:r>
                </w:p>
              </w:tc>
              <w:tc>
                <w:tcPr>
                  <w:tcW w:w="953" w:type="pct"/>
                  <w:vAlign w:val="center"/>
                </w:tcPr>
                <w:p>
                  <w:pPr>
                    <w:pStyle w:val="92"/>
                    <w:rPr>
                      <w:rFonts w:eastAsia="宋体"/>
                      <w:color w:val="auto"/>
                    </w:rPr>
                  </w:pPr>
                  <w:r>
                    <w:rPr>
                      <w:rFonts w:eastAsia="宋体"/>
                      <w:color w:val="auto"/>
                    </w:rPr>
                    <w:t>0.9</w:t>
                  </w:r>
                </w:p>
              </w:tc>
              <w:tc>
                <w:tcPr>
                  <w:tcW w:w="657" w:type="pct"/>
                  <w:vAlign w:val="center"/>
                </w:tcPr>
                <w:p>
                  <w:pPr>
                    <w:pStyle w:val="92"/>
                    <w:rPr>
                      <w:color w:val="auto"/>
                    </w:rPr>
                  </w:pPr>
                  <w:r>
                    <w:rPr>
                      <w:color w:val="auto"/>
                    </w:rPr>
                    <w:t>4</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color w:val="auto"/>
                    </w:rPr>
                    <w:t>24</w:t>
                  </w:r>
                  <w:r>
                    <w:rPr>
                      <w:rFonts w:eastAsia="宋体"/>
                      <w:color w:val="auto"/>
                    </w:rPr>
                    <w:t>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pPr>
                    <w:pStyle w:val="92"/>
                    <w:rPr>
                      <w:color w:val="auto"/>
                    </w:rPr>
                  </w:pPr>
                  <w:r>
                    <w:rPr>
                      <w:color w:val="auto"/>
                    </w:rPr>
                    <w:t>6</w:t>
                  </w:r>
                </w:p>
              </w:tc>
              <w:tc>
                <w:tcPr>
                  <w:tcW w:w="1319" w:type="pct"/>
                  <w:vAlign w:val="center"/>
                </w:tcPr>
                <w:p>
                  <w:pPr>
                    <w:pStyle w:val="92"/>
                    <w:rPr>
                      <w:rFonts w:eastAsia="宋体"/>
                      <w:color w:val="auto"/>
                    </w:rPr>
                  </w:pPr>
                  <w:r>
                    <w:rPr>
                      <w:color w:val="auto"/>
                    </w:rPr>
                    <w:t>O</w:t>
                  </w:r>
                  <w:r>
                    <w:rPr>
                      <w:color w:val="auto"/>
                      <w:vertAlign w:val="subscript"/>
                    </w:rPr>
                    <w:t>3</w:t>
                  </w:r>
                  <w:r>
                    <w:rPr>
                      <w:rFonts w:eastAsia="宋体"/>
                      <w:color w:val="auto"/>
                    </w:rPr>
                    <w:t>(</w:t>
                  </w:r>
                  <w:r>
                    <w:rPr>
                      <w:color w:val="auto"/>
                    </w:rPr>
                    <w:t>μg/m³</w:t>
                  </w:r>
                  <w:r>
                    <w:rPr>
                      <w:rFonts w:eastAsia="宋体"/>
                      <w:color w:val="auto"/>
                    </w:rPr>
                    <w:t>)(第</w:t>
                  </w:r>
                  <w:r>
                    <w:rPr>
                      <w:color w:val="auto"/>
                    </w:rPr>
                    <w:t>90</w:t>
                  </w:r>
                  <w:r>
                    <w:rPr>
                      <w:rFonts w:eastAsia="宋体"/>
                      <w:color w:val="auto"/>
                    </w:rPr>
                    <w:t>百分位浓度值)</w:t>
                  </w:r>
                </w:p>
              </w:tc>
              <w:tc>
                <w:tcPr>
                  <w:tcW w:w="953" w:type="pct"/>
                  <w:vAlign w:val="center"/>
                </w:tcPr>
                <w:p>
                  <w:pPr>
                    <w:pStyle w:val="92"/>
                    <w:rPr>
                      <w:rFonts w:eastAsia="宋体"/>
                      <w:color w:val="auto"/>
                    </w:rPr>
                  </w:pPr>
                  <w:r>
                    <w:rPr>
                      <w:rFonts w:eastAsia="宋体"/>
                      <w:color w:val="auto"/>
                    </w:rPr>
                    <w:t>146</w:t>
                  </w:r>
                </w:p>
              </w:tc>
              <w:tc>
                <w:tcPr>
                  <w:tcW w:w="657" w:type="pct"/>
                  <w:vAlign w:val="center"/>
                </w:tcPr>
                <w:p>
                  <w:pPr>
                    <w:pStyle w:val="92"/>
                    <w:rPr>
                      <w:color w:val="auto"/>
                    </w:rPr>
                  </w:pPr>
                  <w:r>
                    <w:rPr>
                      <w:color w:val="auto"/>
                    </w:rPr>
                    <w:t>160</w:t>
                  </w:r>
                </w:p>
              </w:tc>
              <w:tc>
                <w:tcPr>
                  <w:tcW w:w="619" w:type="pct"/>
                  <w:vAlign w:val="center"/>
                </w:tcPr>
                <w:p>
                  <w:pPr>
                    <w:pStyle w:val="92"/>
                    <w:rPr>
                      <w:color w:val="auto"/>
                    </w:rPr>
                  </w:pPr>
                  <w:r>
                    <w:rPr>
                      <w:rFonts w:eastAsia="宋体"/>
                      <w:color w:val="auto"/>
                    </w:rPr>
                    <w:t>是</w:t>
                  </w:r>
                </w:p>
              </w:tc>
              <w:tc>
                <w:tcPr>
                  <w:tcW w:w="1030" w:type="pct"/>
                  <w:vAlign w:val="center"/>
                </w:tcPr>
                <w:p>
                  <w:pPr>
                    <w:pStyle w:val="92"/>
                    <w:rPr>
                      <w:color w:val="auto"/>
                    </w:rPr>
                  </w:pPr>
                  <w:r>
                    <w:rPr>
                      <w:rFonts w:eastAsia="宋体"/>
                      <w:color w:val="auto"/>
                    </w:rPr>
                    <w:t>日最大</w:t>
                  </w:r>
                  <w:r>
                    <w:rPr>
                      <w:color w:val="auto"/>
                    </w:rPr>
                    <w:t>8h</w:t>
                  </w:r>
                  <w:r>
                    <w:rPr>
                      <w:rFonts w:eastAsia="宋体"/>
                      <w:color w:val="auto"/>
                    </w:rPr>
                    <w:t>平均</w:t>
                  </w:r>
                </w:p>
              </w:tc>
            </w:tr>
          </w:tbl>
          <w:p>
            <w:pPr>
              <w:pStyle w:val="91"/>
              <w:spacing w:before="120" w:beforeLines="50"/>
              <w:ind w:right="105" w:rightChars="50" w:firstLine="480"/>
              <w:rPr>
                <w:rFonts w:eastAsiaTheme="minorEastAsia"/>
                <w:b/>
                <w:bCs/>
              </w:rPr>
            </w:pPr>
            <w:r>
              <w:rPr>
                <w:rFonts w:eastAsiaTheme="minorEastAsia"/>
              </w:rPr>
              <w:t>根据《环境影响评价导则大气环境》(HJ2.2-2018)达标判定要求，</w:t>
            </w:r>
            <w:r>
              <w:rPr>
                <w:rFonts w:eastAsiaTheme="minorEastAsia"/>
                <w:b/>
                <w:bCs/>
              </w:rPr>
              <w:t>项目所在区域属于达标区。</w:t>
            </w:r>
          </w:p>
          <w:p>
            <w:pPr>
              <w:spacing w:line="360" w:lineRule="auto"/>
              <w:ind w:right="105" w:rightChars="50" w:firstLine="482" w:firstLineChars="200"/>
              <w:rPr>
                <w:rFonts w:eastAsiaTheme="minorEastAsia"/>
                <w:b/>
                <w:bCs/>
                <w:sz w:val="24"/>
              </w:rPr>
            </w:pPr>
            <w:r>
              <w:rPr>
                <w:rFonts w:eastAsiaTheme="minorEastAsia"/>
                <w:b/>
                <w:bCs/>
                <w:sz w:val="24"/>
              </w:rPr>
              <w:t>1.2特征因子</w:t>
            </w:r>
          </w:p>
          <w:p>
            <w:pPr>
              <w:spacing w:line="360" w:lineRule="auto"/>
              <w:ind w:right="105" w:rightChars="50" w:firstLine="480" w:firstLineChars="200"/>
              <w:rPr>
                <w:rFonts w:eastAsiaTheme="minorEastAsia"/>
                <w:sz w:val="24"/>
              </w:rPr>
            </w:pPr>
            <w:r>
              <w:rPr>
                <w:rFonts w:eastAsiaTheme="minorEastAsia"/>
                <w:sz w:val="24"/>
              </w:rPr>
              <w:t>根据四川环华盛锦环境监测有限公司于2021年4月25~27日对项目区域总悬浮颗粒物进行监测，监测信息如下：</w:t>
            </w:r>
          </w:p>
          <w:p>
            <w:pPr>
              <w:spacing w:line="360" w:lineRule="auto"/>
              <w:ind w:right="105" w:rightChars="50" w:firstLine="482" w:firstLineChars="200"/>
              <w:rPr>
                <w:rFonts w:eastAsiaTheme="minorEastAsia"/>
                <w:b/>
                <w:bCs/>
                <w:sz w:val="24"/>
              </w:rPr>
            </w:pPr>
            <w:r>
              <w:rPr>
                <w:rFonts w:eastAsiaTheme="minorEastAsia"/>
                <w:b/>
                <w:bCs/>
                <w:sz w:val="24"/>
              </w:rPr>
              <w:t>（1）监测点位、监测项目、监测时间及频次</w:t>
            </w:r>
          </w:p>
          <w:p>
            <w:pPr>
              <w:spacing w:line="360" w:lineRule="auto"/>
              <w:ind w:right="105" w:rightChars="50" w:firstLine="480" w:firstLineChars="200"/>
              <w:rPr>
                <w:rFonts w:eastAsiaTheme="minorEastAsia"/>
                <w:sz w:val="24"/>
              </w:rPr>
            </w:pPr>
            <w:r>
              <w:rPr>
                <w:rFonts w:eastAsiaTheme="minorEastAsia"/>
                <w:sz w:val="24"/>
              </w:rPr>
              <w:t>监测点位布设：共设置1个现状监测点，具体情况见表3-2。</w:t>
            </w:r>
          </w:p>
          <w:p>
            <w:pPr>
              <w:spacing w:line="360" w:lineRule="auto"/>
              <w:ind w:right="105" w:rightChars="50" w:firstLine="200"/>
              <w:jc w:val="center"/>
              <w:rPr>
                <w:rFonts w:eastAsiaTheme="minorEastAsia"/>
                <w:b/>
                <w:bCs/>
                <w:sz w:val="24"/>
              </w:rPr>
            </w:pPr>
            <w:r>
              <w:rPr>
                <w:rFonts w:eastAsiaTheme="minorEastAsia"/>
                <w:b/>
                <w:bCs/>
                <w:sz w:val="24"/>
              </w:rPr>
              <w:t>表3-2大气环境质量现状监测点位</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0" w:type="pct"/>
                  <w:vAlign w:val="center"/>
                </w:tcPr>
                <w:p>
                  <w:pPr>
                    <w:snapToGrid w:val="0"/>
                    <w:jc w:val="center"/>
                    <w:rPr>
                      <w:rFonts w:eastAsiaTheme="minorEastAsia"/>
                      <w:b/>
                      <w:bCs/>
                      <w:szCs w:val="21"/>
                    </w:rPr>
                  </w:pPr>
                  <w:r>
                    <w:rPr>
                      <w:rFonts w:eastAsiaTheme="minorEastAsia"/>
                      <w:b/>
                      <w:bCs/>
                      <w:szCs w:val="21"/>
                    </w:rPr>
                    <w:t>编号</w:t>
                  </w:r>
                </w:p>
              </w:tc>
              <w:tc>
                <w:tcPr>
                  <w:tcW w:w="4030" w:type="pct"/>
                  <w:vAlign w:val="center"/>
                </w:tcPr>
                <w:p>
                  <w:pPr>
                    <w:snapToGrid w:val="0"/>
                    <w:jc w:val="center"/>
                    <w:rPr>
                      <w:rFonts w:eastAsiaTheme="minorEastAsia"/>
                      <w:b/>
                      <w:bCs/>
                      <w:szCs w:val="21"/>
                    </w:rPr>
                  </w:pPr>
                  <w:r>
                    <w:rPr>
                      <w:rFonts w:eastAsiaTheme="minorEastAsia"/>
                      <w:b/>
                      <w:bCs/>
                      <w:szCs w:val="21"/>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0" w:type="pct"/>
                  <w:vAlign w:val="center"/>
                </w:tcPr>
                <w:p>
                  <w:pPr>
                    <w:tabs>
                      <w:tab w:val="left" w:pos="5880"/>
                    </w:tabs>
                    <w:snapToGrid w:val="0"/>
                    <w:jc w:val="center"/>
                    <w:rPr>
                      <w:rFonts w:eastAsiaTheme="minorEastAsia"/>
                      <w:szCs w:val="21"/>
                    </w:rPr>
                  </w:pPr>
                  <w:r>
                    <w:rPr>
                      <w:rFonts w:eastAsiaTheme="minorEastAsia"/>
                      <w:szCs w:val="21"/>
                    </w:rPr>
                    <w:t>1＃</w:t>
                  </w:r>
                </w:p>
              </w:tc>
              <w:tc>
                <w:tcPr>
                  <w:tcW w:w="4030" w:type="pct"/>
                  <w:vAlign w:val="center"/>
                </w:tcPr>
                <w:p>
                  <w:pPr>
                    <w:tabs>
                      <w:tab w:val="left" w:pos="5880"/>
                    </w:tabs>
                    <w:snapToGrid w:val="0"/>
                    <w:jc w:val="center"/>
                    <w:rPr>
                      <w:rFonts w:eastAsiaTheme="minorEastAsia"/>
                      <w:szCs w:val="21"/>
                    </w:rPr>
                  </w:pPr>
                  <w:r>
                    <w:rPr>
                      <w:rFonts w:eastAsiaTheme="minorEastAsia"/>
                      <w:szCs w:val="21"/>
                    </w:rPr>
                    <w:t>项目东南侧51m，虎林村村委会处</w:t>
                  </w:r>
                </w:p>
              </w:tc>
            </w:tr>
          </w:tbl>
          <w:p>
            <w:pPr>
              <w:snapToGrid w:val="0"/>
              <w:spacing w:before="120" w:beforeLines="50" w:line="360" w:lineRule="auto"/>
              <w:ind w:right="105" w:rightChars="50" w:firstLine="198"/>
              <w:rPr>
                <w:rFonts w:eastAsiaTheme="minorEastAsia"/>
                <w:sz w:val="24"/>
              </w:rPr>
            </w:pPr>
            <w:r>
              <w:rPr>
                <w:rFonts w:eastAsiaTheme="minorEastAsia"/>
                <w:sz w:val="24"/>
              </w:rPr>
              <w:t>监测因子：总悬浮颗粒物（TSP）</w:t>
            </w:r>
          </w:p>
          <w:p>
            <w:pPr>
              <w:snapToGrid w:val="0"/>
              <w:spacing w:line="360" w:lineRule="auto"/>
              <w:ind w:right="105" w:rightChars="50" w:firstLine="200"/>
              <w:rPr>
                <w:rFonts w:eastAsiaTheme="minorEastAsia"/>
                <w:sz w:val="24"/>
              </w:rPr>
            </w:pPr>
            <w:r>
              <w:rPr>
                <w:rFonts w:eastAsiaTheme="minorEastAsia"/>
                <w:sz w:val="24"/>
              </w:rPr>
              <w:t>监测频次：每天监测1次（24h均值），连续监测3天。</w:t>
            </w:r>
          </w:p>
          <w:p>
            <w:pPr>
              <w:snapToGrid w:val="0"/>
              <w:spacing w:line="360" w:lineRule="auto"/>
              <w:ind w:right="105" w:rightChars="50" w:firstLine="482" w:firstLineChars="200"/>
              <w:rPr>
                <w:rFonts w:eastAsiaTheme="minorEastAsia"/>
                <w:b/>
                <w:bCs/>
                <w:sz w:val="24"/>
              </w:rPr>
            </w:pPr>
            <w:r>
              <w:rPr>
                <w:rFonts w:eastAsiaTheme="minorEastAsia"/>
                <w:b/>
                <w:bCs/>
                <w:sz w:val="24"/>
              </w:rPr>
              <w:t>（2）监测结果统计</w:t>
            </w:r>
          </w:p>
          <w:p>
            <w:pPr>
              <w:snapToGrid w:val="0"/>
              <w:spacing w:line="360" w:lineRule="auto"/>
              <w:ind w:right="105" w:rightChars="50" w:firstLine="200"/>
              <w:rPr>
                <w:rFonts w:eastAsiaTheme="minorEastAsia"/>
                <w:sz w:val="24"/>
              </w:rPr>
            </w:pPr>
            <w:r>
              <w:rPr>
                <w:rFonts w:eastAsiaTheme="minorEastAsia"/>
                <w:sz w:val="24"/>
              </w:rPr>
              <w:t>TSP检测结果详见表3-3。</w:t>
            </w:r>
          </w:p>
          <w:p>
            <w:pPr>
              <w:spacing w:line="360" w:lineRule="auto"/>
              <w:ind w:right="105" w:rightChars="50" w:firstLine="200"/>
              <w:jc w:val="center"/>
              <w:rPr>
                <w:rFonts w:eastAsiaTheme="minorEastAsia"/>
                <w:b/>
                <w:bCs/>
                <w:sz w:val="24"/>
              </w:rPr>
            </w:pPr>
            <w:r>
              <w:rPr>
                <w:rFonts w:eastAsiaTheme="minorEastAsia"/>
                <w:b/>
                <w:bCs/>
                <w:sz w:val="24"/>
              </w:rPr>
              <w:t>表3-3特征污染物环境质量现状TSP监测结果统计表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35"/>
              <w:gridCol w:w="2139"/>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pct"/>
                  <w:vAlign w:val="center"/>
                </w:tcPr>
                <w:p>
                  <w:pPr>
                    <w:jc w:val="center"/>
                    <w:rPr>
                      <w:rFonts w:eastAsiaTheme="minorEastAsia"/>
                      <w:b/>
                      <w:bCs/>
                      <w:sz w:val="22"/>
                      <w:szCs w:val="22"/>
                    </w:rPr>
                  </w:pPr>
                  <w:r>
                    <w:rPr>
                      <w:rFonts w:eastAsiaTheme="minorEastAsia"/>
                      <w:b/>
                      <w:bCs/>
                      <w:sz w:val="22"/>
                      <w:szCs w:val="22"/>
                    </w:rPr>
                    <w:t>监测点位</w:t>
                  </w:r>
                </w:p>
              </w:tc>
              <w:tc>
                <w:tcPr>
                  <w:tcW w:w="1067" w:type="pct"/>
                  <w:vAlign w:val="center"/>
                </w:tcPr>
                <w:p>
                  <w:pPr>
                    <w:jc w:val="center"/>
                    <w:rPr>
                      <w:rFonts w:eastAsiaTheme="minorEastAsia"/>
                      <w:b/>
                      <w:bCs/>
                      <w:sz w:val="22"/>
                      <w:szCs w:val="22"/>
                    </w:rPr>
                  </w:pPr>
                  <w:r>
                    <w:rPr>
                      <w:rFonts w:eastAsiaTheme="minorEastAsia"/>
                      <w:b/>
                      <w:bCs/>
                      <w:sz w:val="22"/>
                      <w:szCs w:val="22"/>
                    </w:rPr>
                    <w:t>检测项目</w:t>
                  </w:r>
                </w:p>
              </w:tc>
              <w:tc>
                <w:tcPr>
                  <w:tcW w:w="1244" w:type="pct"/>
                  <w:vAlign w:val="center"/>
                </w:tcPr>
                <w:p>
                  <w:pPr>
                    <w:jc w:val="center"/>
                    <w:rPr>
                      <w:rFonts w:eastAsiaTheme="minorEastAsia"/>
                      <w:b/>
                      <w:bCs/>
                      <w:sz w:val="22"/>
                      <w:szCs w:val="22"/>
                    </w:rPr>
                  </w:pPr>
                  <w:r>
                    <w:rPr>
                      <w:rFonts w:eastAsiaTheme="minorEastAsia"/>
                      <w:b/>
                      <w:bCs/>
                      <w:sz w:val="22"/>
                      <w:szCs w:val="22"/>
                    </w:rPr>
                    <w:t>采样日期</w:t>
                  </w:r>
                </w:p>
              </w:tc>
              <w:tc>
                <w:tcPr>
                  <w:tcW w:w="1613" w:type="pct"/>
                  <w:vAlign w:val="center"/>
                </w:tcPr>
                <w:p>
                  <w:pPr>
                    <w:jc w:val="center"/>
                    <w:rPr>
                      <w:rFonts w:eastAsiaTheme="minorEastAsia"/>
                      <w:b/>
                      <w:bCs/>
                      <w:sz w:val="22"/>
                      <w:szCs w:val="22"/>
                    </w:rPr>
                  </w:pPr>
                  <w:r>
                    <w:rPr>
                      <w:rFonts w:eastAsiaTheme="minorEastAsia"/>
                      <w:b/>
                      <w:bCs/>
                      <w:sz w:val="22"/>
                      <w:szCs w:val="22"/>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pct"/>
                  <w:vMerge w:val="restart"/>
                  <w:vAlign w:val="center"/>
                </w:tcPr>
                <w:p>
                  <w:pPr>
                    <w:snapToGrid w:val="0"/>
                    <w:jc w:val="center"/>
                    <w:rPr>
                      <w:rFonts w:eastAsiaTheme="minorEastAsia"/>
                      <w:sz w:val="22"/>
                      <w:szCs w:val="22"/>
                    </w:rPr>
                  </w:pPr>
                  <w:r>
                    <w:rPr>
                      <w:rFonts w:eastAsiaTheme="minorEastAsia"/>
                      <w:sz w:val="22"/>
                      <w:szCs w:val="22"/>
                    </w:rPr>
                    <w:t>项目东南侧51m虎林村村委会处</w:t>
                  </w:r>
                </w:p>
              </w:tc>
              <w:tc>
                <w:tcPr>
                  <w:tcW w:w="1067" w:type="pct"/>
                  <w:vMerge w:val="restart"/>
                  <w:vAlign w:val="center"/>
                </w:tcPr>
                <w:p>
                  <w:pPr>
                    <w:jc w:val="center"/>
                    <w:rPr>
                      <w:rFonts w:eastAsiaTheme="minorEastAsia"/>
                      <w:sz w:val="22"/>
                      <w:szCs w:val="22"/>
                    </w:rPr>
                  </w:pPr>
                  <w:r>
                    <w:rPr>
                      <w:rFonts w:eastAsiaTheme="minorEastAsia"/>
                      <w:sz w:val="22"/>
                      <w:szCs w:val="22"/>
                    </w:rPr>
                    <w:t>TSP</w:t>
                  </w:r>
                </w:p>
              </w:tc>
              <w:tc>
                <w:tcPr>
                  <w:tcW w:w="1244" w:type="pct"/>
                  <w:vAlign w:val="center"/>
                </w:tcPr>
                <w:p>
                  <w:pPr>
                    <w:jc w:val="center"/>
                    <w:rPr>
                      <w:rFonts w:eastAsiaTheme="minorEastAsia"/>
                      <w:sz w:val="22"/>
                      <w:szCs w:val="22"/>
                    </w:rPr>
                  </w:pPr>
                  <w:r>
                    <w:rPr>
                      <w:rFonts w:eastAsiaTheme="minorEastAsia"/>
                      <w:sz w:val="22"/>
                      <w:szCs w:val="22"/>
                    </w:rPr>
                    <w:t>2021.04.25</w:t>
                  </w:r>
                </w:p>
              </w:tc>
              <w:tc>
                <w:tcPr>
                  <w:tcW w:w="1613" w:type="pct"/>
                  <w:vAlign w:val="center"/>
                </w:tcPr>
                <w:p>
                  <w:pPr>
                    <w:jc w:val="center"/>
                    <w:rPr>
                      <w:rFonts w:eastAsiaTheme="minorEastAsia"/>
                      <w:sz w:val="22"/>
                      <w:szCs w:val="22"/>
                    </w:rPr>
                  </w:pPr>
                  <w:r>
                    <w:rPr>
                      <w:rFonts w:eastAsiaTheme="minorEastAsia"/>
                      <w:sz w:val="22"/>
                      <w:szCs w:val="22"/>
                    </w:rPr>
                    <w:t>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pct"/>
                  <w:vMerge w:val="continue"/>
                  <w:vAlign w:val="center"/>
                </w:tcPr>
                <w:p>
                  <w:pPr>
                    <w:jc w:val="center"/>
                    <w:rPr>
                      <w:rFonts w:eastAsiaTheme="minorEastAsia"/>
                      <w:sz w:val="22"/>
                      <w:szCs w:val="22"/>
                    </w:rPr>
                  </w:pPr>
                </w:p>
              </w:tc>
              <w:tc>
                <w:tcPr>
                  <w:tcW w:w="1067" w:type="pct"/>
                  <w:vMerge w:val="continue"/>
                  <w:vAlign w:val="center"/>
                </w:tcPr>
                <w:p>
                  <w:pPr>
                    <w:jc w:val="center"/>
                    <w:rPr>
                      <w:rFonts w:eastAsiaTheme="minorEastAsia"/>
                      <w:sz w:val="22"/>
                      <w:szCs w:val="22"/>
                    </w:rPr>
                  </w:pPr>
                </w:p>
              </w:tc>
              <w:tc>
                <w:tcPr>
                  <w:tcW w:w="1244" w:type="pct"/>
                  <w:vAlign w:val="center"/>
                </w:tcPr>
                <w:p>
                  <w:pPr>
                    <w:jc w:val="center"/>
                    <w:rPr>
                      <w:rFonts w:eastAsiaTheme="minorEastAsia"/>
                      <w:sz w:val="22"/>
                      <w:szCs w:val="22"/>
                    </w:rPr>
                  </w:pPr>
                  <w:r>
                    <w:rPr>
                      <w:rFonts w:eastAsiaTheme="minorEastAsia"/>
                      <w:sz w:val="22"/>
                      <w:szCs w:val="22"/>
                    </w:rPr>
                    <w:t>2021.04.26</w:t>
                  </w:r>
                </w:p>
              </w:tc>
              <w:tc>
                <w:tcPr>
                  <w:tcW w:w="1613" w:type="pct"/>
                  <w:vAlign w:val="center"/>
                </w:tcPr>
                <w:p>
                  <w:pPr>
                    <w:jc w:val="center"/>
                    <w:rPr>
                      <w:rFonts w:eastAsiaTheme="minorEastAsia"/>
                      <w:sz w:val="22"/>
                      <w:szCs w:val="22"/>
                    </w:rPr>
                  </w:pPr>
                  <w:r>
                    <w:rPr>
                      <w:rFonts w:eastAsiaTheme="minorEastAsia"/>
                      <w:sz w:val="22"/>
                      <w:szCs w:val="22"/>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7" w:type="pct"/>
                  <w:vMerge w:val="continue"/>
                  <w:vAlign w:val="center"/>
                </w:tcPr>
                <w:p>
                  <w:pPr>
                    <w:jc w:val="center"/>
                    <w:rPr>
                      <w:rFonts w:eastAsiaTheme="minorEastAsia"/>
                      <w:sz w:val="22"/>
                      <w:szCs w:val="22"/>
                    </w:rPr>
                  </w:pPr>
                </w:p>
              </w:tc>
              <w:tc>
                <w:tcPr>
                  <w:tcW w:w="1067" w:type="pct"/>
                  <w:vMerge w:val="continue"/>
                  <w:vAlign w:val="center"/>
                </w:tcPr>
                <w:p>
                  <w:pPr>
                    <w:jc w:val="center"/>
                    <w:rPr>
                      <w:rFonts w:eastAsiaTheme="minorEastAsia"/>
                      <w:sz w:val="22"/>
                      <w:szCs w:val="22"/>
                    </w:rPr>
                  </w:pPr>
                </w:p>
              </w:tc>
              <w:tc>
                <w:tcPr>
                  <w:tcW w:w="1244" w:type="pct"/>
                  <w:vAlign w:val="center"/>
                </w:tcPr>
                <w:p>
                  <w:pPr>
                    <w:jc w:val="center"/>
                    <w:rPr>
                      <w:rFonts w:eastAsiaTheme="minorEastAsia"/>
                      <w:sz w:val="22"/>
                      <w:szCs w:val="22"/>
                    </w:rPr>
                  </w:pPr>
                  <w:r>
                    <w:rPr>
                      <w:rFonts w:eastAsiaTheme="minorEastAsia"/>
                      <w:sz w:val="22"/>
                      <w:szCs w:val="22"/>
                    </w:rPr>
                    <w:t>2021.04.27</w:t>
                  </w:r>
                </w:p>
              </w:tc>
              <w:tc>
                <w:tcPr>
                  <w:tcW w:w="1613" w:type="pct"/>
                  <w:vAlign w:val="center"/>
                </w:tcPr>
                <w:p>
                  <w:pPr>
                    <w:jc w:val="center"/>
                    <w:rPr>
                      <w:rFonts w:eastAsiaTheme="minorEastAsia"/>
                      <w:sz w:val="22"/>
                      <w:szCs w:val="22"/>
                    </w:rPr>
                  </w:pPr>
                  <w:r>
                    <w:rPr>
                      <w:rFonts w:eastAsiaTheme="minorEastAsia"/>
                      <w:sz w:val="22"/>
                      <w:szCs w:val="22"/>
                    </w:rPr>
                    <w:t>0.159</w:t>
                  </w:r>
                </w:p>
              </w:tc>
            </w:tr>
          </w:tbl>
          <w:p>
            <w:pPr>
              <w:autoSpaceDE w:val="0"/>
              <w:autoSpaceDN w:val="0"/>
              <w:snapToGrid w:val="0"/>
              <w:spacing w:before="120" w:beforeLines="50" w:line="360" w:lineRule="auto"/>
              <w:ind w:right="105" w:rightChars="50" w:firstLine="482" w:firstLineChars="200"/>
              <w:rPr>
                <w:rFonts w:eastAsiaTheme="minorEastAsia"/>
                <w:b/>
                <w:bCs/>
                <w:sz w:val="24"/>
              </w:rPr>
            </w:pPr>
            <w:r>
              <w:rPr>
                <w:rFonts w:eastAsiaTheme="minorEastAsia"/>
                <w:b/>
                <w:bCs/>
                <w:sz w:val="24"/>
              </w:rPr>
              <w:t>（3）评价方法</w:t>
            </w:r>
          </w:p>
          <w:p>
            <w:pPr>
              <w:spacing w:line="360" w:lineRule="auto"/>
              <w:ind w:right="105" w:rightChars="50" w:firstLine="480" w:firstLineChars="200"/>
              <w:rPr>
                <w:rFonts w:eastAsiaTheme="minorEastAsia"/>
                <w:sz w:val="24"/>
              </w:rPr>
            </w:pPr>
            <w:r>
              <w:rPr>
                <w:rFonts w:hint="eastAsia" w:ascii="宋体" w:hAnsi="宋体" w:cs="宋体"/>
                <w:sz w:val="24"/>
              </w:rPr>
              <w:t>①</w:t>
            </w:r>
            <w:r>
              <w:rPr>
                <w:rFonts w:eastAsiaTheme="minorEastAsia"/>
                <w:sz w:val="24"/>
              </w:rPr>
              <w:t>评价方法</w:t>
            </w:r>
          </w:p>
          <w:p>
            <w:pPr>
              <w:spacing w:line="360" w:lineRule="auto"/>
              <w:ind w:right="105" w:rightChars="50" w:firstLine="480" w:firstLineChars="200"/>
              <w:rPr>
                <w:rFonts w:eastAsiaTheme="minorEastAsia"/>
                <w:sz w:val="24"/>
              </w:rPr>
            </w:pPr>
            <w:r>
              <w:rPr>
                <w:rFonts w:eastAsiaTheme="minorEastAsia"/>
                <w:sz w:val="24"/>
              </w:rPr>
              <w:t>采用最大浓度占标率进行评价。最大浓度占标率Pi计算表达式：</w:t>
            </w:r>
          </w:p>
          <w:p>
            <w:pPr>
              <w:spacing w:line="360" w:lineRule="auto"/>
              <w:ind w:right="105" w:rightChars="50" w:firstLine="480" w:firstLineChars="200"/>
              <w:rPr>
                <w:rFonts w:eastAsiaTheme="minorEastAsia"/>
                <w:sz w:val="24"/>
              </w:rPr>
            </w:pPr>
            <w:r>
              <w:rPr>
                <w:rFonts w:eastAsiaTheme="minorEastAsia"/>
                <w:sz w:val="24"/>
              </w:rPr>
              <w:object>
                <v:shape id="_x0000_i1027" o:spt="75" type="#_x0000_t75" style="height:37.65pt;width:79.5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p>
          <w:p>
            <w:pPr>
              <w:spacing w:line="360" w:lineRule="auto"/>
              <w:ind w:right="105" w:rightChars="50" w:firstLine="480" w:firstLineChars="200"/>
              <w:rPr>
                <w:rFonts w:eastAsiaTheme="minorEastAsia"/>
                <w:sz w:val="24"/>
              </w:rPr>
            </w:pPr>
            <w:r>
              <w:rPr>
                <w:rFonts w:eastAsiaTheme="minorEastAsia"/>
                <w:sz w:val="24"/>
              </w:rPr>
              <w:t>式中：Pi——第i个污染物的最大地面空气质量浓度占标率，%；</w:t>
            </w:r>
          </w:p>
          <w:p>
            <w:pPr>
              <w:spacing w:line="360" w:lineRule="auto"/>
              <w:ind w:right="105" w:rightChars="50" w:firstLine="480" w:firstLineChars="200"/>
              <w:rPr>
                <w:rFonts w:eastAsiaTheme="minorEastAsia"/>
                <w:sz w:val="24"/>
              </w:rPr>
            </w:pPr>
            <w:r>
              <w:rPr>
                <w:rFonts w:eastAsiaTheme="minorEastAsia"/>
                <w:sz w:val="24"/>
              </w:rPr>
              <w:t>Ci——第i个污染物监测浓度最大值，ug/m</w:t>
            </w:r>
            <w:r>
              <w:rPr>
                <w:rFonts w:eastAsiaTheme="minorEastAsia"/>
                <w:sz w:val="24"/>
                <w:vertAlign w:val="superscript"/>
              </w:rPr>
              <w:t>3</w:t>
            </w:r>
            <w:r>
              <w:rPr>
                <w:rFonts w:eastAsiaTheme="minorEastAsia"/>
                <w:sz w:val="24"/>
              </w:rPr>
              <w:t>；</w:t>
            </w:r>
          </w:p>
          <w:p>
            <w:pPr>
              <w:spacing w:line="360" w:lineRule="auto"/>
              <w:ind w:right="105" w:rightChars="50" w:firstLine="480" w:firstLineChars="200"/>
              <w:rPr>
                <w:rFonts w:eastAsiaTheme="minorEastAsia"/>
                <w:sz w:val="24"/>
              </w:rPr>
            </w:pPr>
            <w:r>
              <w:rPr>
                <w:rFonts w:eastAsiaTheme="minorEastAsia"/>
                <w:sz w:val="24"/>
              </w:rPr>
              <w:t>Coi——第i种污染物的环境空气质量标准浓度，ug/m</w:t>
            </w:r>
            <w:r>
              <w:rPr>
                <w:rFonts w:eastAsiaTheme="minorEastAsia"/>
                <w:sz w:val="24"/>
                <w:vertAlign w:val="superscript"/>
              </w:rPr>
              <w:t>3</w:t>
            </w:r>
            <w:r>
              <w:rPr>
                <w:rFonts w:eastAsiaTheme="minorEastAsia"/>
                <w:sz w:val="24"/>
              </w:rPr>
              <w:t>。</w:t>
            </w:r>
          </w:p>
          <w:p>
            <w:pPr>
              <w:spacing w:line="360" w:lineRule="auto"/>
              <w:ind w:right="105" w:rightChars="50" w:firstLine="480" w:firstLineChars="200"/>
              <w:rPr>
                <w:rFonts w:eastAsiaTheme="minorEastAsia"/>
                <w:sz w:val="24"/>
              </w:rPr>
            </w:pPr>
            <w:r>
              <w:rPr>
                <w:rFonts w:eastAsiaTheme="minorEastAsia"/>
                <w:sz w:val="24"/>
              </w:rPr>
              <w:t>当Pi值大于100时，表明大气环境已受到该项评价所表征的污染物的污染，Pi值越大，受污染程度越大。</w:t>
            </w:r>
          </w:p>
          <w:p>
            <w:pPr>
              <w:spacing w:line="360" w:lineRule="auto"/>
              <w:ind w:right="105" w:rightChars="50" w:firstLine="480" w:firstLineChars="200"/>
              <w:rPr>
                <w:rFonts w:eastAsiaTheme="minorEastAsia"/>
                <w:sz w:val="24"/>
              </w:rPr>
            </w:pPr>
            <w:r>
              <w:rPr>
                <w:rFonts w:hint="eastAsia" w:ascii="宋体" w:hAnsi="宋体" w:cs="宋体"/>
                <w:sz w:val="24"/>
              </w:rPr>
              <w:t>②</w:t>
            </w:r>
            <w:r>
              <w:rPr>
                <w:rFonts w:eastAsiaTheme="minorEastAsia"/>
                <w:sz w:val="24"/>
              </w:rPr>
              <w:t>评价标准：执行《环境空气质量标准》（GB3095-2012）</w:t>
            </w:r>
            <w:r>
              <w:rPr>
                <w:rFonts w:hint="eastAsia" w:eastAsiaTheme="minorEastAsia"/>
                <w:sz w:val="24"/>
              </w:rPr>
              <w:t>二类标准</w:t>
            </w:r>
            <w:r>
              <w:rPr>
                <w:rFonts w:eastAsiaTheme="minorEastAsia"/>
                <w:sz w:val="24"/>
              </w:rPr>
              <w:t>要求。</w:t>
            </w:r>
          </w:p>
          <w:p>
            <w:pPr>
              <w:autoSpaceDE w:val="0"/>
              <w:autoSpaceDN w:val="0"/>
              <w:snapToGrid w:val="0"/>
              <w:spacing w:line="360" w:lineRule="auto"/>
              <w:ind w:right="105" w:rightChars="50" w:firstLine="482" w:firstLineChars="200"/>
              <w:rPr>
                <w:rFonts w:eastAsiaTheme="minorEastAsia"/>
                <w:b/>
                <w:bCs/>
                <w:sz w:val="24"/>
              </w:rPr>
            </w:pPr>
            <w:r>
              <w:rPr>
                <w:rFonts w:eastAsiaTheme="minorEastAsia"/>
                <w:b/>
                <w:bCs/>
                <w:sz w:val="24"/>
              </w:rPr>
              <w:t>（4）评价结果</w:t>
            </w:r>
          </w:p>
          <w:p>
            <w:pPr>
              <w:pStyle w:val="3"/>
              <w:snapToGrid w:val="0"/>
              <w:spacing w:after="0" w:line="360" w:lineRule="auto"/>
              <w:ind w:left="0" w:leftChars="0" w:right="105" w:rightChars="50" w:firstLine="480" w:firstLineChars="200"/>
              <w:rPr>
                <w:rFonts w:eastAsiaTheme="minorEastAsia"/>
                <w:szCs w:val="24"/>
              </w:rPr>
            </w:pPr>
            <w:r>
              <w:rPr>
                <w:rFonts w:eastAsiaTheme="minorEastAsia"/>
                <w:szCs w:val="24"/>
              </w:rPr>
              <w:t>大气环境现状评价采用占标率法进行评价，根据评价因子标准限值及评价模式计算，得出单项指数法计算结果，结果见下表。</w:t>
            </w:r>
          </w:p>
          <w:p>
            <w:pPr>
              <w:spacing w:line="360" w:lineRule="auto"/>
              <w:ind w:right="105" w:rightChars="50" w:firstLine="200"/>
              <w:jc w:val="center"/>
              <w:rPr>
                <w:rFonts w:eastAsiaTheme="minorEastAsia"/>
                <w:b/>
                <w:bCs/>
                <w:sz w:val="24"/>
              </w:rPr>
            </w:pPr>
            <w:r>
              <w:rPr>
                <w:rFonts w:eastAsiaTheme="minorEastAsia"/>
                <w:b/>
                <w:bCs/>
                <w:sz w:val="24"/>
              </w:rPr>
              <w:t>表3-4环境空气质量现状评价结果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975"/>
              <w:gridCol w:w="1376"/>
              <w:gridCol w:w="2299"/>
              <w:gridCol w:w="190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jc w:val="center"/>
                    <w:rPr>
                      <w:rFonts w:eastAsiaTheme="minorEastAsia"/>
                      <w:b/>
                      <w:bCs/>
                      <w:szCs w:val="21"/>
                    </w:rPr>
                  </w:pPr>
                  <w:r>
                    <w:rPr>
                      <w:rFonts w:eastAsiaTheme="minorEastAsia"/>
                      <w:b/>
                      <w:bCs/>
                      <w:szCs w:val="21"/>
                    </w:rPr>
                    <w:t>监测</w:t>
                  </w:r>
                </w:p>
                <w:p>
                  <w:pPr>
                    <w:jc w:val="center"/>
                    <w:rPr>
                      <w:rFonts w:eastAsiaTheme="minorEastAsia"/>
                      <w:b/>
                      <w:bCs/>
                      <w:szCs w:val="21"/>
                    </w:rPr>
                  </w:pPr>
                  <w:r>
                    <w:rPr>
                      <w:rFonts w:eastAsiaTheme="minorEastAsia"/>
                      <w:b/>
                      <w:bCs/>
                      <w:szCs w:val="21"/>
                    </w:rPr>
                    <w:t>点位</w:t>
                  </w:r>
                </w:p>
              </w:tc>
              <w:tc>
                <w:tcPr>
                  <w:tcW w:w="567" w:type="pct"/>
                  <w:vAlign w:val="center"/>
                </w:tcPr>
                <w:p>
                  <w:pPr>
                    <w:jc w:val="center"/>
                    <w:rPr>
                      <w:rFonts w:eastAsiaTheme="minorEastAsia"/>
                      <w:b/>
                      <w:bCs/>
                      <w:szCs w:val="21"/>
                    </w:rPr>
                  </w:pPr>
                  <w:r>
                    <w:rPr>
                      <w:rFonts w:eastAsiaTheme="minorEastAsia"/>
                      <w:b/>
                      <w:bCs/>
                      <w:szCs w:val="21"/>
                    </w:rPr>
                    <w:t>污染物</w:t>
                  </w:r>
                </w:p>
              </w:tc>
              <w:tc>
                <w:tcPr>
                  <w:tcW w:w="800" w:type="pct"/>
                  <w:vAlign w:val="center"/>
                </w:tcPr>
                <w:p>
                  <w:pPr>
                    <w:jc w:val="center"/>
                    <w:rPr>
                      <w:rFonts w:eastAsiaTheme="minorEastAsia"/>
                      <w:b/>
                      <w:bCs/>
                      <w:szCs w:val="21"/>
                    </w:rPr>
                  </w:pPr>
                  <w:r>
                    <w:rPr>
                      <w:rFonts w:eastAsiaTheme="minorEastAsia"/>
                      <w:b/>
                      <w:bCs/>
                      <w:szCs w:val="21"/>
                    </w:rPr>
                    <w:t>评价标准（mg/m</w:t>
                  </w:r>
                  <w:r>
                    <w:rPr>
                      <w:rFonts w:eastAsiaTheme="minorEastAsia"/>
                      <w:b/>
                      <w:bCs/>
                      <w:szCs w:val="21"/>
                      <w:vertAlign w:val="superscript"/>
                    </w:rPr>
                    <w:t>3</w:t>
                  </w:r>
                  <w:r>
                    <w:rPr>
                      <w:rFonts w:eastAsiaTheme="minorEastAsia"/>
                      <w:b/>
                      <w:bCs/>
                      <w:szCs w:val="21"/>
                    </w:rPr>
                    <w:t>）</w:t>
                  </w:r>
                </w:p>
              </w:tc>
              <w:tc>
                <w:tcPr>
                  <w:tcW w:w="1337" w:type="pct"/>
                  <w:vAlign w:val="center"/>
                </w:tcPr>
                <w:p>
                  <w:pPr>
                    <w:jc w:val="center"/>
                    <w:rPr>
                      <w:rFonts w:eastAsiaTheme="minorEastAsia"/>
                      <w:b/>
                      <w:bCs/>
                      <w:szCs w:val="21"/>
                    </w:rPr>
                  </w:pPr>
                  <w:r>
                    <w:rPr>
                      <w:rFonts w:eastAsiaTheme="minorEastAsia"/>
                      <w:b/>
                      <w:bCs/>
                      <w:szCs w:val="21"/>
                    </w:rPr>
                    <w:t>监测浓度范围（ug/m</w:t>
                  </w:r>
                  <w:r>
                    <w:rPr>
                      <w:rFonts w:eastAsiaTheme="minorEastAsia"/>
                      <w:b/>
                      <w:bCs/>
                      <w:szCs w:val="21"/>
                      <w:vertAlign w:val="superscript"/>
                    </w:rPr>
                    <w:t>3</w:t>
                  </w:r>
                  <w:r>
                    <w:rPr>
                      <w:rFonts w:eastAsiaTheme="minorEastAsia"/>
                      <w:b/>
                      <w:bCs/>
                      <w:szCs w:val="21"/>
                    </w:rPr>
                    <w:t>）</w:t>
                  </w:r>
                </w:p>
              </w:tc>
              <w:tc>
                <w:tcPr>
                  <w:tcW w:w="1107" w:type="pct"/>
                  <w:vAlign w:val="center"/>
                </w:tcPr>
                <w:p>
                  <w:pPr>
                    <w:jc w:val="center"/>
                    <w:rPr>
                      <w:rFonts w:eastAsiaTheme="minorEastAsia"/>
                      <w:b/>
                      <w:bCs/>
                      <w:szCs w:val="21"/>
                    </w:rPr>
                  </w:pPr>
                  <w:r>
                    <w:rPr>
                      <w:rFonts w:eastAsiaTheme="minorEastAsia"/>
                      <w:b/>
                      <w:bCs/>
                      <w:szCs w:val="21"/>
                    </w:rPr>
                    <w:t>最大浓度占标率/%</w:t>
                  </w:r>
                </w:p>
              </w:tc>
              <w:tc>
                <w:tcPr>
                  <w:tcW w:w="699" w:type="pct"/>
                  <w:vAlign w:val="center"/>
                </w:tcPr>
                <w:p>
                  <w:pPr>
                    <w:jc w:val="center"/>
                    <w:rPr>
                      <w:rFonts w:eastAsiaTheme="minorEastAsia"/>
                      <w:b/>
                      <w:bCs/>
                      <w:szCs w:val="21"/>
                    </w:rPr>
                  </w:pPr>
                  <w:r>
                    <w:rPr>
                      <w:rFonts w:eastAsiaTheme="minorEastAsia"/>
                      <w:b/>
                      <w:bCs/>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ind w:right="105" w:rightChars="50"/>
                    <w:jc w:val="center"/>
                    <w:rPr>
                      <w:rFonts w:eastAsiaTheme="minorEastAsia"/>
                      <w:szCs w:val="21"/>
                    </w:rPr>
                  </w:pPr>
                  <w:r>
                    <w:rPr>
                      <w:rFonts w:eastAsiaTheme="minorEastAsia"/>
                      <w:szCs w:val="21"/>
                    </w:rPr>
                    <w:t>1#</w:t>
                  </w:r>
                </w:p>
              </w:tc>
              <w:tc>
                <w:tcPr>
                  <w:tcW w:w="567" w:type="pct"/>
                  <w:vAlign w:val="center"/>
                </w:tcPr>
                <w:p>
                  <w:pPr>
                    <w:ind w:right="105" w:rightChars="50"/>
                    <w:jc w:val="center"/>
                    <w:rPr>
                      <w:rFonts w:eastAsiaTheme="minorEastAsia"/>
                      <w:szCs w:val="21"/>
                    </w:rPr>
                  </w:pPr>
                  <w:r>
                    <w:rPr>
                      <w:rFonts w:eastAsiaTheme="minorEastAsia"/>
                      <w:szCs w:val="21"/>
                    </w:rPr>
                    <w:t>TSP</w:t>
                  </w:r>
                </w:p>
              </w:tc>
              <w:tc>
                <w:tcPr>
                  <w:tcW w:w="800" w:type="pct"/>
                  <w:vAlign w:val="center"/>
                </w:tcPr>
                <w:p>
                  <w:pPr>
                    <w:ind w:right="105" w:rightChars="50"/>
                    <w:jc w:val="center"/>
                    <w:rPr>
                      <w:rFonts w:eastAsiaTheme="minorEastAsia"/>
                      <w:szCs w:val="21"/>
                    </w:rPr>
                  </w:pPr>
                  <w:r>
                    <w:rPr>
                      <w:rFonts w:eastAsiaTheme="minorEastAsia"/>
                      <w:szCs w:val="21"/>
                    </w:rPr>
                    <w:t>0.3</w:t>
                  </w:r>
                </w:p>
              </w:tc>
              <w:tc>
                <w:tcPr>
                  <w:tcW w:w="1337" w:type="pct"/>
                  <w:vAlign w:val="center"/>
                </w:tcPr>
                <w:p>
                  <w:pPr>
                    <w:ind w:right="105" w:rightChars="50"/>
                    <w:jc w:val="center"/>
                    <w:rPr>
                      <w:rFonts w:eastAsiaTheme="minorEastAsia"/>
                      <w:szCs w:val="21"/>
                    </w:rPr>
                  </w:pPr>
                  <w:r>
                    <w:rPr>
                      <w:rFonts w:eastAsiaTheme="minorEastAsia"/>
                      <w:szCs w:val="21"/>
                    </w:rPr>
                    <w:t>0.148~0.153</w:t>
                  </w:r>
                </w:p>
              </w:tc>
              <w:tc>
                <w:tcPr>
                  <w:tcW w:w="1107" w:type="pct"/>
                  <w:vAlign w:val="center"/>
                </w:tcPr>
                <w:p>
                  <w:pPr>
                    <w:ind w:right="105" w:rightChars="50"/>
                    <w:jc w:val="center"/>
                    <w:rPr>
                      <w:rFonts w:eastAsiaTheme="minorEastAsia"/>
                      <w:szCs w:val="21"/>
                    </w:rPr>
                  </w:pPr>
                  <w:r>
                    <w:rPr>
                      <w:rFonts w:eastAsiaTheme="minorEastAsia"/>
                      <w:szCs w:val="21"/>
                    </w:rPr>
                    <w:t>0.51</w:t>
                  </w:r>
                </w:p>
              </w:tc>
              <w:tc>
                <w:tcPr>
                  <w:tcW w:w="699" w:type="pct"/>
                  <w:vAlign w:val="center"/>
                </w:tcPr>
                <w:p>
                  <w:pPr>
                    <w:ind w:right="105" w:rightChars="50"/>
                    <w:jc w:val="center"/>
                    <w:rPr>
                      <w:rFonts w:eastAsiaTheme="minorEastAsia"/>
                      <w:szCs w:val="21"/>
                    </w:rPr>
                  </w:pPr>
                  <w:r>
                    <w:rPr>
                      <w:rFonts w:eastAsiaTheme="minorEastAsia"/>
                      <w:szCs w:val="21"/>
                    </w:rPr>
                    <w:t>/</w:t>
                  </w:r>
                </w:p>
              </w:tc>
            </w:tr>
          </w:tbl>
          <w:p>
            <w:pPr>
              <w:spacing w:before="120" w:beforeLines="50" w:line="360" w:lineRule="auto"/>
              <w:ind w:right="105" w:rightChars="50" w:firstLine="482" w:firstLineChars="200"/>
              <w:rPr>
                <w:rFonts w:eastAsiaTheme="minorEastAsia"/>
                <w:b/>
                <w:bCs/>
                <w:sz w:val="24"/>
              </w:rPr>
            </w:pPr>
            <w:r>
              <w:rPr>
                <w:rFonts w:eastAsiaTheme="minorEastAsia"/>
                <w:b/>
                <w:bCs/>
                <w:sz w:val="24"/>
              </w:rPr>
              <w:t>根据上述监测，项目区域TSP满足《环境空气质量标准》（GB3095-2012）</w:t>
            </w:r>
            <w:r>
              <w:rPr>
                <w:rFonts w:hint="eastAsia" w:eastAsiaTheme="minorEastAsia"/>
                <w:b/>
                <w:bCs/>
                <w:sz w:val="24"/>
              </w:rPr>
              <w:t>二类</w:t>
            </w:r>
            <w:r>
              <w:rPr>
                <w:rFonts w:eastAsiaTheme="minorEastAsia"/>
                <w:b/>
                <w:bCs/>
                <w:sz w:val="24"/>
              </w:rPr>
              <w:t>标准要求。</w:t>
            </w:r>
          </w:p>
          <w:p>
            <w:pPr>
              <w:spacing w:line="360" w:lineRule="auto"/>
              <w:ind w:right="105" w:rightChars="50"/>
              <w:rPr>
                <w:rFonts w:eastAsiaTheme="minorEastAsia"/>
                <w:b/>
                <w:bCs/>
                <w:sz w:val="24"/>
              </w:rPr>
            </w:pPr>
            <w:r>
              <w:rPr>
                <w:rFonts w:eastAsiaTheme="minorEastAsia"/>
                <w:b/>
                <w:bCs/>
                <w:sz w:val="24"/>
              </w:rPr>
              <w:t>2、地表水</w:t>
            </w:r>
          </w:p>
          <w:p>
            <w:pPr>
              <w:spacing w:line="360" w:lineRule="auto"/>
              <w:ind w:right="105" w:rightChars="50" w:firstLine="480" w:firstLineChars="200"/>
              <w:rPr>
                <w:rFonts w:eastAsiaTheme="minorEastAsia"/>
                <w:sz w:val="24"/>
              </w:rPr>
            </w:pPr>
            <w:r>
              <w:rPr>
                <w:rFonts w:eastAsiaTheme="minorEastAsia"/>
                <w:sz w:val="24"/>
              </w:rPr>
              <w:t>项目东北侧90m处为通仙溪，主要功能为行洪灌溉。南侧2000m处为郪江。项目生活废水经预处理池处理后</w:t>
            </w:r>
            <w:r>
              <w:rPr>
                <w:rFonts w:hint="eastAsia" w:eastAsiaTheme="minorEastAsia"/>
                <w:sz w:val="24"/>
              </w:rPr>
              <w:t>交由大英县洁达环保科技有限公司收集处理后达标排放</w:t>
            </w:r>
            <w:r>
              <w:rPr>
                <w:rFonts w:eastAsiaTheme="minorEastAsia"/>
                <w:sz w:val="24"/>
              </w:rPr>
              <w:t>，生产废水经沉淀处理后回用于生产，不外排。</w:t>
            </w:r>
          </w:p>
          <w:p>
            <w:pPr>
              <w:pStyle w:val="91"/>
              <w:ind w:right="105" w:rightChars="50" w:firstLine="480"/>
              <w:rPr>
                <w:rFonts w:eastAsiaTheme="minorEastAsia"/>
              </w:rPr>
            </w:pPr>
            <w:r>
              <w:rPr>
                <w:rFonts w:eastAsiaTheme="minorEastAsia"/>
              </w:rPr>
              <w:t>根据《环境影响评价技术导则 地表水环境》（HJ2.3-2018），本次地表水环境质量现状引用遂宁市污染防治攻坚战领导小组办公室发布的《遂宁市污染防治攻坚战领导小组办公室关于2022年12 月全市地表水和环境空气质量排名情况的通报》（遂污防攻坚办〔2023〕2号），如下表所示：</w:t>
            </w:r>
          </w:p>
          <w:p>
            <w:pPr>
              <w:pStyle w:val="9"/>
              <w:tabs>
                <w:tab w:val="left" w:pos="0"/>
              </w:tabs>
              <w:spacing w:line="360" w:lineRule="auto"/>
              <w:ind w:right="105" w:rightChars="50" w:firstLine="200"/>
              <w:rPr>
                <w:rFonts w:ascii="Times New Roman" w:hAnsi="Times New Roman" w:cs="Times New Roman" w:eastAsiaTheme="minorEastAsia"/>
                <w:b/>
                <w:bCs/>
                <w:sz w:val="24"/>
              </w:rPr>
            </w:pPr>
          </w:p>
          <w:p>
            <w:pPr>
              <w:pStyle w:val="9"/>
              <w:tabs>
                <w:tab w:val="left" w:pos="0"/>
              </w:tabs>
              <w:spacing w:line="360" w:lineRule="auto"/>
              <w:ind w:right="105" w:rightChars="50" w:firstLine="200"/>
              <w:rPr>
                <w:rFonts w:ascii="Times New Roman" w:hAnsi="Times New Roman" w:cs="Times New Roman" w:eastAsiaTheme="minorEastAsia"/>
                <w:b/>
                <w:bCs/>
                <w:sz w:val="24"/>
              </w:rPr>
            </w:pPr>
          </w:p>
          <w:p>
            <w:pPr>
              <w:pStyle w:val="9"/>
              <w:tabs>
                <w:tab w:val="left" w:pos="0"/>
              </w:tabs>
              <w:spacing w:line="360" w:lineRule="auto"/>
              <w:ind w:right="105" w:rightChars="50" w:firstLine="200"/>
              <w:rPr>
                <w:rFonts w:ascii="Times New Roman" w:hAnsi="Times New Roman" w:cs="Times New Roman" w:eastAsiaTheme="minorEastAsia"/>
                <w:bCs/>
                <w:sz w:val="24"/>
              </w:rPr>
            </w:pPr>
            <w:r>
              <w:rPr>
                <w:rFonts w:ascii="Times New Roman" w:hAnsi="Times New Roman" w:cs="Times New Roman" w:eastAsiaTheme="minorEastAsia"/>
                <w:b/>
                <w:bCs/>
                <w:sz w:val="24"/>
              </w:rPr>
              <w:t>表3-5  2022年郪江河水质评价结果表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611"/>
              <w:gridCol w:w="612"/>
              <w:gridCol w:w="612"/>
              <w:gridCol w:w="710"/>
              <w:gridCol w:w="817"/>
              <w:gridCol w:w="843"/>
              <w:gridCol w:w="684"/>
              <w:gridCol w:w="948"/>
              <w:gridCol w:w="887"/>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55" w:type="pct"/>
                  <w:vMerge w:val="restar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断面名称</w:t>
                  </w:r>
                </w:p>
              </w:tc>
              <w:tc>
                <w:tcPr>
                  <w:tcW w:w="355" w:type="pct"/>
                  <w:vMerge w:val="restar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所在地</w:t>
                  </w:r>
                </w:p>
              </w:tc>
              <w:tc>
                <w:tcPr>
                  <w:tcW w:w="356" w:type="pct"/>
                  <w:vMerge w:val="restar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断面类别</w:t>
                  </w:r>
                </w:p>
              </w:tc>
              <w:tc>
                <w:tcPr>
                  <w:tcW w:w="356" w:type="pct"/>
                  <w:vMerge w:val="restar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规定类别</w:t>
                  </w:r>
                </w:p>
              </w:tc>
              <w:tc>
                <w:tcPr>
                  <w:tcW w:w="2843" w:type="pct"/>
                  <w:gridSpan w:val="6"/>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单项指标浓度</w:t>
                  </w:r>
                </w:p>
              </w:tc>
              <w:tc>
                <w:tcPr>
                  <w:tcW w:w="735" w:type="pct"/>
                  <w:vMerge w:val="restar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tcMar>
                    <w:left w:w="57" w:type="dxa"/>
                    <w:right w:w="57" w:type="dxa"/>
                  </w:tcMar>
                  <w:vAlign w:val="center"/>
                </w:tcPr>
                <w:p>
                  <w:pPr>
                    <w:widowControl/>
                    <w:jc w:val="center"/>
                    <w:rPr>
                      <w:rFonts w:eastAsiaTheme="minorEastAsia"/>
                      <w:szCs w:val="21"/>
                    </w:rPr>
                  </w:pPr>
                </w:p>
              </w:tc>
              <w:tc>
                <w:tcPr>
                  <w:tcW w:w="355" w:type="pct"/>
                  <w:vMerge w:val="continue"/>
                  <w:tcMar>
                    <w:left w:w="57" w:type="dxa"/>
                    <w:right w:w="57" w:type="dxa"/>
                  </w:tcMar>
                  <w:vAlign w:val="center"/>
                </w:tcPr>
                <w:p>
                  <w:pPr>
                    <w:widowControl/>
                    <w:jc w:val="center"/>
                    <w:rPr>
                      <w:rFonts w:eastAsiaTheme="minorEastAsia"/>
                      <w:szCs w:val="21"/>
                    </w:rPr>
                  </w:pPr>
                </w:p>
              </w:tc>
              <w:tc>
                <w:tcPr>
                  <w:tcW w:w="356" w:type="pct"/>
                  <w:vMerge w:val="continue"/>
                  <w:tcMar>
                    <w:left w:w="57" w:type="dxa"/>
                    <w:right w:w="57" w:type="dxa"/>
                  </w:tcMar>
                  <w:vAlign w:val="center"/>
                </w:tcPr>
                <w:p>
                  <w:pPr>
                    <w:widowControl/>
                    <w:jc w:val="center"/>
                    <w:rPr>
                      <w:rFonts w:eastAsiaTheme="minorEastAsia"/>
                      <w:szCs w:val="21"/>
                    </w:rPr>
                  </w:pPr>
                </w:p>
              </w:tc>
              <w:tc>
                <w:tcPr>
                  <w:tcW w:w="356" w:type="pct"/>
                  <w:vMerge w:val="continue"/>
                  <w:tcMar>
                    <w:left w:w="57" w:type="dxa"/>
                    <w:right w:w="57" w:type="dxa"/>
                  </w:tcMar>
                  <w:vAlign w:val="center"/>
                </w:tcPr>
                <w:p>
                  <w:pPr>
                    <w:widowControl/>
                    <w:jc w:val="center"/>
                    <w:rPr>
                      <w:rFonts w:eastAsiaTheme="minorEastAsia"/>
                      <w:szCs w:val="21"/>
                    </w:rPr>
                  </w:pPr>
                </w:p>
              </w:tc>
              <w:tc>
                <w:tcPr>
                  <w:tcW w:w="413"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pH</w:t>
                  </w:r>
                </w:p>
              </w:tc>
              <w:tc>
                <w:tcPr>
                  <w:tcW w:w="475"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溶解氧</w:t>
                  </w:r>
                </w:p>
              </w:tc>
              <w:tc>
                <w:tcPr>
                  <w:tcW w:w="490"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高锰酸盐</w:t>
                  </w:r>
                  <w:r>
                    <w:rPr>
                      <w:rFonts w:eastAsiaTheme="minorEastAsia"/>
                      <w:b/>
                      <w:bCs/>
                      <w:sz w:val="21"/>
                      <w:szCs w:val="21"/>
                    </w:rPr>
                    <w:t>指数</w:t>
                  </w:r>
                </w:p>
              </w:tc>
              <w:tc>
                <w:tcPr>
                  <w:tcW w:w="398"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COD</w:t>
                  </w:r>
                </w:p>
              </w:tc>
              <w:tc>
                <w:tcPr>
                  <w:tcW w:w="551"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氨氮</w:t>
                  </w:r>
                </w:p>
              </w:tc>
              <w:tc>
                <w:tcPr>
                  <w:tcW w:w="516" w:type="pct"/>
                  <w:tcMar>
                    <w:left w:w="57" w:type="dxa"/>
                    <w:right w:w="57" w:type="dxa"/>
                  </w:tcMar>
                  <w:vAlign w:val="center"/>
                </w:tcPr>
                <w:p>
                  <w:pPr>
                    <w:pStyle w:val="91"/>
                    <w:spacing w:line="240" w:lineRule="auto"/>
                    <w:ind w:firstLine="0" w:firstLineChars="0"/>
                    <w:jc w:val="center"/>
                    <w:rPr>
                      <w:rFonts w:eastAsiaTheme="minorEastAsia"/>
                      <w:b/>
                      <w:bCs/>
                      <w:sz w:val="21"/>
                      <w:szCs w:val="21"/>
                    </w:rPr>
                  </w:pPr>
                  <w:r>
                    <w:rPr>
                      <w:rFonts w:eastAsiaTheme="minorEastAsia"/>
                      <w:b/>
                      <w:bCs/>
                      <w:sz w:val="21"/>
                      <w:szCs w:val="21"/>
                    </w:rPr>
                    <w:t>总磷</w:t>
                  </w:r>
                </w:p>
              </w:tc>
              <w:tc>
                <w:tcPr>
                  <w:tcW w:w="735" w:type="pct"/>
                  <w:vMerge w:val="continue"/>
                  <w:tcMar>
                    <w:left w:w="57" w:type="dxa"/>
                    <w:right w:w="57" w:type="dxa"/>
                  </w:tcMar>
                  <w:vAlign w:val="center"/>
                </w:tcPr>
                <w:p>
                  <w:pPr>
                    <w:widowControl/>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郪江口</w:t>
                  </w:r>
                </w:p>
              </w:tc>
              <w:tc>
                <w:tcPr>
                  <w:tcW w:w="355"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大英县</w:t>
                  </w:r>
                </w:p>
              </w:tc>
              <w:tc>
                <w:tcPr>
                  <w:tcW w:w="356"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国控</w:t>
                  </w:r>
                </w:p>
              </w:tc>
              <w:tc>
                <w:tcPr>
                  <w:tcW w:w="356" w:type="pct"/>
                  <w:tcMar>
                    <w:left w:w="57" w:type="dxa"/>
                    <w:right w:w="57" w:type="dxa"/>
                  </w:tcMar>
                  <w:vAlign w:val="center"/>
                </w:tcPr>
                <w:p>
                  <w:pPr>
                    <w:widowControl/>
                    <w:jc w:val="center"/>
                    <w:rPr>
                      <w:rFonts w:eastAsiaTheme="minorEastAsia"/>
                      <w:szCs w:val="21"/>
                    </w:rPr>
                  </w:pPr>
                  <w:r>
                    <w:rPr>
                      <w:rFonts w:eastAsiaTheme="minorEastAsia"/>
                      <w:kern w:val="0"/>
                      <w:szCs w:val="21"/>
                      <w:lang w:bidi="ar"/>
                    </w:rPr>
                    <w:t>Ⅲ</w:t>
                  </w:r>
                </w:p>
              </w:tc>
              <w:tc>
                <w:tcPr>
                  <w:tcW w:w="413"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8.1</w:t>
                  </w:r>
                </w:p>
              </w:tc>
              <w:tc>
                <w:tcPr>
                  <w:tcW w:w="475"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7.85</w:t>
                  </w:r>
                </w:p>
              </w:tc>
              <w:tc>
                <w:tcPr>
                  <w:tcW w:w="490"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3.9</w:t>
                  </w:r>
                </w:p>
              </w:tc>
              <w:tc>
                <w:tcPr>
                  <w:tcW w:w="398"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17.7</w:t>
                  </w:r>
                </w:p>
              </w:tc>
              <w:tc>
                <w:tcPr>
                  <w:tcW w:w="551"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0.198</w:t>
                  </w:r>
                </w:p>
              </w:tc>
              <w:tc>
                <w:tcPr>
                  <w:tcW w:w="516"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0.098</w:t>
                  </w:r>
                </w:p>
              </w:tc>
              <w:tc>
                <w:tcPr>
                  <w:tcW w:w="735" w:type="pct"/>
                  <w:tcMar>
                    <w:left w:w="57" w:type="dxa"/>
                    <w:right w:w="57" w:type="dxa"/>
                  </w:tcMar>
                  <w:vAlign w:val="center"/>
                </w:tcPr>
                <w:p>
                  <w:pPr>
                    <w:pStyle w:val="91"/>
                    <w:spacing w:line="240" w:lineRule="auto"/>
                    <w:ind w:firstLine="0" w:firstLineChars="0"/>
                    <w:jc w:val="center"/>
                    <w:rPr>
                      <w:rFonts w:eastAsiaTheme="minorEastAsia"/>
                      <w:sz w:val="21"/>
                      <w:szCs w:val="21"/>
                    </w:rPr>
                  </w:pPr>
                  <w:r>
                    <w:rPr>
                      <w:rFonts w:eastAsiaTheme="minorEastAsia"/>
                      <w:sz w:val="21"/>
                      <w:szCs w:val="21"/>
                    </w:rPr>
                    <w:t>/</w:t>
                  </w:r>
                </w:p>
              </w:tc>
            </w:tr>
          </w:tbl>
          <w:p>
            <w:pPr>
              <w:pStyle w:val="91"/>
              <w:spacing w:before="120" w:beforeLines="50"/>
              <w:ind w:right="105" w:rightChars="50" w:firstLine="482"/>
              <w:rPr>
                <w:rFonts w:eastAsiaTheme="minorEastAsia"/>
                <w:b/>
                <w:bCs/>
              </w:rPr>
            </w:pPr>
            <w:r>
              <w:rPr>
                <w:rFonts w:eastAsiaTheme="minorEastAsia"/>
                <w:b/>
                <w:bCs/>
              </w:rPr>
              <w:t>由上表可知，郪江水质在2022年能够满足《地表水环境质量标准》（GB3838-2002）中的 III类水质标准，水质为良好。</w:t>
            </w:r>
          </w:p>
          <w:p>
            <w:pPr>
              <w:spacing w:line="360" w:lineRule="auto"/>
              <w:ind w:right="105" w:rightChars="50" w:firstLine="200"/>
              <w:rPr>
                <w:rFonts w:eastAsiaTheme="minorEastAsia"/>
                <w:b/>
                <w:bCs/>
                <w:sz w:val="24"/>
              </w:rPr>
            </w:pPr>
            <w:r>
              <w:rPr>
                <w:rFonts w:eastAsiaTheme="minorEastAsia"/>
                <w:b/>
                <w:bCs/>
                <w:sz w:val="24"/>
              </w:rPr>
              <w:t>3、声环境质量</w:t>
            </w:r>
          </w:p>
          <w:p>
            <w:pPr>
              <w:spacing w:line="360" w:lineRule="auto"/>
              <w:ind w:right="105" w:rightChars="50" w:firstLine="480" w:firstLineChars="200"/>
              <w:rPr>
                <w:rFonts w:eastAsiaTheme="minorEastAsia"/>
                <w:sz w:val="24"/>
              </w:rPr>
            </w:pPr>
            <w:r>
              <w:rPr>
                <w:rFonts w:eastAsiaTheme="minorEastAsia"/>
                <w:sz w:val="24"/>
              </w:rPr>
              <w:t>根据四川环华盛锦环境监测有限公司于2021年4月25日对原项目环境噪声现状进行监测</w:t>
            </w:r>
            <w:r>
              <w:rPr>
                <w:rFonts w:hint="eastAsia" w:eastAsiaTheme="minorEastAsia"/>
                <w:sz w:val="24"/>
              </w:rPr>
              <w:t>，监测期间项目未运行</w:t>
            </w:r>
            <w:r>
              <w:rPr>
                <w:rFonts w:eastAsiaTheme="minorEastAsia"/>
                <w:sz w:val="24"/>
              </w:rPr>
              <w:t>。在原项目周边共布置5个噪声监测点，监测点位设置情况及监测结果统计见下表：</w:t>
            </w:r>
          </w:p>
          <w:p>
            <w:pPr>
              <w:spacing w:line="360" w:lineRule="auto"/>
              <w:ind w:right="105" w:rightChars="50" w:firstLine="200"/>
              <w:jc w:val="center"/>
              <w:rPr>
                <w:rFonts w:eastAsiaTheme="minorEastAsia"/>
                <w:b/>
                <w:bCs/>
                <w:sz w:val="24"/>
              </w:rPr>
            </w:pPr>
            <w:r>
              <w:rPr>
                <w:rFonts w:eastAsiaTheme="minorEastAsia"/>
                <w:b/>
                <w:bCs/>
                <w:sz w:val="24"/>
              </w:rPr>
              <w:t>表3-6 声环境现状监测结果一览表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3140"/>
              <w:gridCol w:w="210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vMerge w:val="restart"/>
                  <w:shd w:val="clear" w:color="auto" w:fill="auto"/>
                  <w:vAlign w:val="center"/>
                </w:tcPr>
                <w:p>
                  <w:pPr>
                    <w:jc w:val="center"/>
                    <w:rPr>
                      <w:rFonts w:eastAsiaTheme="minorEastAsia"/>
                      <w:b/>
                      <w:bCs/>
                      <w:szCs w:val="21"/>
                    </w:rPr>
                  </w:pPr>
                  <w:r>
                    <w:rPr>
                      <w:rFonts w:eastAsiaTheme="minorEastAsia"/>
                      <w:b/>
                      <w:bCs/>
                      <w:szCs w:val="21"/>
                    </w:rPr>
                    <w:t>编号</w:t>
                  </w:r>
                </w:p>
              </w:tc>
              <w:tc>
                <w:tcPr>
                  <w:tcW w:w="1826" w:type="pct"/>
                  <w:vMerge w:val="restart"/>
                  <w:shd w:val="clear" w:color="auto" w:fill="auto"/>
                  <w:vAlign w:val="center"/>
                </w:tcPr>
                <w:p>
                  <w:pPr>
                    <w:jc w:val="center"/>
                    <w:rPr>
                      <w:rFonts w:eastAsiaTheme="minorEastAsia"/>
                      <w:b/>
                      <w:bCs/>
                      <w:szCs w:val="21"/>
                    </w:rPr>
                  </w:pPr>
                  <w:r>
                    <w:rPr>
                      <w:rFonts w:eastAsiaTheme="minorEastAsia"/>
                      <w:b/>
                      <w:bCs/>
                      <w:szCs w:val="21"/>
                    </w:rPr>
                    <w:t>检测点位</w:t>
                  </w:r>
                </w:p>
              </w:tc>
              <w:tc>
                <w:tcPr>
                  <w:tcW w:w="2544" w:type="pct"/>
                  <w:gridSpan w:val="2"/>
                  <w:shd w:val="clear" w:color="auto" w:fill="auto"/>
                  <w:vAlign w:val="center"/>
                </w:tcPr>
                <w:p>
                  <w:pPr>
                    <w:jc w:val="center"/>
                    <w:rPr>
                      <w:rFonts w:eastAsiaTheme="minorEastAsia"/>
                      <w:b/>
                      <w:bCs/>
                      <w:szCs w:val="21"/>
                    </w:rPr>
                  </w:pPr>
                  <w:r>
                    <w:rPr>
                      <w:rFonts w:eastAsiaTheme="minorEastAsia"/>
                      <w:b/>
                      <w:bCs/>
                      <w:szCs w:val="21"/>
                    </w:rPr>
                    <w:t>检测结果2021.04.25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vMerge w:val="continue"/>
                  <w:shd w:val="clear" w:color="auto" w:fill="auto"/>
                  <w:vAlign w:val="center"/>
                </w:tcPr>
                <w:p>
                  <w:pPr>
                    <w:jc w:val="center"/>
                    <w:rPr>
                      <w:rFonts w:eastAsiaTheme="minorEastAsia"/>
                      <w:b/>
                      <w:bCs/>
                      <w:szCs w:val="21"/>
                    </w:rPr>
                  </w:pPr>
                </w:p>
              </w:tc>
              <w:tc>
                <w:tcPr>
                  <w:tcW w:w="1826" w:type="pct"/>
                  <w:vMerge w:val="continue"/>
                  <w:shd w:val="clear" w:color="auto" w:fill="auto"/>
                  <w:vAlign w:val="center"/>
                </w:tcPr>
                <w:p>
                  <w:pPr>
                    <w:jc w:val="center"/>
                    <w:rPr>
                      <w:rFonts w:eastAsiaTheme="minorEastAsia"/>
                      <w:b/>
                      <w:bCs/>
                      <w:szCs w:val="21"/>
                    </w:rPr>
                  </w:pPr>
                </w:p>
              </w:tc>
              <w:tc>
                <w:tcPr>
                  <w:tcW w:w="1225" w:type="pct"/>
                  <w:shd w:val="clear" w:color="auto" w:fill="auto"/>
                  <w:vAlign w:val="center"/>
                </w:tcPr>
                <w:p>
                  <w:pPr>
                    <w:jc w:val="center"/>
                    <w:rPr>
                      <w:rFonts w:eastAsiaTheme="minorEastAsia"/>
                      <w:b/>
                      <w:bCs/>
                      <w:szCs w:val="21"/>
                    </w:rPr>
                  </w:pPr>
                  <w:r>
                    <w:rPr>
                      <w:rFonts w:eastAsiaTheme="minorEastAsia"/>
                      <w:b/>
                      <w:bCs/>
                      <w:szCs w:val="21"/>
                    </w:rPr>
                    <w:t>昼间</w:t>
                  </w:r>
                </w:p>
              </w:tc>
              <w:tc>
                <w:tcPr>
                  <w:tcW w:w="1319" w:type="pct"/>
                  <w:shd w:val="clear" w:color="auto" w:fill="auto"/>
                  <w:vAlign w:val="center"/>
                </w:tcPr>
                <w:p>
                  <w:pPr>
                    <w:jc w:val="center"/>
                    <w:rPr>
                      <w:rFonts w:eastAsiaTheme="minorEastAsia"/>
                      <w:b/>
                      <w:bCs/>
                      <w:szCs w:val="21"/>
                    </w:rPr>
                  </w:pPr>
                  <w:r>
                    <w:rPr>
                      <w:rFonts w:eastAsiaTheme="minorEastAsia"/>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shd w:val="clear" w:color="auto" w:fill="auto"/>
                  <w:vAlign w:val="center"/>
                </w:tcPr>
                <w:p>
                  <w:pPr>
                    <w:jc w:val="center"/>
                    <w:rPr>
                      <w:rFonts w:eastAsiaTheme="minorEastAsia"/>
                      <w:szCs w:val="21"/>
                    </w:rPr>
                  </w:pPr>
                  <w:r>
                    <w:rPr>
                      <w:rFonts w:eastAsiaTheme="minorEastAsia"/>
                      <w:szCs w:val="21"/>
                    </w:rPr>
                    <w:t>1#</w:t>
                  </w:r>
                </w:p>
              </w:tc>
              <w:tc>
                <w:tcPr>
                  <w:tcW w:w="1826" w:type="pct"/>
                  <w:shd w:val="clear" w:color="auto" w:fill="auto"/>
                  <w:vAlign w:val="center"/>
                </w:tcPr>
                <w:p>
                  <w:pPr>
                    <w:jc w:val="center"/>
                    <w:rPr>
                      <w:rFonts w:eastAsiaTheme="minorEastAsia"/>
                      <w:szCs w:val="21"/>
                    </w:rPr>
                  </w:pPr>
                  <w:r>
                    <w:rPr>
                      <w:rFonts w:eastAsiaTheme="minorEastAsia"/>
                      <w:szCs w:val="21"/>
                    </w:rPr>
                    <w:t>原项目东厂界红线外14m</w:t>
                  </w:r>
                </w:p>
              </w:tc>
              <w:tc>
                <w:tcPr>
                  <w:tcW w:w="1225" w:type="pct"/>
                  <w:shd w:val="clear" w:color="auto" w:fill="auto"/>
                  <w:vAlign w:val="center"/>
                </w:tcPr>
                <w:p>
                  <w:pPr>
                    <w:jc w:val="center"/>
                    <w:rPr>
                      <w:rFonts w:eastAsiaTheme="minorEastAsia"/>
                      <w:szCs w:val="21"/>
                    </w:rPr>
                  </w:pPr>
                  <w:r>
                    <w:rPr>
                      <w:rFonts w:eastAsiaTheme="minorEastAsia"/>
                      <w:szCs w:val="21"/>
                    </w:rPr>
                    <w:t>55</w:t>
                  </w:r>
                </w:p>
              </w:tc>
              <w:tc>
                <w:tcPr>
                  <w:tcW w:w="1319" w:type="pct"/>
                  <w:shd w:val="clear" w:color="auto" w:fill="auto"/>
                  <w:vAlign w:val="center"/>
                </w:tcPr>
                <w:p>
                  <w:pPr>
                    <w:jc w:val="center"/>
                    <w:rPr>
                      <w:rFonts w:eastAsiaTheme="minorEastAsia"/>
                      <w:szCs w:val="21"/>
                    </w:rPr>
                  </w:pPr>
                  <w:r>
                    <w:rPr>
                      <w:rFonts w:eastAsiaTheme="minor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shd w:val="clear" w:color="auto" w:fill="auto"/>
                  <w:vAlign w:val="center"/>
                </w:tcPr>
                <w:p>
                  <w:pPr>
                    <w:jc w:val="center"/>
                    <w:rPr>
                      <w:rFonts w:eastAsiaTheme="minorEastAsia"/>
                      <w:szCs w:val="21"/>
                    </w:rPr>
                  </w:pPr>
                  <w:r>
                    <w:rPr>
                      <w:rFonts w:eastAsiaTheme="minorEastAsia"/>
                      <w:szCs w:val="21"/>
                    </w:rPr>
                    <w:t>2#</w:t>
                  </w:r>
                </w:p>
              </w:tc>
              <w:tc>
                <w:tcPr>
                  <w:tcW w:w="1826" w:type="pct"/>
                  <w:shd w:val="clear" w:color="auto" w:fill="auto"/>
                  <w:vAlign w:val="center"/>
                </w:tcPr>
                <w:p>
                  <w:pPr>
                    <w:jc w:val="center"/>
                    <w:rPr>
                      <w:rFonts w:eastAsiaTheme="minorEastAsia"/>
                      <w:szCs w:val="21"/>
                    </w:rPr>
                  </w:pPr>
                  <w:r>
                    <w:rPr>
                      <w:rFonts w:eastAsiaTheme="minorEastAsia"/>
                      <w:szCs w:val="21"/>
                    </w:rPr>
                    <w:t>原项目南厂界</w:t>
                  </w:r>
                </w:p>
              </w:tc>
              <w:tc>
                <w:tcPr>
                  <w:tcW w:w="1225" w:type="pct"/>
                  <w:shd w:val="clear" w:color="auto" w:fill="auto"/>
                  <w:vAlign w:val="center"/>
                </w:tcPr>
                <w:p>
                  <w:pPr>
                    <w:jc w:val="center"/>
                    <w:rPr>
                      <w:rFonts w:eastAsiaTheme="minorEastAsia"/>
                      <w:szCs w:val="21"/>
                    </w:rPr>
                  </w:pPr>
                  <w:r>
                    <w:rPr>
                      <w:rFonts w:eastAsiaTheme="minorEastAsia"/>
                      <w:szCs w:val="21"/>
                    </w:rPr>
                    <w:t>53</w:t>
                  </w:r>
                </w:p>
              </w:tc>
              <w:tc>
                <w:tcPr>
                  <w:tcW w:w="1319" w:type="pct"/>
                  <w:shd w:val="clear" w:color="auto" w:fill="auto"/>
                  <w:vAlign w:val="center"/>
                </w:tcPr>
                <w:p>
                  <w:pPr>
                    <w:jc w:val="center"/>
                    <w:rPr>
                      <w:rFonts w:eastAsiaTheme="minorEastAsia"/>
                      <w:szCs w:val="21"/>
                    </w:rPr>
                  </w:pPr>
                  <w:r>
                    <w:rPr>
                      <w:rFonts w:eastAsiaTheme="minorEastAsia"/>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shd w:val="clear" w:color="auto" w:fill="auto"/>
                  <w:vAlign w:val="center"/>
                </w:tcPr>
                <w:p>
                  <w:pPr>
                    <w:jc w:val="center"/>
                    <w:rPr>
                      <w:rFonts w:eastAsiaTheme="minorEastAsia"/>
                      <w:szCs w:val="21"/>
                    </w:rPr>
                  </w:pPr>
                  <w:r>
                    <w:rPr>
                      <w:rFonts w:eastAsiaTheme="minorEastAsia"/>
                      <w:szCs w:val="21"/>
                    </w:rPr>
                    <w:t>3#</w:t>
                  </w:r>
                </w:p>
              </w:tc>
              <w:tc>
                <w:tcPr>
                  <w:tcW w:w="1826" w:type="pct"/>
                  <w:shd w:val="clear" w:color="auto" w:fill="auto"/>
                  <w:vAlign w:val="center"/>
                </w:tcPr>
                <w:p>
                  <w:pPr>
                    <w:jc w:val="center"/>
                    <w:rPr>
                      <w:rFonts w:eastAsiaTheme="minorEastAsia"/>
                      <w:szCs w:val="21"/>
                    </w:rPr>
                  </w:pPr>
                  <w:r>
                    <w:rPr>
                      <w:rFonts w:eastAsiaTheme="minorEastAsia"/>
                      <w:szCs w:val="21"/>
                    </w:rPr>
                    <w:t>原项目西厂界外30m</w:t>
                  </w:r>
                </w:p>
              </w:tc>
              <w:tc>
                <w:tcPr>
                  <w:tcW w:w="1225" w:type="pct"/>
                  <w:shd w:val="clear" w:color="auto" w:fill="auto"/>
                  <w:vAlign w:val="center"/>
                </w:tcPr>
                <w:p>
                  <w:pPr>
                    <w:jc w:val="center"/>
                    <w:rPr>
                      <w:rFonts w:eastAsiaTheme="minorEastAsia"/>
                      <w:szCs w:val="21"/>
                    </w:rPr>
                  </w:pPr>
                  <w:r>
                    <w:rPr>
                      <w:rFonts w:eastAsiaTheme="minorEastAsia"/>
                      <w:szCs w:val="21"/>
                    </w:rPr>
                    <w:t>51</w:t>
                  </w:r>
                </w:p>
              </w:tc>
              <w:tc>
                <w:tcPr>
                  <w:tcW w:w="1319" w:type="pct"/>
                  <w:shd w:val="clear" w:color="auto" w:fill="auto"/>
                  <w:vAlign w:val="center"/>
                </w:tcPr>
                <w:p>
                  <w:pPr>
                    <w:jc w:val="center"/>
                    <w:rPr>
                      <w:rFonts w:eastAsiaTheme="minorEastAsia"/>
                      <w:szCs w:val="21"/>
                    </w:rPr>
                  </w:pPr>
                  <w:r>
                    <w:rPr>
                      <w:rFonts w:eastAsiaTheme="minorEastAsia"/>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shd w:val="clear" w:color="auto" w:fill="auto"/>
                  <w:vAlign w:val="center"/>
                </w:tcPr>
                <w:p>
                  <w:pPr>
                    <w:jc w:val="center"/>
                    <w:rPr>
                      <w:rFonts w:eastAsiaTheme="minorEastAsia"/>
                      <w:szCs w:val="21"/>
                    </w:rPr>
                  </w:pPr>
                  <w:r>
                    <w:rPr>
                      <w:rFonts w:eastAsiaTheme="minorEastAsia"/>
                      <w:szCs w:val="21"/>
                    </w:rPr>
                    <w:t>4#</w:t>
                  </w:r>
                </w:p>
              </w:tc>
              <w:tc>
                <w:tcPr>
                  <w:tcW w:w="1826" w:type="pct"/>
                  <w:shd w:val="clear" w:color="auto" w:fill="auto"/>
                  <w:vAlign w:val="center"/>
                </w:tcPr>
                <w:p>
                  <w:pPr>
                    <w:jc w:val="center"/>
                    <w:rPr>
                      <w:rFonts w:eastAsiaTheme="minorEastAsia"/>
                      <w:szCs w:val="21"/>
                    </w:rPr>
                  </w:pPr>
                  <w:r>
                    <w:rPr>
                      <w:rFonts w:eastAsiaTheme="minorEastAsia"/>
                      <w:szCs w:val="21"/>
                    </w:rPr>
                    <w:t>原项目北场界</w:t>
                  </w:r>
                </w:p>
              </w:tc>
              <w:tc>
                <w:tcPr>
                  <w:tcW w:w="1225" w:type="pct"/>
                  <w:shd w:val="clear" w:color="auto" w:fill="auto"/>
                  <w:vAlign w:val="center"/>
                </w:tcPr>
                <w:p>
                  <w:pPr>
                    <w:jc w:val="center"/>
                    <w:rPr>
                      <w:rFonts w:eastAsiaTheme="minorEastAsia"/>
                      <w:szCs w:val="21"/>
                    </w:rPr>
                  </w:pPr>
                  <w:r>
                    <w:rPr>
                      <w:rFonts w:eastAsiaTheme="minorEastAsia"/>
                      <w:szCs w:val="21"/>
                    </w:rPr>
                    <w:t>52</w:t>
                  </w:r>
                </w:p>
              </w:tc>
              <w:tc>
                <w:tcPr>
                  <w:tcW w:w="1319" w:type="pct"/>
                  <w:shd w:val="clear" w:color="auto" w:fill="auto"/>
                  <w:vAlign w:val="center"/>
                </w:tcPr>
                <w:p>
                  <w:pPr>
                    <w:jc w:val="center"/>
                    <w:rPr>
                      <w:rFonts w:eastAsiaTheme="minorEastAsia"/>
                      <w:szCs w:val="21"/>
                    </w:rPr>
                  </w:pPr>
                  <w:r>
                    <w:rPr>
                      <w:rFonts w:eastAsiaTheme="minorEastAsia"/>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0" w:type="pct"/>
                  <w:shd w:val="clear" w:color="auto" w:fill="auto"/>
                  <w:vAlign w:val="center"/>
                </w:tcPr>
                <w:p>
                  <w:pPr>
                    <w:jc w:val="center"/>
                    <w:rPr>
                      <w:rFonts w:eastAsiaTheme="minorEastAsia"/>
                      <w:szCs w:val="21"/>
                    </w:rPr>
                  </w:pPr>
                  <w:r>
                    <w:rPr>
                      <w:rFonts w:eastAsiaTheme="minorEastAsia"/>
                      <w:szCs w:val="21"/>
                    </w:rPr>
                    <w:t>5#</w:t>
                  </w:r>
                </w:p>
              </w:tc>
              <w:tc>
                <w:tcPr>
                  <w:tcW w:w="1826" w:type="pct"/>
                  <w:shd w:val="clear" w:color="auto" w:fill="auto"/>
                  <w:vAlign w:val="center"/>
                </w:tcPr>
                <w:p>
                  <w:pPr>
                    <w:jc w:val="center"/>
                    <w:rPr>
                      <w:rFonts w:eastAsiaTheme="minorEastAsia"/>
                      <w:szCs w:val="21"/>
                    </w:rPr>
                  </w:pPr>
                  <w:r>
                    <w:rPr>
                      <w:rFonts w:eastAsiaTheme="minorEastAsia"/>
                      <w:szCs w:val="21"/>
                    </w:rPr>
                    <w:t>虎泉村村委会（东南侧55m）</w:t>
                  </w:r>
                </w:p>
              </w:tc>
              <w:tc>
                <w:tcPr>
                  <w:tcW w:w="1225" w:type="pct"/>
                  <w:shd w:val="clear" w:color="auto" w:fill="auto"/>
                  <w:vAlign w:val="center"/>
                </w:tcPr>
                <w:p>
                  <w:pPr>
                    <w:jc w:val="center"/>
                    <w:rPr>
                      <w:rFonts w:eastAsiaTheme="minorEastAsia"/>
                      <w:szCs w:val="21"/>
                    </w:rPr>
                  </w:pPr>
                  <w:r>
                    <w:rPr>
                      <w:rFonts w:eastAsiaTheme="minorEastAsia"/>
                      <w:szCs w:val="21"/>
                    </w:rPr>
                    <w:t>52</w:t>
                  </w:r>
                </w:p>
              </w:tc>
              <w:tc>
                <w:tcPr>
                  <w:tcW w:w="1319" w:type="pct"/>
                  <w:shd w:val="clear" w:color="auto" w:fill="auto"/>
                  <w:vAlign w:val="center"/>
                </w:tcPr>
                <w:p>
                  <w:pPr>
                    <w:jc w:val="center"/>
                    <w:rPr>
                      <w:rFonts w:eastAsiaTheme="minorEastAsia"/>
                      <w:szCs w:val="21"/>
                    </w:rPr>
                  </w:pPr>
                  <w:r>
                    <w:rPr>
                      <w:rFonts w:eastAsiaTheme="minorEastAsia"/>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pct"/>
                  <w:gridSpan w:val="2"/>
                  <w:shd w:val="clear" w:color="auto" w:fill="auto"/>
                  <w:vAlign w:val="center"/>
                </w:tcPr>
                <w:p>
                  <w:pPr>
                    <w:jc w:val="center"/>
                    <w:rPr>
                      <w:rFonts w:eastAsiaTheme="minorEastAsia"/>
                      <w:szCs w:val="21"/>
                    </w:rPr>
                  </w:pPr>
                  <w:r>
                    <w:rPr>
                      <w:rFonts w:eastAsiaTheme="minorEastAsia"/>
                      <w:szCs w:val="21"/>
                    </w:rPr>
                    <w:t>GB12348-2008 2类</w:t>
                  </w:r>
                </w:p>
              </w:tc>
              <w:tc>
                <w:tcPr>
                  <w:tcW w:w="1225" w:type="pct"/>
                  <w:shd w:val="clear" w:color="auto" w:fill="auto"/>
                  <w:vAlign w:val="center"/>
                </w:tcPr>
                <w:p>
                  <w:pPr>
                    <w:jc w:val="center"/>
                    <w:rPr>
                      <w:rFonts w:eastAsiaTheme="minorEastAsia"/>
                      <w:szCs w:val="21"/>
                    </w:rPr>
                  </w:pPr>
                  <w:r>
                    <w:rPr>
                      <w:rFonts w:eastAsiaTheme="minorEastAsia"/>
                      <w:szCs w:val="21"/>
                    </w:rPr>
                    <w:t>60</w:t>
                  </w:r>
                </w:p>
              </w:tc>
              <w:tc>
                <w:tcPr>
                  <w:tcW w:w="1319" w:type="pct"/>
                  <w:shd w:val="clear" w:color="auto" w:fill="auto"/>
                  <w:vAlign w:val="center"/>
                </w:tcPr>
                <w:p>
                  <w:pPr>
                    <w:jc w:val="center"/>
                    <w:rPr>
                      <w:rFonts w:eastAsiaTheme="minorEastAsia"/>
                      <w:szCs w:val="21"/>
                    </w:rPr>
                  </w:pPr>
                  <w:r>
                    <w:rPr>
                      <w:rFonts w:eastAsiaTheme="minorEastAsia"/>
                      <w:szCs w:val="21"/>
                    </w:rPr>
                    <w:t>50</w:t>
                  </w:r>
                </w:p>
              </w:tc>
            </w:tr>
          </w:tbl>
          <w:p>
            <w:pPr>
              <w:spacing w:before="120" w:beforeLines="50" w:line="360" w:lineRule="auto"/>
              <w:ind w:right="105" w:rightChars="50" w:firstLine="482" w:firstLineChars="200"/>
              <w:rPr>
                <w:rFonts w:eastAsiaTheme="minorEastAsia"/>
                <w:b/>
                <w:bCs/>
                <w:sz w:val="24"/>
              </w:rPr>
            </w:pPr>
            <w:r>
              <w:rPr>
                <w:rFonts w:eastAsiaTheme="minorEastAsia"/>
                <w:b/>
                <w:bCs/>
                <w:sz w:val="24"/>
              </w:rPr>
              <w:t>由上表监测结果可知，项目所在区域声环境监测点昼、夜间噪声均满足《声环境质量标准》（GB3096-2008）中2类标准要求，项目区域声环境良好。</w:t>
            </w:r>
          </w:p>
          <w:p>
            <w:pPr>
              <w:spacing w:line="360" w:lineRule="auto"/>
              <w:ind w:right="105" w:rightChars="50" w:firstLine="200"/>
              <w:rPr>
                <w:rFonts w:eastAsiaTheme="minorEastAsia"/>
                <w:b/>
                <w:bCs/>
                <w:sz w:val="24"/>
              </w:rPr>
            </w:pPr>
            <w:r>
              <w:rPr>
                <w:rFonts w:eastAsiaTheme="minorEastAsia"/>
                <w:b/>
                <w:bCs/>
                <w:sz w:val="24"/>
              </w:rPr>
              <w:t>4、生态环境</w:t>
            </w:r>
          </w:p>
          <w:p>
            <w:pPr>
              <w:spacing w:line="360" w:lineRule="auto"/>
              <w:ind w:right="105" w:rightChars="50" w:firstLine="480" w:firstLineChars="200"/>
              <w:rPr>
                <w:rFonts w:eastAsiaTheme="minorEastAsia"/>
                <w:sz w:val="24"/>
              </w:rPr>
            </w:pPr>
            <w:r>
              <w:rPr>
                <w:rFonts w:eastAsiaTheme="minorEastAsia"/>
                <w:sz w:val="24"/>
              </w:rPr>
              <w:t>经本次评价现场踏勘调查和资料收集分析，项目现状用地区域为砖厂已占用地，现有的生态系统结构基本上与人类活动相适应，生物多样性程度低，区内无大型野生动物及珍稀植物，无特殊文物保护单位；项目周边植被基本为自然植被，不涉及自然保护</w:t>
            </w:r>
            <w:r>
              <w:rPr>
                <w:rFonts w:hint="eastAsia" w:eastAsiaTheme="minorEastAsia"/>
                <w:sz w:val="24"/>
                <w:lang w:eastAsia="zh-CN"/>
              </w:rPr>
              <w:t>区</w:t>
            </w:r>
            <w:r>
              <w:rPr>
                <w:rFonts w:eastAsiaTheme="minorEastAsia"/>
                <w:sz w:val="24"/>
              </w:rPr>
              <w:t>、风景名胜区等生态敏感区域。</w:t>
            </w:r>
          </w:p>
          <w:p>
            <w:pPr>
              <w:spacing w:line="360" w:lineRule="auto"/>
              <w:ind w:right="105" w:rightChars="50" w:firstLine="482" w:firstLineChars="200"/>
              <w:rPr>
                <w:rFonts w:eastAsiaTheme="minorEastAsia"/>
                <w:b/>
                <w:sz w:val="24"/>
              </w:rPr>
            </w:pPr>
            <w:r>
              <w:rPr>
                <w:rFonts w:eastAsiaTheme="minorEastAsia"/>
                <w:b/>
                <w:sz w:val="24"/>
              </w:rPr>
              <w:t>5</w:t>
            </w:r>
            <w:r>
              <w:rPr>
                <w:rFonts w:eastAsiaTheme="minorEastAsia"/>
                <w:b/>
                <w:bCs/>
                <w:sz w:val="24"/>
              </w:rPr>
              <w:t>、</w:t>
            </w:r>
            <w:r>
              <w:rPr>
                <w:rFonts w:eastAsiaTheme="minorEastAsia"/>
                <w:b/>
                <w:sz w:val="24"/>
              </w:rPr>
              <w:t>地下水环境</w:t>
            </w:r>
          </w:p>
          <w:p>
            <w:pPr>
              <w:spacing w:line="360" w:lineRule="auto"/>
              <w:ind w:right="105" w:rightChars="50" w:firstLine="480" w:firstLineChars="200"/>
              <w:rPr>
                <w:rFonts w:eastAsiaTheme="minorEastAsia"/>
                <w:sz w:val="24"/>
              </w:rPr>
            </w:pPr>
            <w:r>
              <w:rPr>
                <w:rFonts w:eastAsiaTheme="minorEastAsia"/>
                <w:sz w:val="24"/>
              </w:rPr>
              <w:t>根据工程分析，</w:t>
            </w:r>
            <w:r>
              <w:rPr>
                <w:rFonts w:hint="eastAsia" w:eastAsiaTheme="minorEastAsia"/>
                <w:sz w:val="24"/>
              </w:rPr>
              <w:t>本项目对危废间采取重点防渗，使其渗透系数K≤10</w:t>
            </w:r>
            <w:r>
              <w:rPr>
                <w:rFonts w:hint="eastAsia" w:eastAsiaTheme="minorEastAsia"/>
                <w:sz w:val="24"/>
                <w:vertAlign w:val="superscript"/>
              </w:rPr>
              <w:t>-</w:t>
            </w:r>
            <w:r>
              <w:rPr>
                <w:rFonts w:eastAsiaTheme="minorEastAsia"/>
                <w:sz w:val="24"/>
                <w:vertAlign w:val="superscript"/>
              </w:rPr>
              <w:t>10</w:t>
            </w:r>
            <w:r>
              <w:rPr>
                <w:rFonts w:hint="eastAsia" w:eastAsiaTheme="minorEastAsia"/>
                <w:sz w:val="24"/>
              </w:rPr>
              <w:t>cm/s对沉淀池、冲洗水导流沟及生产车间其他区域等进行一般防渗，使其渗透系数K≤10</w:t>
            </w:r>
            <w:r>
              <w:rPr>
                <w:rFonts w:hint="eastAsia" w:eastAsiaTheme="minorEastAsia"/>
                <w:sz w:val="24"/>
                <w:vertAlign w:val="superscript"/>
              </w:rPr>
              <w:t>-7</w:t>
            </w:r>
            <w:r>
              <w:rPr>
                <w:rFonts w:hint="eastAsia" w:eastAsiaTheme="minorEastAsia"/>
                <w:sz w:val="24"/>
              </w:rPr>
              <w:t>cm/s，确保液态物料不渗漏，故</w:t>
            </w:r>
            <w:r>
              <w:rPr>
                <w:rFonts w:eastAsiaTheme="minorEastAsia"/>
                <w:sz w:val="24"/>
              </w:rPr>
              <w:t>本项目不存在地下水环境污染途径，故不开展地下水的环境质量现状调查。</w:t>
            </w:r>
          </w:p>
          <w:p>
            <w:pPr>
              <w:spacing w:line="360" w:lineRule="auto"/>
              <w:ind w:right="105" w:rightChars="50" w:firstLine="482" w:firstLineChars="200"/>
              <w:rPr>
                <w:rFonts w:eastAsiaTheme="minorEastAsia"/>
                <w:b/>
                <w:sz w:val="24"/>
              </w:rPr>
            </w:pPr>
            <w:r>
              <w:rPr>
                <w:rFonts w:eastAsiaTheme="minorEastAsia"/>
                <w:b/>
                <w:sz w:val="24"/>
              </w:rPr>
              <w:t>6</w:t>
            </w:r>
            <w:r>
              <w:rPr>
                <w:rFonts w:eastAsiaTheme="minorEastAsia"/>
                <w:b/>
                <w:bCs/>
                <w:sz w:val="24"/>
              </w:rPr>
              <w:t>、</w:t>
            </w:r>
            <w:r>
              <w:rPr>
                <w:rFonts w:eastAsiaTheme="minorEastAsia"/>
                <w:b/>
                <w:sz w:val="24"/>
              </w:rPr>
              <w:t>土壤环境</w:t>
            </w:r>
          </w:p>
          <w:p>
            <w:pPr>
              <w:spacing w:line="360" w:lineRule="auto"/>
              <w:ind w:firstLine="480" w:firstLineChars="200"/>
              <w:rPr>
                <w:sz w:val="24"/>
              </w:rPr>
            </w:pPr>
            <w:r>
              <w:rPr>
                <w:rFonts w:eastAsiaTheme="minorEastAsia"/>
                <w:sz w:val="24"/>
              </w:rPr>
              <w:t>根据工程分析，本项目</w:t>
            </w:r>
            <w:r>
              <w:rPr>
                <w:rFonts w:hint="eastAsia" w:eastAsiaTheme="minorEastAsia"/>
                <w:sz w:val="24"/>
              </w:rPr>
              <w:t>产生的粉尘具有土壤的污染途径</w:t>
            </w:r>
            <w:r>
              <w:rPr>
                <w:rFonts w:eastAsiaTheme="minorEastAsia"/>
                <w:sz w:val="24"/>
              </w:rPr>
              <w:t>，故</w:t>
            </w:r>
            <w:r>
              <w:rPr>
                <w:rFonts w:hint="eastAsia" w:eastAsiaTheme="minorEastAsia"/>
                <w:sz w:val="24"/>
              </w:rPr>
              <w:t>本次环评委托</w:t>
            </w:r>
            <w:r>
              <w:rPr>
                <w:sz w:val="24"/>
              </w:rPr>
              <w:t>四川海德汇环保科技有限公司</w:t>
            </w:r>
            <w:r>
              <w:rPr>
                <w:rFonts w:hint="eastAsia" w:eastAsiaTheme="minorEastAsia"/>
                <w:sz w:val="24"/>
              </w:rPr>
              <w:t>在项目东侧居委会附近</w:t>
            </w:r>
            <w:r>
              <w:rPr>
                <w:rFonts w:hint="eastAsia" w:ascii="宋体" w:hAnsi="宋体" w:cs="宋体"/>
                <w:kern w:val="21"/>
                <w:sz w:val="24"/>
              </w:rPr>
              <w:t>开展了现状调查以留作背景值。</w:t>
            </w:r>
          </w:p>
          <w:p>
            <w:pPr>
              <w:ind w:firstLine="316" w:firstLineChars="150"/>
              <w:jc w:val="center"/>
              <w:rPr>
                <w:rFonts w:eastAsiaTheme="minorEastAsia"/>
                <w:b/>
              </w:rPr>
            </w:pPr>
            <w:r>
              <w:rPr>
                <w:rFonts w:eastAsiaTheme="minorEastAsia"/>
                <w:b/>
              </w:rPr>
              <w:t>表3-7</w:t>
            </w:r>
            <w:r>
              <w:rPr>
                <w:rFonts w:hint="eastAsia" w:eastAsiaTheme="minorEastAsia"/>
                <w:b/>
              </w:rPr>
              <w:t>土壤环境现状</w:t>
            </w:r>
            <w:r>
              <w:rPr>
                <w:rFonts w:eastAsiaTheme="minorEastAsia"/>
                <w:b/>
              </w:rPr>
              <w:t>监测结果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7"/>
              <w:gridCol w:w="2289"/>
              <w:gridCol w:w="14"/>
              <w:gridCol w:w="1684"/>
              <w:gridCol w:w="22"/>
              <w:gridCol w:w="1145"/>
              <w:gridCol w:w="21"/>
              <w:gridCol w:w="1985"/>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567" w:hRule="atLeast"/>
                <w:tblHeader/>
                <w:jc w:val="center"/>
              </w:trPr>
              <w:tc>
                <w:tcPr>
                  <w:tcW w:w="816" w:type="pct"/>
                  <w:vAlign w:val="center"/>
                </w:tcPr>
                <w:p>
                  <w:pPr>
                    <w:jc w:val="center"/>
                    <w:rPr>
                      <w:szCs w:val="21"/>
                    </w:rPr>
                  </w:pPr>
                  <w:r>
                    <w:rPr>
                      <w:rFonts w:hint="eastAsia"/>
                      <w:szCs w:val="21"/>
                    </w:rPr>
                    <w:t>点位编号</w:t>
                  </w:r>
                </w:p>
              </w:tc>
              <w:tc>
                <w:tcPr>
                  <w:tcW w:w="1335" w:type="pct"/>
                  <w:gridSpan w:val="2"/>
                  <w:vAlign w:val="center"/>
                </w:tcPr>
                <w:p>
                  <w:pPr>
                    <w:jc w:val="center"/>
                    <w:rPr>
                      <w:szCs w:val="21"/>
                    </w:rPr>
                  </w:pPr>
                  <w:r>
                    <w:rPr>
                      <w:rFonts w:hint="eastAsia"/>
                      <w:szCs w:val="21"/>
                    </w:rPr>
                    <w:t>检测点位</w:t>
                  </w:r>
                </w:p>
              </w:tc>
              <w:tc>
                <w:tcPr>
                  <w:tcW w:w="987" w:type="pct"/>
                  <w:gridSpan w:val="2"/>
                  <w:vAlign w:val="center"/>
                </w:tcPr>
                <w:p>
                  <w:pPr>
                    <w:jc w:val="center"/>
                    <w:rPr>
                      <w:szCs w:val="21"/>
                    </w:rPr>
                  </w:pPr>
                  <w:r>
                    <w:rPr>
                      <w:szCs w:val="21"/>
                    </w:rPr>
                    <w:t>检测</w:t>
                  </w:r>
                  <w:r>
                    <w:rPr>
                      <w:rFonts w:hint="eastAsia"/>
                      <w:szCs w:val="21"/>
                    </w:rPr>
                    <w:t>项目</w:t>
                  </w:r>
                </w:p>
              </w:tc>
              <w:tc>
                <w:tcPr>
                  <w:tcW w:w="679" w:type="pct"/>
                  <w:gridSpan w:val="2"/>
                  <w:vAlign w:val="center"/>
                </w:tcPr>
                <w:p>
                  <w:pPr>
                    <w:jc w:val="center"/>
                    <w:rPr>
                      <w:szCs w:val="21"/>
                    </w:rPr>
                  </w:pPr>
                  <w:r>
                    <w:rPr>
                      <w:rFonts w:hint="eastAsia"/>
                      <w:szCs w:val="21"/>
                    </w:rPr>
                    <w:t>单位</w:t>
                  </w:r>
                </w:p>
              </w:tc>
              <w:tc>
                <w:tcPr>
                  <w:tcW w:w="1166" w:type="pct"/>
                  <w:gridSpan w:val="2"/>
                  <w:vAlign w:val="center"/>
                </w:tcPr>
                <w:p>
                  <w:pPr>
                    <w:jc w:val="center"/>
                    <w:rPr>
                      <w:szCs w:val="21"/>
                    </w:rPr>
                  </w:pPr>
                  <w:r>
                    <w:rPr>
                      <w:rFonts w:hint="eastAsia"/>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restart"/>
                  <w:vAlign w:val="center"/>
                </w:tcPr>
                <w:p>
                  <w:pPr>
                    <w:jc w:val="center"/>
                    <w:rPr>
                      <w:szCs w:val="21"/>
                    </w:rPr>
                  </w:pPr>
                  <w:r>
                    <w:rPr>
                      <w:rFonts w:hint="eastAsia"/>
                      <w:szCs w:val="21"/>
                    </w:rPr>
                    <w:t>■</w:t>
                  </w:r>
                  <w:r>
                    <w:rPr>
                      <w:szCs w:val="21"/>
                    </w:rPr>
                    <w:t>1</w:t>
                  </w:r>
                  <w:r>
                    <w:rPr>
                      <w:rFonts w:hint="eastAsia"/>
                      <w:szCs w:val="21"/>
                    </w:rPr>
                    <w:t>#</w:t>
                  </w:r>
                </w:p>
              </w:tc>
              <w:tc>
                <w:tcPr>
                  <w:tcW w:w="1335" w:type="pct"/>
                  <w:gridSpan w:val="2"/>
                  <w:vMerge w:val="restart"/>
                  <w:vAlign w:val="center"/>
                </w:tcPr>
                <w:p>
                  <w:pPr>
                    <w:pStyle w:val="91"/>
                    <w:adjustRightInd/>
                    <w:snapToGrid/>
                    <w:spacing w:line="240" w:lineRule="auto"/>
                    <w:ind w:firstLine="420"/>
                    <w:rPr>
                      <w:sz w:val="21"/>
                      <w:szCs w:val="21"/>
                    </w:rPr>
                  </w:pPr>
                  <w:r>
                    <w:rPr>
                      <w:rFonts w:hint="eastAsia"/>
                      <w:sz w:val="21"/>
                      <w:szCs w:val="21"/>
                    </w:rPr>
                    <w:t>居委会处表层样</w:t>
                  </w:r>
                </w:p>
              </w:tc>
              <w:tc>
                <w:tcPr>
                  <w:tcW w:w="987" w:type="pct"/>
                  <w:gridSpan w:val="2"/>
                  <w:vAlign w:val="center"/>
                </w:tcPr>
                <w:p>
                  <w:pPr>
                    <w:autoSpaceDE w:val="0"/>
                    <w:autoSpaceDN w:val="0"/>
                    <w:adjustRightInd w:val="0"/>
                    <w:jc w:val="center"/>
                    <w:rPr>
                      <w:szCs w:val="21"/>
                    </w:rPr>
                  </w:pPr>
                  <w:r>
                    <w:rPr>
                      <w:kern w:val="0"/>
                      <w:szCs w:val="21"/>
                    </w:rPr>
                    <w:t>砷</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汞</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六价铬</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铜</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铅</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镍</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autoSpaceDE w:val="0"/>
                    <w:autoSpaceDN w:val="0"/>
                    <w:adjustRightInd w:val="0"/>
                    <w:jc w:val="center"/>
                    <w:rPr>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镉</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pStyle w:val="112"/>
                    <w:snapToGrid w:val="0"/>
                    <w:spacing w:before="0" w:after="0"/>
                    <w:rPr>
                      <w:rFonts w:cs="Times New Roman"/>
                      <w:sz w:val="21"/>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氯甲烷</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pStyle w:val="112"/>
                    <w:snapToGrid w:val="0"/>
                    <w:spacing w:before="0" w:after="0"/>
                    <w:rPr>
                      <w:rFonts w:cs="Times New Roman"/>
                      <w:sz w:val="21"/>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氯仿</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454" w:hRule="atLeast"/>
                <w:jc w:val="center"/>
              </w:trPr>
              <w:tc>
                <w:tcPr>
                  <w:tcW w:w="816" w:type="pct"/>
                  <w:vMerge w:val="continue"/>
                  <w:vAlign w:val="center"/>
                </w:tcPr>
                <w:p>
                  <w:pPr>
                    <w:pStyle w:val="112"/>
                    <w:snapToGrid w:val="0"/>
                    <w:spacing w:before="0" w:after="0"/>
                    <w:rPr>
                      <w:rFonts w:cs="Times New Roman"/>
                      <w:sz w:val="21"/>
                      <w:szCs w:val="21"/>
                    </w:rPr>
                  </w:pPr>
                </w:p>
              </w:tc>
              <w:tc>
                <w:tcPr>
                  <w:tcW w:w="1335" w:type="pct"/>
                  <w:gridSpan w:val="2"/>
                  <w:vMerge w:val="continue"/>
                  <w:vAlign w:val="center"/>
                </w:tcPr>
                <w:p>
                  <w:pPr>
                    <w:snapToGrid w:val="0"/>
                    <w:jc w:val="center"/>
                    <w:rPr>
                      <w:szCs w:val="21"/>
                    </w:rPr>
                  </w:pPr>
                </w:p>
              </w:tc>
              <w:tc>
                <w:tcPr>
                  <w:tcW w:w="987" w:type="pct"/>
                  <w:gridSpan w:val="2"/>
                  <w:vAlign w:val="center"/>
                </w:tcPr>
                <w:p>
                  <w:pPr>
                    <w:autoSpaceDE w:val="0"/>
                    <w:autoSpaceDN w:val="0"/>
                    <w:adjustRightInd w:val="0"/>
                    <w:jc w:val="center"/>
                    <w:rPr>
                      <w:szCs w:val="21"/>
                    </w:rPr>
                  </w:pPr>
                  <w:r>
                    <w:rPr>
                      <w:szCs w:val="21"/>
                    </w:rPr>
                    <w:t>四氯化碳</w:t>
                  </w:r>
                </w:p>
              </w:tc>
              <w:tc>
                <w:tcPr>
                  <w:tcW w:w="679" w:type="pct"/>
                  <w:gridSpan w:val="2"/>
                  <w:vAlign w:val="center"/>
                </w:tcPr>
                <w:p>
                  <w:pPr>
                    <w:snapToGrid w:val="0"/>
                    <w:jc w:val="center"/>
                    <w:rPr>
                      <w:szCs w:val="21"/>
                    </w:rPr>
                  </w:pPr>
                  <w:r>
                    <w:rPr>
                      <w:rFonts w:hint="eastAsia"/>
                      <w:szCs w:val="21"/>
                    </w:rPr>
                    <w:t>mg/kg</w:t>
                  </w:r>
                </w:p>
              </w:tc>
              <w:tc>
                <w:tcPr>
                  <w:tcW w:w="1166"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20" w:type="pct"/>
                  <w:gridSpan w:val="2"/>
                  <w:vAlign w:val="center"/>
                </w:tcPr>
                <w:p>
                  <w:pPr>
                    <w:jc w:val="center"/>
                    <w:rPr>
                      <w:szCs w:val="21"/>
                    </w:rPr>
                  </w:pPr>
                  <w:r>
                    <w:rPr>
                      <w:rFonts w:hint="eastAsia"/>
                      <w:szCs w:val="21"/>
                    </w:rPr>
                    <w:t>点位编号</w:t>
                  </w:r>
                </w:p>
              </w:tc>
              <w:tc>
                <w:tcPr>
                  <w:tcW w:w="1339" w:type="pct"/>
                  <w:gridSpan w:val="2"/>
                  <w:vAlign w:val="center"/>
                </w:tcPr>
                <w:p>
                  <w:pPr>
                    <w:jc w:val="center"/>
                    <w:rPr>
                      <w:szCs w:val="21"/>
                    </w:rPr>
                  </w:pPr>
                  <w:r>
                    <w:rPr>
                      <w:rFonts w:hint="eastAsia"/>
                      <w:szCs w:val="21"/>
                    </w:rPr>
                    <w:t>检测点位</w:t>
                  </w:r>
                </w:p>
              </w:tc>
              <w:tc>
                <w:tcPr>
                  <w:tcW w:w="992" w:type="pct"/>
                  <w:gridSpan w:val="2"/>
                  <w:vAlign w:val="center"/>
                </w:tcPr>
                <w:p>
                  <w:pPr>
                    <w:jc w:val="center"/>
                    <w:rPr>
                      <w:szCs w:val="21"/>
                    </w:rPr>
                  </w:pPr>
                  <w:r>
                    <w:rPr>
                      <w:szCs w:val="21"/>
                    </w:rPr>
                    <w:t>检测</w:t>
                  </w:r>
                  <w:r>
                    <w:rPr>
                      <w:rFonts w:hint="eastAsia"/>
                      <w:szCs w:val="21"/>
                    </w:rPr>
                    <w:t>项目</w:t>
                  </w:r>
                </w:p>
              </w:tc>
              <w:tc>
                <w:tcPr>
                  <w:tcW w:w="678" w:type="pct"/>
                  <w:gridSpan w:val="2"/>
                  <w:vAlign w:val="center"/>
                </w:tcPr>
                <w:p>
                  <w:pPr>
                    <w:jc w:val="center"/>
                    <w:rPr>
                      <w:szCs w:val="21"/>
                    </w:rPr>
                  </w:pPr>
                  <w:r>
                    <w:rPr>
                      <w:rFonts w:hint="eastAsia"/>
                      <w:szCs w:val="21"/>
                    </w:rPr>
                    <w:t>单位</w:t>
                  </w:r>
                </w:p>
              </w:tc>
              <w:tc>
                <w:tcPr>
                  <w:tcW w:w="1171" w:type="pct"/>
                  <w:gridSpan w:val="2"/>
                  <w:vAlign w:val="center"/>
                </w:tcPr>
                <w:p>
                  <w:pPr>
                    <w:jc w:val="center"/>
                    <w:rPr>
                      <w:szCs w:val="21"/>
                    </w:rPr>
                  </w:pPr>
                  <w:r>
                    <w:rPr>
                      <w:rFonts w:hint="eastAsia"/>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restart"/>
                  <w:vAlign w:val="center"/>
                </w:tcPr>
                <w:p>
                  <w:pPr>
                    <w:jc w:val="center"/>
                    <w:rPr>
                      <w:szCs w:val="21"/>
                    </w:rPr>
                  </w:pPr>
                  <w:r>
                    <w:rPr>
                      <w:rFonts w:hint="eastAsia"/>
                      <w:szCs w:val="21"/>
                    </w:rPr>
                    <w:t>■</w:t>
                  </w:r>
                  <w:r>
                    <w:rPr>
                      <w:szCs w:val="21"/>
                    </w:rPr>
                    <w:t>1</w:t>
                  </w:r>
                  <w:r>
                    <w:rPr>
                      <w:rFonts w:hint="eastAsia"/>
                      <w:szCs w:val="21"/>
                    </w:rPr>
                    <w:t>#</w:t>
                  </w:r>
                </w:p>
              </w:tc>
              <w:tc>
                <w:tcPr>
                  <w:tcW w:w="1339" w:type="pct"/>
                  <w:gridSpan w:val="2"/>
                  <w:vMerge w:val="restart"/>
                  <w:vAlign w:val="center"/>
                </w:tcPr>
                <w:p>
                  <w:pPr>
                    <w:pStyle w:val="91"/>
                    <w:adjustRightInd/>
                    <w:snapToGrid/>
                    <w:spacing w:line="240" w:lineRule="auto"/>
                    <w:ind w:firstLine="420"/>
                    <w:jc w:val="center"/>
                    <w:rPr>
                      <w:sz w:val="21"/>
                      <w:szCs w:val="21"/>
                    </w:rPr>
                  </w:pPr>
                  <w:r>
                    <w:rPr>
                      <w:rFonts w:hint="eastAsia"/>
                      <w:sz w:val="21"/>
                      <w:szCs w:val="21"/>
                    </w:rPr>
                    <w:t>居委会处表层样</w:t>
                  </w:r>
                </w:p>
              </w:tc>
              <w:tc>
                <w:tcPr>
                  <w:tcW w:w="992" w:type="pct"/>
                  <w:gridSpan w:val="2"/>
                  <w:vAlign w:val="center"/>
                </w:tcPr>
                <w:p>
                  <w:pPr>
                    <w:autoSpaceDE w:val="0"/>
                    <w:autoSpaceDN w:val="0"/>
                    <w:adjustRightInd w:val="0"/>
                    <w:jc w:val="center"/>
                    <w:rPr>
                      <w:szCs w:val="21"/>
                    </w:rPr>
                  </w:pPr>
                  <w:r>
                    <w:rPr>
                      <w:szCs w:val="21"/>
                    </w:rPr>
                    <w:t>1,1-二氯乙烷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1,2-二氯乙烷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1,1-二氯乙烯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顺-1,2-二氯乙烯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反-1,2-二氯乙烯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二氯甲烷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1,2-二氯丙烷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1,1,1,2-四氯乙烷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1,1,2,2-四氯乙烷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四氯乙烯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1,1,1-三氯乙烷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1,1,2-三氯乙烷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三氯乙烯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1,2,3-三氯丙烷</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氯苯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1,2-二氯苯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1,4-二氯苯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乙苯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苯乙烯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甲苯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间/对二甲苯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邻二甲苯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苯胺*</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硝基苯*</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2-氯酚*</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20" w:type="pct"/>
                  <w:gridSpan w:val="2"/>
                  <w:vAlign w:val="center"/>
                </w:tcPr>
                <w:p>
                  <w:pPr>
                    <w:jc w:val="center"/>
                    <w:rPr>
                      <w:szCs w:val="21"/>
                    </w:rPr>
                  </w:pPr>
                  <w:r>
                    <w:rPr>
                      <w:rFonts w:hint="eastAsia"/>
                      <w:szCs w:val="21"/>
                    </w:rPr>
                    <w:t>点位编号</w:t>
                  </w:r>
                </w:p>
              </w:tc>
              <w:tc>
                <w:tcPr>
                  <w:tcW w:w="1339" w:type="pct"/>
                  <w:gridSpan w:val="2"/>
                  <w:vAlign w:val="center"/>
                </w:tcPr>
                <w:p>
                  <w:pPr>
                    <w:jc w:val="center"/>
                    <w:rPr>
                      <w:szCs w:val="21"/>
                    </w:rPr>
                  </w:pPr>
                  <w:r>
                    <w:rPr>
                      <w:rFonts w:hint="eastAsia"/>
                      <w:szCs w:val="21"/>
                    </w:rPr>
                    <w:t>检测点位</w:t>
                  </w:r>
                </w:p>
              </w:tc>
              <w:tc>
                <w:tcPr>
                  <w:tcW w:w="992" w:type="pct"/>
                  <w:gridSpan w:val="2"/>
                  <w:vAlign w:val="center"/>
                </w:tcPr>
                <w:p>
                  <w:pPr>
                    <w:jc w:val="center"/>
                    <w:rPr>
                      <w:szCs w:val="21"/>
                    </w:rPr>
                  </w:pPr>
                  <w:r>
                    <w:rPr>
                      <w:szCs w:val="21"/>
                    </w:rPr>
                    <w:t>检测</w:t>
                  </w:r>
                  <w:r>
                    <w:rPr>
                      <w:rFonts w:hint="eastAsia"/>
                      <w:szCs w:val="21"/>
                    </w:rPr>
                    <w:t>项目</w:t>
                  </w:r>
                </w:p>
              </w:tc>
              <w:tc>
                <w:tcPr>
                  <w:tcW w:w="678" w:type="pct"/>
                  <w:gridSpan w:val="2"/>
                  <w:vAlign w:val="center"/>
                </w:tcPr>
                <w:p>
                  <w:pPr>
                    <w:jc w:val="center"/>
                    <w:rPr>
                      <w:szCs w:val="21"/>
                    </w:rPr>
                  </w:pPr>
                  <w:r>
                    <w:rPr>
                      <w:rFonts w:hint="eastAsia"/>
                      <w:szCs w:val="21"/>
                    </w:rPr>
                    <w:t>单位</w:t>
                  </w:r>
                </w:p>
              </w:tc>
              <w:tc>
                <w:tcPr>
                  <w:tcW w:w="1171" w:type="pct"/>
                  <w:gridSpan w:val="2"/>
                  <w:vAlign w:val="center"/>
                </w:tcPr>
                <w:p>
                  <w:pPr>
                    <w:jc w:val="center"/>
                    <w:rPr>
                      <w:szCs w:val="21"/>
                    </w:rPr>
                  </w:pPr>
                  <w:r>
                    <w:rPr>
                      <w:rFonts w:hint="eastAsia"/>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restart"/>
                  <w:vAlign w:val="center"/>
                </w:tcPr>
                <w:p>
                  <w:pPr>
                    <w:jc w:val="center"/>
                    <w:rPr>
                      <w:szCs w:val="21"/>
                    </w:rPr>
                  </w:pPr>
                  <w:r>
                    <w:rPr>
                      <w:rFonts w:hint="eastAsia"/>
                      <w:szCs w:val="21"/>
                    </w:rPr>
                    <w:t>■</w:t>
                  </w:r>
                  <w:r>
                    <w:rPr>
                      <w:szCs w:val="21"/>
                    </w:rPr>
                    <w:t>1</w:t>
                  </w:r>
                  <w:r>
                    <w:rPr>
                      <w:rFonts w:hint="eastAsia"/>
                      <w:szCs w:val="21"/>
                    </w:rPr>
                    <w:t>#</w:t>
                  </w:r>
                </w:p>
              </w:tc>
              <w:tc>
                <w:tcPr>
                  <w:tcW w:w="1339" w:type="pct"/>
                  <w:gridSpan w:val="2"/>
                  <w:vMerge w:val="restart"/>
                  <w:vAlign w:val="center"/>
                </w:tcPr>
                <w:p>
                  <w:pPr>
                    <w:pStyle w:val="91"/>
                    <w:adjustRightInd/>
                    <w:snapToGrid/>
                    <w:spacing w:line="240" w:lineRule="auto"/>
                    <w:ind w:firstLine="420"/>
                    <w:jc w:val="center"/>
                    <w:rPr>
                      <w:sz w:val="21"/>
                      <w:szCs w:val="21"/>
                    </w:rPr>
                  </w:pPr>
                  <w:r>
                    <w:rPr>
                      <w:rFonts w:hint="eastAsia"/>
                      <w:sz w:val="21"/>
                      <w:szCs w:val="21"/>
                    </w:rPr>
                    <w:t>居委会处表层样</w:t>
                  </w:r>
                </w:p>
              </w:tc>
              <w:tc>
                <w:tcPr>
                  <w:tcW w:w="992" w:type="pct"/>
                  <w:gridSpan w:val="2"/>
                  <w:vAlign w:val="center"/>
                </w:tcPr>
                <w:p>
                  <w:pPr>
                    <w:autoSpaceDE w:val="0"/>
                    <w:autoSpaceDN w:val="0"/>
                    <w:adjustRightInd w:val="0"/>
                    <w:jc w:val="center"/>
                    <w:rPr>
                      <w:szCs w:val="21"/>
                    </w:rPr>
                  </w:pPr>
                  <w:r>
                    <w:rPr>
                      <w:szCs w:val="21"/>
                    </w:rPr>
                    <w:t>苯并[a]蒽*</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苯并[a]芘*</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苯并[b]荧蒽*</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autoSpaceDE w:val="0"/>
                    <w:autoSpaceDN w:val="0"/>
                    <w:adjustRightInd w:val="0"/>
                    <w:jc w:val="center"/>
                    <w:rPr>
                      <w:szCs w:val="21"/>
                    </w:rPr>
                  </w:pPr>
                  <w:r>
                    <w:rPr>
                      <w:szCs w:val="21"/>
                    </w:rPr>
                    <w:t>苯并[k]荧蒽*</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jc w:val="center"/>
                    <w:rPr>
                      <w:szCs w:val="21"/>
                    </w:rPr>
                  </w:pPr>
                  <w:r>
                    <w:rPr>
                      <w:szCs w:val="21"/>
                    </w:rPr>
                    <w:t>䓛*</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jc w:val="center"/>
                    <w:rPr>
                      <w:szCs w:val="21"/>
                    </w:rPr>
                  </w:pPr>
                  <w:r>
                    <w:rPr>
                      <w:szCs w:val="21"/>
                    </w:rPr>
                    <w:t>二苯并[a,h]蒽*</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autoSpaceDE w:val="0"/>
                    <w:autoSpaceDN w:val="0"/>
                    <w:adjustRightInd w:val="0"/>
                    <w:jc w:val="center"/>
                    <w:rPr>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jc w:val="center"/>
                    <w:rPr>
                      <w:szCs w:val="21"/>
                    </w:rPr>
                  </w:pPr>
                  <w:r>
                    <w:rPr>
                      <w:szCs w:val="21"/>
                    </w:rPr>
                    <w:t>茚并[1,2,3-cd]芘*</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pct"/>
                  <w:gridSpan w:val="2"/>
                  <w:vMerge w:val="continue"/>
                  <w:vAlign w:val="center"/>
                </w:tcPr>
                <w:p>
                  <w:pPr>
                    <w:pStyle w:val="112"/>
                    <w:snapToGrid w:val="0"/>
                    <w:spacing w:before="0" w:after="0"/>
                    <w:rPr>
                      <w:rFonts w:cs="Times New Roman"/>
                      <w:sz w:val="21"/>
                      <w:szCs w:val="21"/>
                    </w:rPr>
                  </w:pPr>
                </w:p>
              </w:tc>
              <w:tc>
                <w:tcPr>
                  <w:tcW w:w="1339" w:type="pct"/>
                  <w:gridSpan w:val="2"/>
                  <w:vMerge w:val="continue"/>
                  <w:vAlign w:val="center"/>
                </w:tcPr>
                <w:p>
                  <w:pPr>
                    <w:snapToGrid w:val="0"/>
                    <w:jc w:val="center"/>
                    <w:rPr>
                      <w:szCs w:val="21"/>
                    </w:rPr>
                  </w:pPr>
                </w:p>
              </w:tc>
              <w:tc>
                <w:tcPr>
                  <w:tcW w:w="992" w:type="pct"/>
                  <w:gridSpan w:val="2"/>
                  <w:vAlign w:val="center"/>
                </w:tcPr>
                <w:p>
                  <w:pPr>
                    <w:jc w:val="center"/>
                    <w:rPr>
                      <w:szCs w:val="21"/>
                    </w:rPr>
                  </w:pPr>
                  <w:r>
                    <w:rPr>
                      <w:szCs w:val="21"/>
                    </w:rPr>
                    <w:t>萘*</w:t>
                  </w:r>
                </w:p>
              </w:tc>
              <w:tc>
                <w:tcPr>
                  <w:tcW w:w="678" w:type="pct"/>
                  <w:gridSpan w:val="2"/>
                  <w:vAlign w:val="center"/>
                </w:tcPr>
                <w:p>
                  <w:pPr>
                    <w:snapToGrid w:val="0"/>
                    <w:jc w:val="center"/>
                    <w:rPr>
                      <w:szCs w:val="21"/>
                    </w:rPr>
                  </w:pPr>
                  <w:r>
                    <w:rPr>
                      <w:rFonts w:hint="eastAsia"/>
                      <w:szCs w:val="21"/>
                    </w:rPr>
                    <w:t>mg/kg</w:t>
                  </w:r>
                </w:p>
              </w:tc>
              <w:tc>
                <w:tcPr>
                  <w:tcW w:w="1171" w:type="pct"/>
                  <w:gridSpan w:val="2"/>
                  <w:vAlign w:val="center"/>
                </w:tcPr>
                <w:p>
                  <w:pPr>
                    <w:jc w:val="center"/>
                    <w:rPr>
                      <w:szCs w:val="21"/>
                    </w:rPr>
                  </w:pPr>
                  <w:r>
                    <w:rPr>
                      <w:rFonts w:hint="eastAsia"/>
                      <w:szCs w:val="21"/>
                    </w:rPr>
                    <w:t>ND</w:t>
                  </w:r>
                </w:p>
              </w:tc>
            </w:tr>
          </w:tbl>
          <w:p>
            <w:pPr>
              <w:spacing w:before="120" w:beforeLines="50" w:line="360" w:lineRule="auto"/>
              <w:ind w:firstLine="482"/>
            </w:pPr>
            <w:r>
              <w:rPr>
                <w:rFonts w:hint="eastAsia"/>
                <w:sz w:val="24"/>
              </w:rPr>
              <w:t>从上表分析可知，</w:t>
            </w:r>
            <w:r>
              <w:rPr>
                <w:sz w:val="24"/>
              </w:rPr>
              <w:t>本项目监测点土壤环境质量满足《土壤环境质量 建设用地土壤污染风险管控标准》（GB36600-2018）二类用地筛选值标准，对人体健康不存在风险，不需纳入污染土地管理</w:t>
            </w:r>
            <w:r>
              <w:t>。</w:t>
            </w:r>
          </w:p>
          <w:p>
            <w:pPr>
              <w:pStyle w:val="2"/>
              <w:spacing w:line="360" w:lineRule="auto"/>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p>
            <w:pPr>
              <w:pStyle w:val="2"/>
            </w:pPr>
          </w:p>
          <w:p>
            <w:pPr>
              <w:pStyle w:val="2"/>
              <w:ind w:left="0" w:leftChars="0" w:firstLine="0" w:firstLineChars="0"/>
            </w:pPr>
          </w:p>
        </w:tc>
      </w:tr>
    </w:tbl>
    <w:p>
      <w:p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vAlign w:val="center"/>
          </w:tcPr>
          <w:p>
            <w:pPr>
              <w:adjustRightInd w:val="0"/>
              <w:snapToGrid w:val="0"/>
              <w:jc w:val="center"/>
              <w:rPr>
                <w:b/>
                <w:bCs/>
                <w:sz w:val="24"/>
              </w:rPr>
            </w:pPr>
            <w:r>
              <w:rPr>
                <w:b/>
                <w:bCs/>
                <w:kern w:val="0"/>
                <w:sz w:val="24"/>
              </w:rPr>
              <w:t>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825" w:type="dxa"/>
            <w:vAlign w:val="center"/>
          </w:tcPr>
          <w:p>
            <w:pPr>
              <w:spacing w:line="360" w:lineRule="auto"/>
              <w:jc w:val="left"/>
              <w:rPr>
                <w:b/>
                <w:bCs/>
                <w:sz w:val="24"/>
              </w:rPr>
            </w:pPr>
            <w:r>
              <w:rPr>
                <w:b/>
                <w:bCs/>
                <w:sz w:val="24"/>
              </w:rPr>
              <w:t>1</w:t>
            </w:r>
            <w:r>
              <w:rPr>
                <w:rFonts w:eastAsiaTheme="minorEastAsia"/>
                <w:b/>
                <w:bCs/>
                <w:sz w:val="24"/>
              </w:rPr>
              <w:t>、</w:t>
            </w:r>
            <w:r>
              <w:rPr>
                <w:b/>
                <w:bCs/>
                <w:sz w:val="24"/>
              </w:rPr>
              <w:t>项目外环境分布情况</w:t>
            </w:r>
          </w:p>
          <w:p>
            <w:pPr>
              <w:adjustRightInd w:val="0"/>
              <w:snapToGrid w:val="0"/>
              <w:spacing w:line="360" w:lineRule="auto"/>
              <w:ind w:firstLine="480" w:firstLineChars="200"/>
              <w:rPr>
                <w:sz w:val="24"/>
              </w:rPr>
            </w:pPr>
            <w:r>
              <w:rPr>
                <w:sz w:val="24"/>
              </w:rPr>
              <w:t>本项目在四川鸿乔再生资源利用有限公司原</w:t>
            </w:r>
            <w:r>
              <w:rPr>
                <w:rFonts w:hint="eastAsia"/>
                <w:sz w:val="24"/>
              </w:rPr>
              <w:t>有</w:t>
            </w:r>
            <w:r>
              <w:rPr>
                <w:sz w:val="24"/>
              </w:rPr>
              <w:t>空地</w:t>
            </w:r>
            <w:r>
              <w:rPr>
                <w:rFonts w:hint="eastAsia"/>
                <w:sz w:val="24"/>
              </w:rPr>
              <w:t>内</w:t>
            </w:r>
            <w:r>
              <w:rPr>
                <w:sz w:val="24"/>
              </w:rPr>
              <w:t>进行建设，建成后与现有的“鸿乔再生资源利用项目”合并</w:t>
            </w:r>
            <w:r>
              <w:rPr>
                <w:rFonts w:hint="eastAsia"/>
                <w:sz w:val="24"/>
              </w:rPr>
              <w:t>运行</w:t>
            </w:r>
            <w:r>
              <w:rPr>
                <w:sz w:val="24"/>
              </w:rPr>
              <w:t>。周边外环境关系如下：</w:t>
            </w:r>
          </w:p>
          <w:p>
            <w:pPr>
              <w:adjustRightInd w:val="0"/>
              <w:snapToGrid w:val="0"/>
              <w:spacing w:line="360" w:lineRule="auto"/>
              <w:ind w:firstLine="480" w:firstLineChars="200"/>
              <w:rPr>
                <w:sz w:val="24"/>
              </w:rPr>
            </w:pPr>
            <w:r>
              <w:rPr>
                <w:sz w:val="24"/>
              </w:rPr>
              <w:t>北侧：257m散居农户5户；48m处有散居农户1户；12m处有散居农户2户；</w:t>
            </w:r>
          </w:p>
          <w:p>
            <w:pPr>
              <w:adjustRightInd w:val="0"/>
              <w:snapToGrid w:val="0"/>
              <w:spacing w:line="360" w:lineRule="auto"/>
              <w:ind w:firstLine="480" w:firstLineChars="200"/>
              <w:rPr>
                <w:sz w:val="24"/>
              </w:rPr>
            </w:pPr>
            <w:r>
              <w:rPr>
                <w:sz w:val="24"/>
              </w:rPr>
              <w:t>东北侧：256m处有散居农户13户；218m处有散居农户3户；196m处有散居农户10户；516m处有散居农户13户；130m处为通仙溪；</w:t>
            </w:r>
          </w:p>
          <w:p>
            <w:pPr>
              <w:adjustRightInd w:val="0"/>
              <w:snapToGrid w:val="0"/>
              <w:spacing w:line="360" w:lineRule="auto"/>
              <w:ind w:firstLine="480" w:firstLineChars="200"/>
              <w:rPr>
                <w:sz w:val="24"/>
              </w:rPr>
            </w:pPr>
            <w:r>
              <w:rPr>
                <w:sz w:val="24"/>
              </w:rPr>
              <w:t>东侧：7m处有农户1户；37m处为虎林村村委会；48m处有农户12户；</w:t>
            </w:r>
          </w:p>
          <w:p>
            <w:pPr>
              <w:adjustRightInd w:val="0"/>
              <w:snapToGrid w:val="0"/>
              <w:spacing w:line="360" w:lineRule="auto"/>
              <w:ind w:firstLine="480" w:firstLineChars="200"/>
              <w:rPr>
                <w:sz w:val="24"/>
              </w:rPr>
            </w:pPr>
            <w:r>
              <w:rPr>
                <w:sz w:val="24"/>
              </w:rPr>
              <w:t>东南侧：344m处有散居农户4户；</w:t>
            </w:r>
          </w:p>
          <w:p>
            <w:pPr>
              <w:adjustRightInd w:val="0"/>
              <w:snapToGrid w:val="0"/>
              <w:spacing w:line="360" w:lineRule="auto"/>
              <w:ind w:firstLine="480" w:firstLineChars="200"/>
              <w:rPr>
                <w:sz w:val="24"/>
              </w:rPr>
            </w:pPr>
            <w:r>
              <w:rPr>
                <w:sz w:val="24"/>
              </w:rPr>
              <w:t xml:space="preserve">南侧：267m有散居农户17户；378m处有散居农户6户；363m处有散居农户8户； </w:t>
            </w:r>
          </w:p>
          <w:p>
            <w:pPr>
              <w:adjustRightInd w:val="0"/>
              <w:snapToGrid w:val="0"/>
              <w:spacing w:line="360" w:lineRule="auto"/>
              <w:ind w:firstLine="480" w:firstLineChars="200"/>
              <w:rPr>
                <w:sz w:val="24"/>
              </w:rPr>
            </w:pPr>
            <w:r>
              <w:rPr>
                <w:sz w:val="24"/>
              </w:rPr>
              <w:t>西侧：紧邻大英县火井建材有限公司虎林砖厂；281m有散居农户8户；386m处有散居农户2户；306m处有散居农户1户；</w:t>
            </w:r>
          </w:p>
          <w:p>
            <w:pPr>
              <w:adjustRightInd w:val="0"/>
              <w:snapToGrid w:val="0"/>
              <w:spacing w:line="360" w:lineRule="auto"/>
              <w:ind w:firstLine="480" w:firstLineChars="200"/>
              <w:rPr>
                <w:sz w:val="24"/>
              </w:rPr>
            </w:pPr>
            <w:r>
              <w:rPr>
                <w:sz w:val="24"/>
              </w:rPr>
              <w:t>西北侧：332m处有散居农户18户；58m处有散居农户1户；234m处为废品收购站。</w:t>
            </w:r>
          </w:p>
          <w:p>
            <w:pPr>
              <w:pStyle w:val="83"/>
              <w:ind w:firstLine="480"/>
              <w:rPr>
                <w:rFonts w:ascii="Times New Roman" w:hAnsi="Times New Roman" w:cs="Times New Roman"/>
                <w:bCs w:val="0"/>
                <w:kern w:val="0"/>
              </w:rPr>
            </w:pPr>
            <w:r>
              <w:rPr>
                <w:rFonts w:ascii="Times New Roman" w:hAnsi="Times New Roman" w:cs="Times New Roman"/>
                <w:b w:val="0"/>
                <w:kern w:val="0"/>
              </w:rPr>
              <w:t>本项目500m范围内主要为农田耕地，分布少量的散居农户，500m内无自然保护区、风景名胜区、生态红线、旅游景区、军事管理区、水厂以及水源保护区等敏感区，外环境无重大环境制约因素。</w:t>
            </w:r>
            <w:r>
              <w:rPr>
                <w:rFonts w:hint="eastAsia" w:ascii="Times New Roman" w:hAnsi="Times New Roman" w:cs="Times New Roman"/>
                <w:b w:val="0"/>
                <w:kern w:val="0"/>
              </w:rPr>
              <w:t>项目东面，西面，南面高程均高于本项目，</w:t>
            </w:r>
            <w:r>
              <w:rPr>
                <w:rFonts w:hint="eastAsia" w:ascii="Times New Roman" w:hAnsi="Times New Roman" w:cs="Times New Roman"/>
                <w:bCs w:val="0"/>
                <w:kern w:val="0"/>
              </w:rPr>
              <w:t>本项目易产尘点和高噪声设备布置在远离散户居民较多的一侧，并采取了各项抑尘降噪措施，项目运营期原辅料等均采用篷布封闭或者罐车密闭运输的方式从大英县周边区域送入场内封闭储存，本项目产品的销售区域也均在大英县周边，原辅料及成品运距较短，同时各运输车辆运输过程采取各项抑尘降尘措施防止扬尘对周边散户居民的影响，</w:t>
            </w:r>
            <w:r>
              <w:rPr>
                <w:rFonts w:ascii="Times New Roman" w:hAnsi="Times New Roman" w:cs="Times New Roman"/>
                <w:bCs w:val="0"/>
                <w:kern w:val="0"/>
              </w:rPr>
              <w:t>项目运营期产生的噪声</w:t>
            </w:r>
            <w:r>
              <w:rPr>
                <w:rFonts w:hint="eastAsia" w:ascii="Times New Roman" w:hAnsi="Times New Roman" w:cs="Times New Roman"/>
                <w:bCs w:val="0"/>
                <w:kern w:val="0"/>
              </w:rPr>
              <w:t>经通过高噪声设备的合理布局，</w:t>
            </w:r>
            <w:r>
              <w:rPr>
                <w:bCs w:val="0"/>
                <w:kern w:val="21"/>
                <w:szCs w:val="21"/>
              </w:rPr>
              <w:t>选用低噪声设备，基础减震、厂房建筑隔声</w:t>
            </w:r>
            <w:r>
              <w:rPr>
                <w:rFonts w:hint="eastAsia"/>
                <w:bCs w:val="0"/>
                <w:kern w:val="21"/>
                <w:szCs w:val="21"/>
              </w:rPr>
              <w:t>等措施后厂界噪声达标，不会对周边少量的散户居民产生明显影响</w:t>
            </w:r>
            <w:r>
              <w:rPr>
                <w:rFonts w:ascii="Times New Roman" w:hAnsi="Times New Roman" w:cs="Times New Roman"/>
                <w:bCs w:val="0"/>
                <w:kern w:val="0"/>
              </w:rPr>
              <w:t>、</w:t>
            </w:r>
            <w:r>
              <w:rPr>
                <w:rFonts w:hint="eastAsia" w:ascii="Times New Roman" w:hAnsi="Times New Roman" w:cs="Times New Roman"/>
                <w:bCs w:val="0"/>
                <w:kern w:val="0"/>
              </w:rPr>
              <w:t>生产</w:t>
            </w:r>
            <w:r>
              <w:rPr>
                <w:rFonts w:ascii="Times New Roman" w:hAnsi="Times New Roman" w:cs="Times New Roman"/>
                <w:bCs w:val="0"/>
                <w:kern w:val="0"/>
              </w:rPr>
              <w:t>粉尘等污染物通过落实相应的</w:t>
            </w:r>
            <w:r>
              <w:rPr>
                <w:rFonts w:hint="eastAsia" w:ascii="Times New Roman" w:hAnsi="Times New Roman" w:cs="Times New Roman"/>
                <w:bCs w:val="0"/>
                <w:kern w:val="0"/>
              </w:rPr>
              <w:t>收集处理，喷雾降尘等</w:t>
            </w:r>
            <w:r>
              <w:rPr>
                <w:rFonts w:ascii="Times New Roman" w:hAnsi="Times New Roman" w:cs="Times New Roman"/>
                <w:bCs w:val="0"/>
                <w:kern w:val="0"/>
              </w:rPr>
              <w:t>环保措施后均能实现达标排放，满足相关标准，固体</w:t>
            </w:r>
            <w:r>
              <w:rPr>
                <w:rFonts w:hint="eastAsia" w:ascii="Times New Roman" w:hAnsi="Times New Roman" w:cs="Times New Roman"/>
                <w:bCs w:val="0"/>
                <w:kern w:val="0"/>
              </w:rPr>
              <w:t>废弃物</w:t>
            </w:r>
            <w:r>
              <w:rPr>
                <w:rFonts w:ascii="Times New Roman" w:hAnsi="Times New Roman" w:cs="Times New Roman"/>
                <w:bCs w:val="0"/>
                <w:kern w:val="0"/>
              </w:rPr>
              <w:t>合理处置，不产生二次污染，环境风险可控，</w:t>
            </w:r>
            <w:r>
              <w:rPr>
                <w:rFonts w:hint="eastAsia" w:ascii="Times New Roman" w:hAnsi="Times New Roman" w:cs="Times New Roman"/>
                <w:bCs w:val="0"/>
                <w:kern w:val="0"/>
              </w:rPr>
              <w:t>不会对周边环境产生明显影响，</w:t>
            </w:r>
            <w:r>
              <w:rPr>
                <w:rFonts w:ascii="Times New Roman" w:hAnsi="Times New Roman" w:cs="Times New Roman"/>
                <w:bCs w:val="0"/>
                <w:kern w:val="0"/>
              </w:rPr>
              <w:t>本项目的选址与周围环境是相容的。</w:t>
            </w:r>
          </w:p>
          <w:p>
            <w:pPr>
              <w:spacing w:line="360" w:lineRule="auto"/>
              <w:ind w:firstLine="200"/>
              <w:rPr>
                <w:b/>
                <w:bCs/>
                <w:sz w:val="24"/>
              </w:rPr>
            </w:pPr>
            <w:r>
              <w:rPr>
                <w:b/>
                <w:bCs/>
                <w:sz w:val="24"/>
              </w:rPr>
              <w:t>2</w:t>
            </w:r>
            <w:r>
              <w:rPr>
                <w:rFonts w:eastAsiaTheme="minorEastAsia"/>
                <w:b/>
                <w:bCs/>
                <w:sz w:val="24"/>
              </w:rPr>
              <w:t>、</w:t>
            </w:r>
            <w:r>
              <w:rPr>
                <w:b/>
                <w:bCs/>
                <w:sz w:val="24"/>
              </w:rPr>
              <w:t>主要环境保护目标</w:t>
            </w:r>
          </w:p>
          <w:p>
            <w:pPr>
              <w:adjustRightInd w:val="0"/>
              <w:snapToGrid w:val="0"/>
              <w:spacing w:line="360" w:lineRule="auto"/>
              <w:ind w:firstLine="480" w:firstLineChars="200"/>
              <w:rPr>
                <w:bCs/>
                <w:sz w:val="24"/>
              </w:rPr>
            </w:pPr>
            <w:r>
              <w:rPr>
                <w:bCs/>
                <w:sz w:val="24"/>
              </w:rPr>
              <w:t>（1）地表水环境</w:t>
            </w:r>
          </w:p>
          <w:p>
            <w:pPr>
              <w:adjustRightInd w:val="0"/>
              <w:snapToGrid w:val="0"/>
              <w:spacing w:line="360" w:lineRule="auto"/>
              <w:ind w:firstLine="480" w:firstLineChars="200"/>
            </w:pPr>
            <w:r>
              <w:rPr>
                <w:bCs/>
                <w:sz w:val="24"/>
              </w:rPr>
              <w:t>项目所在区域地表水环境执行《地表水环境质量标准》（GB3838-2002）Ⅲ类水域标准。环境保护目标为保证通仙溪水质不因本项目的实施而恶化，不改变评价区域现有的水体功能与级别。</w:t>
            </w:r>
          </w:p>
          <w:p>
            <w:pPr>
              <w:adjustRightInd w:val="0"/>
              <w:snapToGrid w:val="0"/>
              <w:spacing w:line="360" w:lineRule="auto"/>
              <w:ind w:firstLine="480" w:firstLineChars="200"/>
              <w:rPr>
                <w:bCs/>
                <w:sz w:val="24"/>
              </w:rPr>
            </w:pPr>
            <w:r>
              <w:rPr>
                <w:bCs/>
                <w:sz w:val="24"/>
              </w:rPr>
              <w:t>（2）地下水环境</w:t>
            </w:r>
          </w:p>
          <w:p>
            <w:pPr>
              <w:adjustRightInd w:val="0"/>
              <w:snapToGrid w:val="0"/>
              <w:spacing w:line="360" w:lineRule="auto"/>
              <w:ind w:firstLine="480" w:firstLineChars="200"/>
              <w:rPr>
                <w:bCs/>
                <w:sz w:val="24"/>
              </w:rPr>
            </w:pPr>
            <w:r>
              <w:rPr>
                <w:bCs/>
                <w:sz w:val="24"/>
              </w:rPr>
              <w:t>确保项目区域内地下水质量不因本项目的实施而恶化。地下水应达到《地下水质量标准》（GB/T 14848-2017）中Ⅲ类标准。</w:t>
            </w:r>
          </w:p>
          <w:p>
            <w:pPr>
              <w:adjustRightInd w:val="0"/>
              <w:snapToGrid w:val="0"/>
              <w:spacing w:line="360" w:lineRule="auto"/>
              <w:ind w:firstLine="480" w:firstLineChars="200"/>
              <w:rPr>
                <w:bCs/>
                <w:sz w:val="24"/>
              </w:rPr>
            </w:pPr>
            <w:r>
              <w:rPr>
                <w:bCs/>
                <w:sz w:val="24"/>
              </w:rPr>
              <w:t>（3）环境空气</w:t>
            </w:r>
          </w:p>
          <w:p>
            <w:pPr>
              <w:adjustRightInd w:val="0"/>
              <w:snapToGrid w:val="0"/>
              <w:spacing w:line="360" w:lineRule="auto"/>
              <w:ind w:firstLine="480" w:firstLineChars="200"/>
              <w:rPr>
                <w:bCs/>
                <w:sz w:val="24"/>
              </w:rPr>
            </w:pPr>
            <w:r>
              <w:rPr>
                <w:bCs/>
                <w:sz w:val="24"/>
              </w:rPr>
              <w:t>评价区域内的环境空气质量不因本项目的实施而改变，应达到《环境空气质量标准》（GB3095-2012）中二类标准。</w:t>
            </w:r>
          </w:p>
          <w:p>
            <w:pPr>
              <w:adjustRightInd w:val="0"/>
              <w:snapToGrid w:val="0"/>
              <w:spacing w:line="360" w:lineRule="auto"/>
              <w:ind w:firstLine="480" w:firstLineChars="200"/>
              <w:rPr>
                <w:bCs/>
                <w:sz w:val="24"/>
              </w:rPr>
            </w:pPr>
            <w:r>
              <w:rPr>
                <w:bCs/>
                <w:sz w:val="24"/>
              </w:rPr>
              <w:t>（4）声学环境质量</w:t>
            </w:r>
          </w:p>
          <w:p>
            <w:pPr>
              <w:adjustRightInd w:val="0"/>
              <w:snapToGrid w:val="0"/>
              <w:spacing w:line="360" w:lineRule="auto"/>
              <w:ind w:firstLine="480" w:firstLineChars="200"/>
              <w:rPr>
                <w:bCs/>
                <w:sz w:val="24"/>
              </w:rPr>
            </w:pPr>
            <w:r>
              <w:rPr>
                <w:bCs/>
                <w:sz w:val="24"/>
              </w:rPr>
              <w:t>项目所在区域执行《声环境质量标准》（GB3096-2008）2类</w:t>
            </w:r>
            <w:r>
              <w:rPr>
                <w:rFonts w:hint="eastAsia"/>
                <w:bCs/>
                <w:sz w:val="24"/>
                <w:lang w:eastAsia="zh-CN"/>
              </w:rPr>
              <w:t>区域</w:t>
            </w:r>
            <w:r>
              <w:rPr>
                <w:bCs/>
                <w:sz w:val="24"/>
              </w:rPr>
              <w:t>标准要求。</w:t>
            </w:r>
          </w:p>
          <w:p>
            <w:pPr>
              <w:adjustRightInd w:val="0"/>
              <w:snapToGrid w:val="0"/>
              <w:spacing w:line="360" w:lineRule="auto"/>
              <w:ind w:firstLine="480" w:firstLineChars="200"/>
              <w:rPr>
                <w:bCs/>
                <w:sz w:val="24"/>
              </w:rPr>
            </w:pPr>
            <w:r>
              <w:rPr>
                <w:bCs/>
                <w:sz w:val="24"/>
              </w:rPr>
              <w:t>（5）固体废物</w:t>
            </w:r>
          </w:p>
          <w:p>
            <w:pPr>
              <w:adjustRightInd w:val="0"/>
              <w:snapToGrid w:val="0"/>
              <w:spacing w:line="360" w:lineRule="auto"/>
              <w:ind w:firstLine="480" w:firstLineChars="200"/>
              <w:rPr>
                <w:bCs/>
                <w:sz w:val="24"/>
              </w:rPr>
            </w:pPr>
            <w:r>
              <w:rPr>
                <w:bCs/>
                <w:sz w:val="24"/>
              </w:rPr>
              <w:t>项目营运期产生的固体废物得到妥善处置，不造成二次污染。</w:t>
            </w:r>
          </w:p>
          <w:p>
            <w:pPr>
              <w:adjustRightInd w:val="0"/>
              <w:snapToGrid w:val="0"/>
              <w:spacing w:line="360" w:lineRule="auto"/>
              <w:ind w:firstLine="480" w:firstLineChars="200"/>
              <w:rPr>
                <w:bCs/>
                <w:sz w:val="24"/>
              </w:rPr>
            </w:pPr>
            <w:r>
              <w:rPr>
                <w:bCs/>
                <w:sz w:val="24"/>
              </w:rPr>
              <w:t>综上所述，本项目主要环境保护目标见下表。</w:t>
            </w:r>
          </w:p>
          <w:p>
            <w:pPr>
              <w:pStyle w:val="83"/>
              <w:snapToGrid w:val="0"/>
              <w:spacing w:before="24" w:after="24" w:line="240" w:lineRule="auto"/>
              <w:ind w:firstLine="0" w:firstLineChars="0"/>
              <w:jc w:val="center"/>
              <w:rPr>
                <w:rFonts w:ascii="Times New Roman" w:hAnsi="Times New Roman" w:cs="Times New Roman"/>
                <w:bCs w:val="0"/>
                <w:sz w:val="21"/>
                <w:szCs w:val="24"/>
              </w:rPr>
            </w:pPr>
            <w:r>
              <w:rPr>
                <w:rFonts w:ascii="Times New Roman" w:hAnsi="Times New Roman" w:cs="Times New Roman"/>
                <w:bCs w:val="0"/>
                <w:sz w:val="21"/>
                <w:szCs w:val="24"/>
              </w:rPr>
              <w:t>表3-7主要环境保护目标一览表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7"/>
              <w:gridCol w:w="1156"/>
              <w:gridCol w:w="1813"/>
              <w:gridCol w:w="839"/>
              <w:gridCol w:w="4"/>
              <w:gridCol w:w="1108"/>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pct"/>
                  <w:vAlign w:val="center"/>
                </w:tcPr>
                <w:p>
                  <w:pPr>
                    <w:pStyle w:val="84"/>
                    <w:rPr>
                      <w:b/>
                      <w:bCs/>
                      <w:color w:val="auto"/>
                    </w:rPr>
                  </w:pPr>
                  <w:r>
                    <w:rPr>
                      <w:b/>
                      <w:bCs/>
                      <w:color w:val="auto"/>
                    </w:rPr>
                    <w:t>环境要素</w:t>
                  </w:r>
                </w:p>
              </w:tc>
              <w:tc>
                <w:tcPr>
                  <w:tcW w:w="850" w:type="pct"/>
                  <w:vAlign w:val="center"/>
                </w:tcPr>
                <w:p>
                  <w:pPr>
                    <w:pStyle w:val="84"/>
                    <w:rPr>
                      <w:b/>
                      <w:bCs/>
                      <w:color w:val="auto"/>
                    </w:rPr>
                  </w:pPr>
                  <w:r>
                    <w:rPr>
                      <w:b/>
                      <w:bCs/>
                      <w:color w:val="auto"/>
                    </w:rPr>
                    <w:t>名称</w:t>
                  </w:r>
                </w:p>
              </w:tc>
              <w:tc>
                <w:tcPr>
                  <w:tcW w:w="675" w:type="pct"/>
                  <w:vAlign w:val="center"/>
                </w:tcPr>
                <w:p>
                  <w:pPr>
                    <w:pStyle w:val="84"/>
                    <w:rPr>
                      <w:b/>
                      <w:bCs/>
                      <w:color w:val="auto"/>
                    </w:rPr>
                  </w:pPr>
                  <w:r>
                    <w:rPr>
                      <w:b/>
                      <w:bCs/>
                      <w:color w:val="auto"/>
                    </w:rPr>
                    <w:t>保护对象</w:t>
                  </w:r>
                </w:p>
              </w:tc>
              <w:tc>
                <w:tcPr>
                  <w:tcW w:w="1057" w:type="pct"/>
                  <w:vAlign w:val="center"/>
                </w:tcPr>
                <w:p>
                  <w:pPr>
                    <w:pStyle w:val="84"/>
                    <w:rPr>
                      <w:b/>
                      <w:bCs/>
                      <w:color w:val="auto"/>
                    </w:rPr>
                  </w:pPr>
                  <w:r>
                    <w:rPr>
                      <w:b/>
                      <w:bCs/>
                      <w:color w:val="auto"/>
                    </w:rPr>
                    <w:t>保护内容</w:t>
                  </w:r>
                </w:p>
                <w:p>
                  <w:pPr>
                    <w:pStyle w:val="84"/>
                    <w:rPr>
                      <w:b/>
                      <w:bCs/>
                      <w:color w:val="auto"/>
                    </w:rPr>
                  </w:pPr>
                  <w:r>
                    <w:rPr>
                      <w:b/>
                      <w:bCs/>
                      <w:color w:val="auto"/>
                    </w:rPr>
                    <w:t>（规模）</w:t>
                  </w:r>
                </w:p>
              </w:tc>
              <w:tc>
                <w:tcPr>
                  <w:tcW w:w="491" w:type="pct"/>
                  <w:vAlign w:val="center"/>
                </w:tcPr>
                <w:p>
                  <w:pPr>
                    <w:pStyle w:val="84"/>
                    <w:rPr>
                      <w:b/>
                      <w:bCs/>
                      <w:color w:val="auto"/>
                    </w:rPr>
                  </w:pPr>
                  <w:r>
                    <w:rPr>
                      <w:b/>
                      <w:bCs/>
                      <w:color w:val="auto"/>
                    </w:rPr>
                    <w:t>相对厂址方向</w:t>
                  </w:r>
                </w:p>
              </w:tc>
              <w:tc>
                <w:tcPr>
                  <w:tcW w:w="652" w:type="pct"/>
                  <w:gridSpan w:val="2"/>
                  <w:vAlign w:val="center"/>
                </w:tcPr>
                <w:p>
                  <w:pPr>
                    <w:pStyle w:val="84"/>
                    <w:rPr>
                      <w:b/>
                      <w:bCs/>
                      <w:color w:val="auto"/>
                    </w:rPr>
                  </w:pPr>
                  <w:r>
                    <w:rPr>
                      <w:b/>
                      <w:bCs/>
                      <w:color w:val="auto"/>
                    </w:rPr>
                    <w:t>相对厂界最近距离（m）</w:t>
                  </w:r>
                </w:p>
              </w:tc>
              <w:tc>
                <w:tcPr>
                  <w:tcW w:w="853" w:type="pct"/>
                  <w:vAlign w:val="center"/>
                </w:tcPr>
                <w:p>
                  <w:pPr>
                    <w:pStyle w:val="84"/>
                    <w:rPr>
                      <w:b/>
                      <w:bCs/>
                      <w:color w:val="auto"/>
                    </w:rPr>
                  </w:pPr>
                  <w:r>
                    <w:rPr>
                      <w:b/>
                      <w:bCs/>
                      <w:color w:val="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2" w:type="pct"/>
                  <w:vMerge w:val="restart"/>
                  <w:vAlign w:val="center"/>
                </w:tcPr>
                <w:p>
                  <w:pPr>
                    <w:pStyle w:val="84"/>
                    <w:rPr>
                      <w:b/>
                      <w:bCs/>
                      <w:color w:val="auto"/>
                    </w:rPr>
                  </w:pPr>
                  <w:r>
                    <w:rPr>
                      <w:b/>
                      <w:bCs/>
                      <w:color w:val="auto"/>
                    </w:rPr>
                    <w:t>环境空气</w:t>
                  </w: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约5户（15人）</w:t>
                  </w:r>
                </w:p>
              </w:tc>
              <w:tc>
                <w:tcPr>
                  <w:tcW w:w="491" w:type="pct"/>
                  <w:vAlign w:val="center"/>
                </w:tcPr>
                <w:p>
                  <w:pPr>
                    <w:pStyle w:val="84"/>
                    <w:rPr>
                      <w:color w:val="auto"/>
                    </w:rPr>
                  </w:pPr>
                  <w:r>
                    <w:rPr>
                      <w:color w:val="auto"/>
                    </w:rPr>
                    <w:t>北</w:t>
                  </w:r>
                </w:p>
              </w:tc>
              <w:tc>
                <w:tcPr>
                  <w:tcW w:w="652" w:type="pct"/>
                  <w:gridSpan w:val="2"/>
                  <w:vAlign w:val="center"/>
                </w:tcPr>
                <w:p>
                  <w:pPr>
                    <w:pStyle w:val="84"/>
                    <w:rPr>
                      <w:color w:val="auto"/>
                    </w:rPr>
                  </w:pPr>
                  <w:r>
                    <w:rPr>
                      <w:color w:val="auto"/>
                    </w:rPr>
                    <w:t>257</w:t>
                  </w:r>
                </w:p>
              </w:tc>
              <w:tc>
                <w:tcPr>
                  <w:tcW w:w="853" w:type="pct"/>
                  <w:vMerge w:val="restart"/>
                  <w:vAlign w:val="center"/>
                </w:tcPr>
                <w:p>
                  <w:pPr>
                    <w:pStyle w:val="84"/>
                    <w:rPr>
                      <w:color w:val="auto"/>
                    </w:rPr>
                  </w:pPr>
                  <w:r>
                    <w:rPr>
                      <w:color w:val="auto"/>
                    </w:rPr>
                    <w:t>（GB3095-2012）二类功能区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b/>
                      <w:bCs/>
                      <w:color w:val="auto"/>
                    </w:rPr>
                  </w:pPr>
                  <w:r>
                    <w:rPr>
                      <w:b/>
                      <w:bCs/>
                      <w:color w:val="auto"/>
                    </w:rPr>
                    <w:t>散居农户</w:t>
                  </w:r>
                </w:p>
              </w:tc>
              <w:tc>
                <w:tcPr>
                  <w:tcW w:w="675" w:type="pct"/>
                  <w:vAlign w:val="center"/>
                </w:tcPr>
                <w:p>
                  <w:pPr>
                    <w:pStyle w:val="84"/>
                    <w:rPr>
                      <w:b/>
                      <w:bCs/>
                      <w:color w:val="auto"/>
                    </w:rPr>
                  </w:pPr>
                  <w:r>
                    <w:rPr>
                      <w:b/>
                      <w:bCs/>
                      <w:color w:val="auto"/>
                    </w:rPr>
                    <w:t>农户</w:t>
                  </w:r>
                </w:p>
              </w:tc>
              <w:tc>
                <w:tcPr>
                  <w:tcW w:w="1057" w:type="pct"/>
                  <w:vAlign w:val="center"/>
                </w:tcPr>
                <w:p>
                  <w:pPr>
                    <w:pStyle w:val="84"/>
                    <w:rPr>
                      <w:b/>
                      <w:bCs/>
                      <w:color w:val="auto"/>
                    </w:rPr>
                  </w:pPr>
                  <w:r>
                    <w:rPr>
                      <w:b/>
                      <w:bCs/>
                      <w:color w:val="auto"/>
                    </w:rPr>
                    <w:t>约1户（3人）</w:t>
                  </w:r>
                </w:p>
              </w:tc>
              <w:tc>
                <w:tcPr>
                  <w:tcW w:w="491" w:type="pct"/>
                  <w:vAlign w:val="center"/>
                </w:tcPr>
                <w:p>
                  <w:pPr>
                    <w:pStyle w:val="84"/>
                    <w:rPr>
                      <w:b/>
                      <w:bCs/>
                      <w:color w:val="auto"/>
                    </w:rPr>
                  </w:pPr>
                  <w:r>
                    <w:rPr>
                      <w:b/>
                      <w:bCs/>
                      <w:color w:val="auto"/>
                    </w:rPr>
                    <w:t>北</w:t>
                  </w:r>
                </w:p>
              </w:tc>
              <w:tc>
                <w:tcPr>
                  <w:tcW w:w="652" w:type="pct"/>
                  <w:gridSpan w:val="2"/>
                  <w:vAlign w:val="center"/>
                </w:tcPr>
                <w:p>
                  <w:pPr>
                    <w:pStyle w:val="84"/>
                    <w:rPr>
                      <w:b/>
                      <w:bCs/>
                      <w:color w:val="auto"/>
                    </w:rPr>
                  </w:pPr>
                  <w:r>
                    <w:rPr>
                      <w:b/>
                      <w:bCs/>
                      <w:color w:val="auto"/>
                    </w:rPr>
                    <w:t>48</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b/>
                      <w:bCs/>
                      <w:color w:val="auto"/>
                    </w:rPr>
                  </w:pPr>
                  <w:r>
                    <w:rPr>
                      <w:b/>
                      <w:bCs/>
                      <w:color w:val="auto"/>
                    </w:rPr>
                    <w:t>散居农户</w:t>
                  </w:r>
                </w:p>
              </w:tc>
              <w:tc>
                <w:tcPr>
                  <w:tcW w:w="675" w:type="pct"/>
                  <w:vAlign w:val="center"/>
                </w:tcPr>
                <w:p>
                  <w:pPr>
                    <w:pStyle w:val="84"/>
                    <w:rPr>
                      <w:b/>
                      <w:bCs/>
                      <w:color w:val="auto"/>
                    </w:rPr>
                  </w:pPr>
                  <w:r>
                    <w:rPr>
                      <w:b/>
                      <w:bCs/>
                      <w:color w:val="auto"/>
                    </w:rPr>
                    <w:t>农户</w:t>
                  </w:r>
                </w:p>
              </w:tc>
              <w:tc>
                <w:tcPr>
                  <w:tcW w:w="1057" w:type="pct"/>
                  <w:vAlign w:val="center"/>
                </w:tcPr>
                <w:p>
                  <w:pPr>
                    <w:pStyle w:val="84"/>
                    <w:rPr>
                      <w:b/>
                      <w:bCs/>
                      <w:color w:val="auto"/>
                    </w:rPr>
                  </w:pPr>
                  <w:r>
                    <w:rPr>
                      <w:b/>
                      <w:bCs/>
                      <w:color w:val="auto"/>
                    </w:rPr>
                    <w:t>约2户（6人）</w:t>
                  </w:r>
                </w:p>
              </w:tc>
              <w:tc>
                <w:tcPr>
                  <w:tcW w:w="491" w:type="pct"/>
                  <w:vAlign w:val="center"/>
                </w:tcPr>
                <w:p>
                  <w:pPr>
                    <w:pStyle w:val="84"/>
                    <w:rPr>
                      <w:b/>
                      <w:bCs/>
                      <w:color w:val="auto"/>
                    </w:rPr>
                  </w:pPr>
                  <w:r>
                    <w:rPr>
                      <w:b/>
                      <w:bCs/>
                      <w:color w:val="auto"/>
                    </w:rPr>
                    <w:t>北</w:t>
                  </w:r>
                </w:p>
              </w:tc>
              <w:tc>
                <w:tcPr>
                  <w:tcW w:w="652" w:type="pct"/>
                  <w:gridSpan w:val="2"/>
                  <w:vAlign w:val="center"/>
                </w:tcPr>
                <w:p>
                  <w:pPr>
                    <w:pStyle w:val="84"/>
                    <w:rPr>
                      <w:b/>
                      <w:bCs/>
                      <w:color w:val="auto"/>
                    </w:rPr>
                  </w:pPr>
                  <w:r>
                    <w:rPr>
                      <w:b/>
                      <w:bCs/>
                      <w:color w:val="auto"/>
                    </w:rPr>
                    <w:t>12</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约13户（40人）</w:t>
                  </w:r>
                </w:p>
              </w:tc>
              <w:tc>
                <w:tcPr>
                  <w:tcW w:w="491" w:type="pct"/>
                  <w:vAlign w:val="center"/>
                </w:tcPr>
                <w:p>
                  <w:pPr>
                    <w:pStyle w:val="84"/>
                    <w:rPr>
                      <w:color w:val="auto"/>
                    </w:rPr>
                  </w:pPr>
                  <w:r>
                    <w:rPr>
                      <w:color w:val="auto"/>
                    </w:rPr>
                    <w:t>东北</w:t>
                  </w:r>
                </w:p>
              </w:tc>
              <w:tc>
                <w:tcPr>
                  <w:tcW w:w="652" w:type="pct"/>
                  <w:gridSpan w:val="2"/>
                  <w:vAlign w:val="center"/>
                </w:tcPr>
                <w:p>
                  <w:pPr>
                    <w:pStyle w:val="84"/>
                    <w:rPr>
                      <w:color w:val="auto"/>
                    </w:rPr>
                  </w:pPr>
                  <w:r>
                    <w:rPr>
                      <w:color w:val="auto"/>
                    </w:rPr>
                    <w:t>256</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约3户（10人）</w:t>
                  </w:r>
                </w:p>
              </w:tc>
              <w:tc>
                <w:tcPr>
                  <w:tcW w:w="491" w:type="pct"/>
                  <w:vAlign w:val="center"/>
                </w:tcPr>
                <w:p>
                  <w:pPr>
                    <w:pStyle w:val="84"/>
                    <w:rPr>
                      <w:color w:val="auto"/>
                    </w:rPr>
                  </w:pPr>
                  <w:r>
                    <w:rPr>
                      <w:color w:val="auto"/>
                    </w:rPr>
                    <w:t>东北</w:t>
                  </w:r>
                </w:p>
              </w:tc>
              <w:tc>
                <w:tcPr>
                  <w:tcW w:w="652" w:type="pct"/>
                  <w:gridSpan w:val="2"/>
                  <w:vAlign w:val="center"/>
                </w:tcPr>
                <w:p>
                  <w:pPr>
                    <w:pStyle w:val="84"/>
                    <w:rPr>
                      <w:color w:val="auto"/>
                    </w:rPr>
                  </w:pPr>
                  <w:r>
                    <w:rPr>
                      <w:color w:val="auto"/>
                    </w:rPr>
                    <w:t>218</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约10户（30人）</w:t>
                  </w:r>
                </w:p>
              </w:tc>
              <w:tc>
                <w:tcPr>
                  <w:tcW w:w="491" w:type="pct"/>
                  <w:vAlign w:val="center"/>
                </w:tcPr>
                <w:p>
                  <w:pPr>
                    <w:pStyle w:val="84"/>
                    <w:rPr>
                      <w:color w:val="auto"/>
                    </w:rPr>
                  </w:pPr>
                  <w:r>
                    <w:rPr>
                      <w:color w:val="auto"/>
                    </w:rPr>
                    <w:t>东北</w:t>
                  </w:r>
                </w:p>
              </w:tc>
              <w:tc>
                <w:tcPr>
                  <w:tcW w:w="652" w:type="pct"/>
                  <w:gridSpan w:val="2"/>
                  <w:vAlign w:val="center"/>
                </w:tcPr>
                <w:p>
                  <w:pPr>
                    <w:pStyle w:val="84"/>
                    <w:rPr>
                      <w:color w:val="auto"/>
                    </w:rPr>
                  </w:pPr>
                  <w:r>
                    <w:rPr>
                      <w:color w:val="auto"/>
                    </w:rPr>
                    <w:t>196</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约13户（39人）</w:t>
                  </w:r>
                </w:p>
              </w:tc>
              <w:tc>
                <w:tcPr>
                  <w:tcW w:w="491" w:type="pct"/>
                  <w:vAlign w:val="center"/>
                </w:tcPr>
                <w:p>
                  <w:pPr>
                    <w:pStyle w:val="84"/>
                    <w:rPr>
                      <w:color w:val="auto"/>
                    </w:rPr>
                  </w:pPr>
                  <w:r>
                    <w:rPr>
                      <w:color w:val="auto"/>
                    </w:rPr>
                    <w:t>东北</w:t>
                  </w:r>
                </w:p>
              </w:tc>
              <w:tc>
                <w:tcPr>
                  <w:tcW w:w="652" w:type="pct"/>
                  <w:gridSpan w:val="2"/>
                  <w:vAlign w:val="center"/>
                </w:tcPr>
                <w:p>
                  <w:pPr>
                    <w:pStyle w:val="84"/>
                    <w:rPr>
                      <w:color w:val="auto"/>
                    </w:rPr>
                  </w:pPr>
                  <w:r>
                    <w:rPr>
                      <w:color w:val="auto"/>
                    </w:rPr>
                    <w:t>516</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b/>
                      <w:bCs/>
                      <w:color w:val="auto"/>
                    </w:rPr>
                  </w:pPr>
                  <w:r>
                    <w:rPr>
                      <w:b/>
                      <w:bCs/>
                      <w:color w:val="auto"/>
                    </w:rPr>
                    <w:t>散居农户</w:t>
                  </w:r>
                </w:p>
              </w:tc>
              <w:tc>
                <w:tcPr>
                  <w:tcW w:w="675" w:type="pct"/>
                  <w:vAlign w:val="center"/>
                </w:tcPr>
                <w:p>
                  <w:pPr>
                    <w:pStyle w:val="84"/>
                    <w:rPr>
                      <w:b/>
                      <w:bCs/>
                      <w:color w:val="auto"/>
                    </w:rPr>
                  </w:pPr>
                  <w:r>
                    <w:rPr>
                      <w:b/>
                      <w:bCs/>
                      <w:color w:val="auto"/>
                    </w:rPr>
                    <w:t>农户</w:t>
                  </w:r>
                </w:p>
              </w:tc>
              <w:tc>
                <w:tcPr>
                  <w:tcW w:w="1057" w:type="pct"/>
                  <w:vAlign w:val="center"/>
                </w:tcPr>
                <w:p>
                  <w:pPr>
                    <w:pStyle w:val="84"/>
                    <w:rPr>
                      <w:b/>
                      <w:bCs/>
                      <w:color w:val="auto"/>
                    </w:rPr>
                  </w:pPr>
                  <w:r>
                    <w:rPr>
                      <w:b/>
                      <w:bCs/>
                      <w:color w:val="auto"/>
                    </w:rPr>
                    <w:t>约1户（3人）</w:t>
                  </w:r>
                </w:p>
              </w:tc>
              <w:tc>
                <w:tcPr>
                  <w:tcW w:w="491" w:type="pct"/>
                  <w:vAlign w:val="center"/>
                </w:tcPr>
                <w:p>
                  <w:pPr>
                    <w:pStyle w:val="84"/>
                    <w:rPr>
                      <w:b/>
                      <w:bCs/>
                      <w:color w:val="auto"/>
                    </w:rPr>
                  </w:pPr>
                  <w:r>
                    <w:rPr>
                      <w:b/>
                      <w:bCs/>
                      <w:color w:val="auto"/>
                    </w:rPr>
                    <w:t>东</w:t>
                  </w:r>
                </w:p>
              </w:tc>
              <w:tc>
                <w:tcPr>
                  <w:tcW w:w="652" w:type="pct"/>
                  <w:gridSpan w:val="2"/>
                  <w:vAlign w:val="center"/>
                </w:tcPr>
                <w:p>
                  <w:pPr>
                    <w:pStyle w:val="84"/>
                    <w:rPr>
                      <w:b/>
                      <w:bCs/>
                      <w:color w:val="auto"/>
                    </w:rPr>
                  </w:pPr>
                  <w:r>
                    <w:rPr>
                      <w:b/>
                      <w:bCs/>
                      <w:color w:val="auto"/>
                    </w:rPr>
                    <w:t>7</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b/>
                      <w:bCs/>
                      <w:color w:val="auto"/>
                    </w:rPr>
                  </w:pPr>
                  <w:r>
                    <w:rPr>
                      <w:b/>
                      <w:bCs/>
                      <w:color w:val="auto"/>
                    </w:rPr>
                    <w:t>虎林村村委会</w:t>
                  </w:r>
                </w:p>
              </w:tc>
              <w:tc>
                <w:tcPr>
                  <w:tcW w:w="675" w:type="pct"/>
                  <w:vAlign w:val="center"/>
                </w:tcPr>
                <w:p>
                  <w:pPr>
                    <w:pStyle w:val="84"/>
                    <w:rPr>
                      <w:b/>
                      <w:bCs/>
                      <w:color w:val="auto"/>
                    </w:rPr>
                  </w:pPr>
                  <w:r>
                    <w:rPr>
                      <w:b/>
                      <w:bCs/>
                      <w:color w:val="auto"/>
                    </w:rPr>
                    <w:t>行政办公</w:t>
                  </w:r>
                </w:p>
              </w:tc>
              <w:tc>
                <w:tcPr>
                  <w:tcW w:w="1057" w:type="pct"/>
                  <w:vAlign w:val="center"/>
                </w:tcPr>
                <w:p>
                  <w:pPr>
                    <w:pStyle w:val="84"/>
                    <w:rPr>
                      <w:b/>
                      <w:bCs/>
                      <w:color w:val="auto"/>
                    </w:rPr>
                  </w:pPr>
                  <w:r>
                    <w:rPr>
                      <w:b/>
                      <w:bCs/>
                      <w:color w:val="auto"/>
                    </w:rPr>
                    <w:t>约6人</w:t>
                  </w:r>
                </w:p>
              </w:tc>
              <w:tc>
                <w:tcPr>
                  <w:tcW w:w="491" w:type="pct"/>
                  <w:vAlign w:val="center"/>
                </w:tcPr>
                <w:p>
                  <w:pPr>
                    <w:pStyle w:val="84"/>
                    <w:rPr>
                      <w:b/>
                      <w:bCs/>
                      <w:color w:val="auto"/>
                    </w:rPr>
                  </w:pPr>
                  <w:r>
                    <w:rPr>
                      <w:b/>
                      <w:bCs/>
                      <w:color w:val="auto"/>
                    </w:rPr>
                    <w:t>东</w:t>
                  </w:r>
                </w:p>
              </w:tc>
              <w:tc>
                <w:tcPr>
                  <w:tcW w:w="652" w:type="pct"/>
                  <w:gridSpan w:val="2"/>
                  <w:vAlign w:val="center"/>
                </w:tcPr>
                <w:p>
                  <w:pPr>
                    <w:pStyle w:val="84"/>
                    <w:rPr>
                      <w:b/>
                      <w:bCs/>
                      <w:color w:val="auto"/>
                    </w:rPr>
                  </w:pPr>
                  <w:r>
                    <w:rPr>
                      <w:b/>
                      <w:bCs/>
                      <w:color w:val="auto"/>
                    </w:rPr>
                    <w:t>37</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b/>
                      <w:bCs/>
                      <w:color w:val="auto"/>
                    </w:rPr>
                  </w:pPr>
                  <w:r>
                    <w:rPr>
                      <w:b/>
                      <w:bCs/>
                      <w:color w:val="auto"/>
                    </w:rPr>
                    <w:t>散居农户</w:t>
                  </w:r>
                </w:p>
              </w:tc>
              <w:tc>
                <w:tcPr>
                  <w:tcW w:w="675" w:type="pct"/>
                  <w:vAlign w:val="center"/>
                </w:tcPr>
                <w:p>
                  <w:pPr>
                    <w:pStyle w:val="84"/>
                    <w:rPr>
                      <w:b/>
                      <w:bCs/>
                      <w:color w:val="auto"/>
                    </w:rPr>
                  </w:pPr>
                  <w:r>
                    <w:rPr>
                      <w:b/>
                      <w:bCs/>
                      <w:color w:val="auto"/>
                    </w:rPr>
                    <w:t>农户</w:t>
                  </w:r>
                </w:p>
              </w:tc>
              <w:tc>
                <w:tcPr>
                  <w:tcW w:w="1057" w:type="pct"/>
                  <w:vAlign w:val="center"/>
                </w:tcPr>
                <w:p>
                  <w:pPr>
                    <w:pStyle w:val="84"/>
                    <w:rPr>
                      <w:b/>
                      <w:bCs/>
                      <w:color w:val="auto"/>
                    </w:rPr>
                  </w:pPr>
                  <w:r>
                    <w:rPr>
                      <w:b/>
                      <w:bCs/>
                      <w:color w:val="auto"/>
                    </w:rPr>
                    <w:t>约12户（35人）</w:t>
                  </w:r>
                </w:p>
              </w:tc>
              <w:tc>
                <w:tcPr>
                  <w:tcW w:w="491" w:type="pct"/>
                  <w:vAlign w:val="center"/>
                </w:tcPr>
                <w:p>
                  <w:pPr>
                    <w:pStyle w:val="84"/>
                    <w:rPr>
                      <w:b/>
                      <w:bCs/>
                      <w:color w:val="auto"/>
                    </w:rPr>
                  </w:pPr>
                  <w:r>
                    <w:rPr>
                      <w:b/>
                      <w:bCs/>
                      <w:color w:val="auto"/>
                    </w:rPr>
                    <w:t>东</w:t>
                  </w:r>
                </w:p>
              </w:tc>
              <w:tc>
                <w:tcPr>
                  <w:tcW w:w="652" w:type="pct"/>
                  <w:gridSpan w:val="2"/>
                  <w:vAlign w:val="center"/>
                </w:tcPr>
                <w:p>
                  <w:pPr>
                    <w:pStyle w:val="84"/>
                    <w:rPr>
                      <w:b/>
                      <w:bCs/>
                      <w:color w:val="auto"/>
                    </w:rPr>
                  </w:pPr>
                  <w:r>
                    <w:rPr>
                      <w:b/>
                      <w:bCs/>
                      <w:color w:val="auto"/>
                    </w:rPr>
                    <w:t>48</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约4户（12人）</w:t>
                  </w:r>
                </w:p>
              </w:tc>
              <w:tc>
                <w:tcPr>
                  <w:tcW w:w="491" w:type="pct"/>
                  <w:vAlign w:val="center"/>
                </w:tcPr>
                <w:p>
                  <w:pPr>
                    <w:pStyle w:val="84"/>
                    <w:rPr>
                      <w:color w:val="auto"/>
                    </w:rPr>
                  </w:pPr>
                  <w:r>
                    <w:rPr>
                      <w:color w:val="auto"/>
                    </w:rPr>
                    <w:t>东南</w:t>
                  </w:r>
                </w:p>
              </w:tc>
              <w:tc>
                <w:tcPr>
                  <w:tcW w:w="652" w:type="pct"/>
                  <w:gridSpan w:val="2"/>
                  <w:vAlign w:val="center"/>
                </w:tcPr>
                <w:p>
                  <w:pPr>
                    <w:pStyle w:val="84"/>
                    <w:rPr>
                      <w:color w:val="auto"/>
                    </w:rPr>
                  </w:pPr>
                  <w:r>
                    <w:rPr>
                      <w:color w:val="auto"/>
                    </w:rPr>
                    <w:t>344</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约17户（50人）</w:t>
                  </w:r>
                </w:p>
              </w:tc>
              <w:tc>
                <w:tcPr>
                  <w:tcW w:w="491" w:type="pct"/>
                  <w:vAlign w:val="center"/>
                </w:tcPr>
                <w:p>
                  <w:pPr>
                    <w:pStyle w:val="84"/>
                    <w:rPr>
                      <w:color w:val="auto"/>
                    </w:rPr>
                  </w:pPr>
                  <w:r>
                    <w:rPr>
                      <w:color w:val="auto"/>
                    </w:rPr>
                    <w:t>南侧</w:t>
                  </w:r>
                </w:p>
              </w:tc>
              <w:tc>
                <w:tcPr>
                  <w:tcW w:w="652" w:type="pct"/>
                  <w:gridSpan w:val="2"/>
                  <w:vAlign w:val="center"/>
                </w:tcPr>
                <w:p>
                  <w:pPr>
                    <w:pStyle w:val="84"/>
                    <w:rPr>
                      <w:color w:val="auto"/>
                    </w:rPr>
                  </w:pPr>
                  <w:r>
                    <w:rPr>
                      <w:color w:val="auto"/>
                    </w:rPr>
                    <w:t>267</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约6户（18人）</w:t>
                  </w:r>
                </w:p>
              </w:tc>
              <w:tc>
                <w:tcPr>
                  <w:tcW w:w="491" w:type="pct"/>
                  <w:vAlign w:val="center"/>
                </w:tcPr>
                <w:p>
                  <w:pPr>
                    <w:pStyle w:val="84"/>
                    <w:rPr>
                      <w:color w:val="auto"/>
                    </w:rPr>
                  </w:pPr>
                  <w:r>
                    <w:rPr>
                      <w:color w:val="auto"/>
                    </w:rPr>
                    <w:t>南侧</w:t>
                  </w:r>
                </w:p>
              </w:tc>
              <w:tc>
                <w:tcPr>
                  <w:tcW w:w="652" w:type="pct"/>
                  <w:gridSpan w:val="2"/>
                  <w:vAlign w:val="center"/>
                </w:tcPr>
                <w:p>
                  <w:pPr>
                    <w:pStyle w:val="84"/>
                    <w:rPr>
                      <w:color w:val="auto"/>
                    </w:rPr>
                  </w:pPr>
                  <w:r>
                    <w:rPr>
                      <w:color w:val="auto"/>
                    </w:rPr>
                    <w:t>378</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约8户（25人）</w:t>
                  </w:r>
                </w:p>
              </w:tc>
              <w:tc>
                <w:tcPr>
                  <w:tcW w:w="491" w:type="pct"/>
                  <w:vAlign w:val="center"/>
                </w:tcPr>
                <w:p>
                  <w:pPr>
                    <w:pStyle w:val="84"/>
                    <w:rPr>
                      <w:color w:val="auto"/>
                    </w:rPr>
                  </w:pPr>
                  <w:r>
                    <w:rPr>
                      <w:color w:val="auto"/>
                    </w:rPr>
                    <w:t>南侧</w:t>
                  </w:r>
                </w:p>
              </w:tc>
              <w:tc>
                <w:tcPr>
                  <w:tcW w:w="652" w:type="pct"/>
                  <w:gridSpan w:val="2"/>
                  <w:vAlign w:val="center"/>
                </w:tcPr>
                <w:p>
                  <w:pPr>
                    <w:pStyle w:val="84"/>
                    <w:rPr>
                      <w:color w:val="auto"/>
                    </w:rPr>
                  </w:pPr>
                  <w:r>
                    <w:rPr>
                      <w:color w:val="auto"/>
                    </w:rPr>
                    <w:t>363</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约8户（25人）</w:t>
                  </w:r>
                </w:p>
              </w:tc>
              <w:tc>
                <w:tcPr>
                  <w:tcW w:w="491" w:type="pct"/>
                  <w:vAlign w:val="center"/>
                </w:tcPr>
                <w:p>
                  <w:pPr>
                    <w:pStyle w:val="84"/>
                    <w:rPr>
                      <w:color w:val="auto"/>
                    </w:rPr>
                  </w:pPr>
                  <w:r>
                    <w:rPr>
                      <w:color w:val="auto"/>
                    </w:rPr>
                    <w:t>西侧</w:t>
                  </w:r>
                </w:p>
              </w:tc>
              <w:tc>
                <w:tcPr>
                  <w:tcW w:w="652" w:type="pct"/>
                  <w:gridSpan w:val="2"/>
                  <w:vAlign w:val="center"/>
                </w:tcPr>
                <w:p>
                  <w:pPr>
                    <w:pStyle w:val="84"/>
                    <w:rPr>
                      <w:color w:val="auto"/>
                    </w:rPr>
                  </w:pPr>
                  <w:r>
                    <w:rPr>
                      <w:color w:val="auto"/>
                    </w:rPr>
                    <w:t>281</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约2户（6人）</w:t>
                  </w:r>
                </w:p>
              </w:tc>
              <w:tc>
                <w:tcPr>
                  <w:tcW w:w="491" w:type="pct"/>
                  <w:vAlign w:val="center"/>
                </w:tcPr>
                <w:p>
                  <w:pPr>
                    <w:pStyle w:val="84"/>
                    <w:rPr>
                      <w:color w:val="auto"/>
                    </w:rPr>
                  </w:pPr>
                  <w:r>
                    <w:rPr>
                      <w:color w:val="auto"/>
                    </w:rPr>
                    <w:t>西侧</w:t>
                  </w:r>
                </w:p>
              </w:tc>
              <w:tc>
                <w:tcPr>
                  <w:tcW w:w="652" w:type="pct"/>
                  <w:gridSpan w:val="2"/>
                  <w:vAlign w:val="center"/>
                </w:tcPr>
                <w:p>
                  <w:pPr>
                    <w:pStyle w:val="84"/>
                    <w:rPr>
                      <w:color w:val="auto"/>
                    </w:rPr>
                  </w:pPr>
                  <w:r>
                    <w:rPr>
                      <w:color w:val="auto"/>
                    </w:rPr>
                    <w:t>386</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约1户（2人）</w:t>
                  </w:r>
                </w:p>
              </w:tc>
              <w:tc>
                <w:tcPr>
                  <w:tcW w:w="491" w:type="pct"/>
                  <w:vAlign w:val="center"/>
                </w:tcPr>
                <w:p>
                  <w:pPr>
                    <w:pStyle w:val="84"/>
                    <w:rPr>
                      <w:color w:val="auto"/>
                    </w:rPr>
                  </w:pPr>
                  <w:r>
                    <w:rPr>
                      <w:color w:val="auto"/>
                    </w:rPr>
                    <w:t>西侧</w:t>
                  </w:r>
                </w:p>
              </w:tc>
              <w:tc>
                <w:tcPr>
                  <w:tcW w:w="652" w:type="pct"/>
                  <w:gridSpan w:val="2"/>
                  <w:vAlign w:val="center"/>
                </w:tcPr>
                <w:p>
                  <w:pPr>
                    <w:pStyle w:val="84"/>
                    <w:rPr>
                      <w:color w:val="auto"/>
                    </w:rPr>
                  </w:pPr>
                  <w:r>
                    <w:rPr>
                      <w:color w:val="auto"/>
                    </w:rPr>
                    <w:t>306</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约18户（60人）</w:t>
                  </w:r>
                </w:p>
              </w:tc>
              <w:tc>
                <w:tcPr>
                  <w:tcW w:w="491" w:type="pct"/>
                  <w:vAlign w:val="center"/>
                </w:tcPr>
                <w:p>
                  <w:pPr>
                    <w:pStyle w:val="84"/>
                    <w:rPr>
                      <w:color w:val="auto"/>
                    </w:rPr>
                  </w:pPr>
                  <w:r>
                    <w:rPr>
                      <w:color w:val="auto"/>
                    </w:rPr>
                    <w:t>西北</w:t>
                  </w:r>
                </w:p>
              </w:tc>
              <w:tc>
                <w:tcPr>
                  <w:tcW w:w="652" w:type="pct"/>
                  <w:gridSpan w:val="2"/>
                  <w:vAlign w:val="center"/>
                </w:tcPr>
                <w:p>
                  <w:pPr>
                    <w:pStyle w:val="84"/>
                    <w:rPr>
                      <w:color w:val="auto"/>
                    </w:rPr>
                  </w:pPr>
                  <w:r>
                    <w:rPr>
                      <w:color w:val="auto"/>
                    </w:rPr>
                    <w:t>332</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pPr>
                    <w:pStyle w:val="84"/>
                    <w:rPr>
                      <w:color w:val="auto"/>
                    </w:rPr>
                  </w:pPr>
                </w:p>
              </w:tc>
              <w:tc>
                <w:tcPr>
                  <w:tcW w:w="850" w:type="pct"/>
                  <w:vAlign w:val="center"/>
                </w:tcPr>
                <w:p>
                  <w:pPr>
                    <w:pStyle w:val="84"/>
                    <w:rPr>
                      <w:color w:val="auto"/>
                    </w:rPr>
                  </w:pPr>
                  <w:r>
                    <w:rPr>
                      <w:color w:val="auto"/>
                    </w:rPr>
                    <w:t>散居农户</w:t>
                  </w:r>
                </w:p>
              </w:tc>
              <w:tc>
                <w:tcPr>
                  <w:tcW w:w="675" w:type="pct"/>
                  <w:vAlign w:val="center"/>
                </w:tcPr>
                <w:p>
                  <w:pPr>
                    <w:pStyle w:val="84"/>
                    <w:rPr>
                      <w:color w:val="auto"/>
                    </w:rPr>
                  </w:pPr>
                  <w:r>
                    <w:rPr>
                      <w:color w:val="auto"/>
                    </w:rPr>
                    <w:t>农户</w:t>
                  </w:r>
                </w:p>
              </w:tc>
              <w:tc>
                <w:tcPr>
                  <w:tcW w:w="1057" w:type="pct"/>
                  <w:vAlign w:val="center"/>
                </w:tcPr>
                <w:p>
                  <w:pPr>
                    <w:pStyle w:val="84"/>
                    <w:rPr>
                      <w:color w:val="auto"/>
                    </w:rPr>
                  </w:pPr>
                  <w:r>
                    <w:rPr>
                      <w:color w:val="auto"/>
                    </w:rPr>
                    <w:t>约1户（3人）</w:t>
                  </w:r>
                </w:p>
              </w:tc>
              <w:tc>
                <w:tcPr>
                  <w:tcW w:w="491" w:type="pct"/>
                  <w:vAlign w:val="center"/>
                </w:tcPr>
                <w:p>
                  <w:pPr>
                    <w:pStyle w:val="84"/>
                    <w:rPr>
                      <w:color w:val="auto"/>
                    </w:rPr>
                  </w:pPr>
                  <w:r>
                    <w:rPr>
                      <w:color w:val="auto"/>
                    </w:rPr>
                    <w:t>西北</w:t>
                  </w:r>
                </w:p>
              </w:tc>
              <w:tc>
                <w:tcPr>
                  <w:tcW w:w="652" w:type="pct"/>
                  <w:gridSpan w:val="2"/>
                  <w:vAlign w:val="center"/>
                </w:tcPr>
                <w:p>
                  <w:pPr>
                    <w:pStyle w:val="84"/>
                    <w:rPr>
                      <w:color w:val="auto"/>
                    </w:rPr>
                  </w:pPr>
                  <w:r>
                    <w:rPr>
                      <w:color w:val="auto"/>
                    </w:rPr>
                    <w:t>58</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restart"/>
                  <w:vAlign w:val="center"/>
                </w:tcPr>
                <w:p>
                  <w:pPr>
                    <w:pStyle w:val="84"/>
                    <w:rPr>
                      <w:b/>
                      <w:bCs/>
                      <w:color w:val="auto"/>
                    </w:rPr>
                  </w:pPr>
                  <w:r>
                    <w:rPr>
                      <w:b/>
                      <w:bCs/>
                      <w:color w:val="auto"/>
                    </w:rPr>
                    <w:t>地表水</w:t>
                  </w:r>
                </w:p>
              </w:tc>
              <w:tc>
                <w:tcPr>
                  <w:tcW w:w="1525" w:type="pct"/>
                  <w:gridSpan w:val="2"/>
                  <w:vAlign w:val="center"/>
                </w:tcPr>
                <w:p>
                  <w:pPr>
                    <w:pStyle w:val="84"/>
                    <w:rPr>
                      <w:color w:val="auto"/>
                    </w:rPr>
                  </w:pPr>
                  <w:r>
                    <w:rPr>
                      <w:color w:val="auto"/>
                    </w:rPr>
                    <w:t>通仙溪</w:t>
                  </w:r>
                </w:p>
              </w:tc>
              <w:tc>
                <w:tcPr>
                  <w:tcW w:w="1057" w:type="pct"/>
                  <w:vAlign w:val="center"/>
                </w:tcPr>
                <w:p>
                  <w:pPr>
                    <w:pStyle w:val="84"/>
                    <w:rPr>
                      <w:color w:val="auto"/>
                    </w:rPr>
                  </w:pPr>
                  <w:r>
                    <w:rPr>
                      <w:color w:val="auto"/>
                    </w:rPr>
                    <w:t>行洪灌溉</w:t>
                  </w:r>
                </w:p>
              </w:tc>
              <w:tc>
                <w:tcPr>
                  <w:tcW w:w="494" w:type="pct"/>
                  <w:gridSpan w:val="2"/>
                  <w:vAlign w:val="center"/>
                </w:tcPr>
                <w:p>
                  <w:pPr>
                    <w:pStyle w:val="84"/>
                    <w:rPr>
                      <w:color w:val="auto"/>
                    </w:rPr>
                  </w:pPr>
                  <w:r>
                    <w:rPr>
                      <w:color w:val="auto"/>
                    </w:rPr>
                    <w:t>东北</w:t>
                  </w:r>
                </w:p>
              </w:tc>
              <w:tc>
                <w:tcPr>
                  <w:tcW w:w="649" w:type="pct"/>
                  <w:vAlign w:val="center"/>
                </w:tcPr>
                <w:p>
                  <w:pPr>
                    <w:pStyle w:val="84"/>
                    <w:rPr>
                      <w:color w:val="auto"/>
                    </w:rPr>
                  </w:pPr>
                  <w:r>
                    <w:rPr>
                      <w:color w:val="auto"/>
                    </w:rPr>
                    <w:t>130</w:t>
                  </w:r>
                </w:p>
              </w:tc>
              <w:tc>
                <w:tcPr>
                  <w:tcW w:w="853" w:type="pct"/>
                  <w:vMerge w:val="restart"/>
                  <w:vAlign w:val="center"/>
                </w:tcPr>
                <w:p>
                  <w:pPr>
                    <w:pStyle w:val="84"/>
                    <w:rPr>
                      <w:color w:val="auto"/>
                    </w:rPr>
                  </w:pPr>
                  <w:r>
                    <w:rPr>
                      <w:color w:val="auto"/>
                    </w:rPr>
                    <w:t>（GB3838-2002）Ⅲ类标准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2" w:type="pct"/>
                  <w:vMerge w:val="continue"/>
                  <w:vAlign w:val="center"/>
                </w:tcPr>
                <w:p>
                  <w:pPr>
                    <w:pStyle w:val="84"/>
                    <w:rPr>
                      <w:b/>
                      <w:bCs/>
                      <w:color w:val="auto"/>
                    </w:rPr>
                  </w:pPr>
                </w:p>
              </w:tc>
              <w:tc>
                <w:tcPr>
                  <w:tcW w:w="1525" w:type="pct"/>
                  <w:gridSpan w:val="2"/>
                  <w:vAlign w:val="center"/>
                </w:tcPr>
                <w:p>
                  <w:pPr>
                    <w:pStyle w:val="84"/>
                    <w:rPr>
                      <w:color w:val="auto"/>
                    </w:rPr>
                  </w:pPr>
                  <w:r>
                    <w:rPr>
                      <w:color w:val="auto"/>
                    </w:rPr>
                    <w:t>郪江</w:t>
                  </w:r>
                </w:p>
              </w:tc>
              <w:tc>
                <w:tcPr>
                  <w:tcW w:w="1057" w:type="pct"/>
                  <w:vAlign w:val="center"/>
                </w:tcPr>
                <w:p>
                  <w:pPr>
                    <w:pStyle w:val="84"/>
                    <w:rPr>
                      <w:color w:val="auto"/>
                    </w:rPr>
                  </w:pPr>
                  <w:r>
                    <w:rPr>
                      <w:color w:val="auto"/>
                    </w:rPr>
                    <w:t>行洪灌溉</w:t>
                  </w:r>
                </w:p>
              </w:tc>
              <w:tc>
                <w:tcPr>
                  <w:tcW w:w="494" w:type="pct"/>
                  <w:gridSpan w:val="2"/>
                  <w:vAlign w:val="center"/>
                </w:tcPr>
                <w:p>
                  <w:pPr>
                    <w:pStyle w:val="84"/>
                    <w:rPr>
                      <w:color w:val="auto"/>
                    </w:rPr>
                  </w:pPr>
                  <w:r>
                    <w:rPr>
                      <w:color w:val="auto"/>
                    </w:rPr>
                    <w:t>南</w:t>
                  </w:r>
                </w:p>
              </w:tc>
              <w:tc>
                <w:tcPr>
                  <w:tcW w:w="649" w:type="pct"/>
                  <w:vAlign w:val="center"/>
                </w:tcPr>
                <w:p>
                  <w:pPr>
                    <w:pStyle w:val="84"/>
                    <w:rPr>
                      <w:color w:val="auto"/>
                    </w:rPr>
                  </w:pPr>
                  <w:r>
                    <w:rPr>
                      <w:color w:val="auto"/>
                    </w:rPr>
                    <w:t>200</w:t>
                  </w:r>
                </w:p>
              </w:tc>
              <w:tc>
                <w:tcPr>
                  <w:tcW w:w="853" w:type="pct"/>
                  <w:vMerge w:val="continue"/>
                  <w:vAlign w:val="center"/>
                </w:tcPr>
                <w:p>
                  <w:pPr>
                    <w:pStyle w:val="8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2" w:type="pct"/>
                  <w:vAlign w:val="center"/>
                </w:tcPr>
                <w:p>
                  <w:pPr>
                    <w:pStyle w:val="84"/>
                    <w:rPr>
                      <w:b/>
                      <w:bCs/>
                      <w:color w:val="auto"/>
                    </w:rPr>
                  </w:pPr>
                  <w:r>
                    <w:rPr>
                      <w:b/>
                      <w:bCs/>
                      <w:color w:val="auto"/>
                    </w:rPr>
                    <w:t>声环境</w:t>
                  </w:r>
                </w:p>
              </w:tc>
              <w:tc>
                <w:tcPr>
                  <w:tcW w:w="3725" w:type="pct"/>
                  <w:gridSpan w:val="6"/>
                  <w:vAlign w:val="center"/>
                </w:tcPr>
                <w:p>
                  <w:pPr>
                    <w:pStyle w:val="84"/>
                    <w:rPr>
                      <w:color w:val="auto"/>
                    </w:rPr>
                  </w:pPr>
                  <w:r>
                    <w:rPr>
                      <w:color w:val="auto"/>
                    </w:rPr>
                    <w:t>厂界外50m范围内的散居农户</w:t>
                  </w:r>
                </w:p>
              </w:tc>
              <w:tc>
                <w:tcPr>
                  <w:tcW w:w="853" w:type="pct"/>
                  <w:vAlign w:val="center"/>
                </w:tcPr>
                <w:p>
                  <w:pPr>
                    <w:pStyle w:val="84"/>
                    <w:rPr>
                      <w:color w:val="auto"/>
                    </w:rPr>
                  </w:pPr>
                  <w:r>
                    <w:rPr>
                      <w:color w:val="auto"/>
                    </w:rPr>
                    <w:t>（GB3096-2008）2类功能区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2" w:type="pct"/>
                  <w:vAlign w:val="center"/>
                </w:tcPr>
                <w:p>
                  <w:pPr>
                    <w:pStyle w:val="84"/>
                    <w:rPr>
                      <w:b/>
                      <w:bCs/>
                      <w:color w:val="auto"/>
                    </w:rPr>
                  </w:pPr>
                  <w:r>
                    <w:rPr>
                      <w:rFonts w:hint="eastAsia"/>
                      <w:b/>
                      <w:bCs/>
                      <w:color w:val="auto"/>
                    </w:rPr>
                    <w:t>地下水环境</w:t>
                  </w:r>
                </w:p>
              </w:tc>
              <w:tc>
                <w:tcPr>
                  <w:tcW w:w="3725" w:type="pct"/>
                  <w:gridSpan w:val="6"/>
                  <w:vAlign w:val="center"/>
                </w:tcPr>
                <w:p>
                  <w:pPr>
                    <w:pStyle w:val="84"/>
                    <w:rPr>
                      <w:color w:val="auto"/>
                    </w:rPr>
                  </w:pPr>
                  <w:r>
                    <w:rPr>
                      <w:color w:val="auto"/>
                    </w:rPr>
                    <w:t>区域地下水环境质量</w:t>
                  </w:r>
                </w:p>
              </w:tc>
              <w:tc>
                <w:tcPr>
                  <w:tcW w:w="853" w:type="pct"/>
                  <w:vAlign w:val="center"/>
                </w:tcPr>
                <w:p>
                  <w:pPr>
                    <w:pStyle w:val="84"/>
                    <w:rPr>
                      <w:color w:val="auto"/>
                    </w:rPr>
                  </w:pPr>
                  <w:r>
                    <w:rPr>
                      <w:color w:val="auto"/>
                    </w:rPr>
                    <w:t>《地下水质量标准》（GB/T14848-2017）</w:t>
                  </w:r>
                  <w:r>
                    <w:rPr>
                      <w:rFonts w:hint="eastAsia" w:ascii="宋体" w:hAnsi="宋体" w:cs="宋体"/>
                      <w:color w:val="auto"/>
                    </w:rPr>
                    <w:t>Ⅲ</w:t>
                  </w:r>
                  <w:r>
                    <w:rPr>
                      <w:color w:val="auto"/>
                    </w:rPr>
                    <w:t>类标准</w:t>
                  </w:r>
                </w:p>
              </w:tc>
            </w:tr>
          </w:tbl>
          <w:p>
            <w:pPr>
              <w:spacing w:line="480" w:lineRule="exact"/>
              <w:rPr>
                <w:kern w:val="0"/>
                <w:szCs w:val="21"/>
              </w:rPr>
            </w:pPr>
          </w:p>
          <w:p>
            <w:pPr>
              <w:pStyle w:val="2"/>
            </w:pPr>
          </w:p>
          <w:p>
            <w:pPr>
              <w:pStyle w:val="2"/>
            </w:pPr>
          </w:p>
          <w:p>
            <w:pPr>
              <w:pStyle w:val="2"/>
            </w:pPr>
          </w:p>
          <w:p>
            <w:pPr>
              <w:pStyle w:val="2"/>
            </w:pPr>
          </w:p>
          <w:p>
            <w:pPr>
              <w:pStyle w:val="2"/>
              <w:ind w:left="0" w:leftChars="0" w:firstLine="0" w:firstLineChars="0"/>
            </w:pPr>
          </w:p>
          <w:p>
            <w:pPr>
              <w:pStyle w:val="2"/>
              <w:ind w:left="0" w:leftChars="0" w:firstLine="0" w:firstLineChars="0"/>
            </w:pPr>
          </w:p>
        </w:tc>
      </w:tr>
    </w:tbl>
    <w:p>
      <w:p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8825" w:type="dxa"/>
            <w:vAlign w:val="center"/>
          </w:tcPr>
          <w:p>
            <w:pPr>
              <w:adjustRightInd w:val="0"/>
              <w:snapToGrid w:val="0"/>
              <w:jc w:val="center"/>
              <w:rPr>
                <w:b/>
                <w:bCs/>
                <w:sz w:val="24"/>
              </w:rPr>
            </w:pPr>
            <w:r>
              <w:rPr>
                <w:b/>
                <w:bCs/>
                <w:kern w:val="0"/>
                <w:sz w:val="24"/>
              </w:rPr>
              <w:t>污染物排放控制标准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8825" w:type="dxa"/>
            <w:tcMar>
              <w:left w:w="28" w:type="dxa"/>
              <w:right w:w="28" w:type="dxa"/>
            </w:tcMar>
            <w:vAlign w:val="center"/>
          </w:tcPr>
          <w:p>
            <w:pPr>
              <w:autoSpaceDE w:val="0"/>
              <w:autoSpaceDN w:val="0"/>
              <w:adjustRightInd w:val="0"/>
              <w:snapToGrid w:val="0"/>
              <w:spacing w:line="480" w:lineRule="exact"/>
              <w:rPr>
                <w:b/>
                <w:spacing w:val="-4"/>
                <w:sz w:val="24"/>
              </w:rPr>
            </w:pPr>
            <w:r>
              <w:rPr>
                <w:b/>
                <w:spacing w:val="-4"/>
                <w:sz w:val="24"/>
              </w:rPr>
              <w:t>1</w:t>
            </w:r>
            <w:r>
              <w:rPr>
                <w:rFonts w:eastAsiaTheme="minorEastAsia"/>
                <w:b/>
                <w:bCs/>
                <w:sz w:val="24"/>
              </w:rPr>
              <w:t>、</w:t>
            </w:r>
            <w:r>
              <w:rPr>
                <w:b/>
                <w:spacing w:val="-4"/>
                <w:sz w:val="24"/>
              </w:rPr>
              <w:t>大气污染物排放标准</w:t>
            </w:r>
          </w:p>
          <w:p>
            <w:pPr>
              <w:kinsoku w:val="0"/>
              <w:overflowPunct w:val="0"/>
              <w:autoSpaceDE w:val="0"/>
              <w:autoSpaceDN w:val="0"/>
              <w:adjustRightInd w:val="0"/>
              <w:snapToGrid w:val="0"/>
              <w:spacing w:line="480" w:lineRule="exact"/>
              <w:ind w:firstLine="480" w:firstLineChars="200"/>
              <w:jc w:val="left"/>
              <w:rPr>
                <w:sz w:val="24"/>
              </w:rPr>
            </w:pPr>
            <w:r>
              <w:rPr>
                <w:rFonts w:hint="eastAsia"/>
                <w:sz w:val="24"/>
              </w:rPr>
              <w:t>颗粒物</w:t>
            </w:r>
            <w:r>
              <w:rPr>
                <w:sz w:val="24"/>
              </w:rPr>
              <w:t>排放执行《四川省水泥工业大气污染物排放标准》（DB51/2864-2021）中大气污染物的相关排放标准。</w:t>
            </w:r>
          </w:p>
          <w:p>
            <w:pPr>
              <w:overflowPunct w:val="0"/>
              <w:adjustRightInd w:val="0"/>
              <w:snapToGrid w:val="0"/>
              <w:spacing w:before="120" w:beforeLines="50"/>
              <w:ind w:firstLine="422" w:firstLineChars="200"/>
              <w:jc w:val="center"/>
              <w:rPr>
                <w:b/>
              </w:rPr>
            </w:pPr>
            <w:r>
              <w:rPr>
                <w:b/>
              </w:rPr>
              <w:t>表3-8 《四川省水泥工业大气污染物排放标准》（DB51/2864-2021）</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219"/>
              <w:gridCol w:w="2414"/>
              <w:gridCol w:w="826"/>
              <w:gridCol w:w="1918"/>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6" w:type="pct"/>
                  <w:vMerge w:val="restart"/>
                  <w:vAlign w:val="center"/>
                </w:tcPr>
                <w:p>
                  <w:pPr>
                    <w:overflowPunct w:val="0"/>
                    <w:adjustRightInd w:val="0"/>
                    <w:snapToGrid w:val="0"/>
                    <w:jc w:val="center"/>
                    <w:rPr>
                      <w:b/>
                      <w:bCs/>
                      <w:kern w:val="0"/>
                    </w:rPr>
                  </w:pPr>
                  <w:r>
                    <w:rPr>
                      <w:b/>
                      <w:bCs/>
                      <w:kern w:val="0"/>
                    </w:rPr>
                    <w:t>污染物</w:t>
                  </w:r>
                </w:p>
              </w:tc>
              <w:tc>
                <w:tcPr>
                  <w:tcW w:w="465" w:type="pct"/>
                  <w:vMerge w:val="restart"/>
                  <w:vAlign w:val="center"/>
                </w:tcPr>
                <w:p>
                  <w:pPr>
                    <w:overflowPunct w:val="0"/>
                    <w:adjustRightInd w:val="0"/>
                    <w:snapToGrid w:val="0"/>
                    <w:jc w:val="center"/>
                    <w:rPr>
                      <w:b/>
                      <w:bCs/>
                      <w:kern w:val="0"/>
                    </w:rPr>
                  </w:pPr>
                  <w:r>
                    <w:rPr>
                      <w:b/>
                      <w:bCs/>
                      <w:kern w:val="0"/>
                    </w:rPr>
                    <w:t>最高允许排放浓度（mg/m</w:t>
                  </w:r>
                  <w:r>
                    <w:rPr>
                      <w:b/>
                      <w:bCs/>
                      <w:kern w:val="0"/>
                      <w:vertAlign w:val="superscript"/>
                    </w:rPr>
                    <w:t>3</w:t>
                  </w:r>
                  <w:r>
                    <w:rPr>
                      <w:b/>
                      <w:bCs/>
                      <w:kern w:val="0"/>
                    </w:rPr>
                    <w:t>）</w:t>
                  </w:r>
                </w:p>
              </w:tc>
              <w:tc>
                <w:tcPr>
                  <w:tcW w:w="1941" w:type="pct"/>
                  <w:gridSpan w:val="2"/>
                  <w:vAlign w:val="center"/>
                </w:tcPr>
                <w:p>
                  <w:pPr>
                    <w:overflowPunct w:val="0"/>
                    <w:adjustRightInd w:val="0"/>
                    <w:snapToGrid w:val="0"/>
                    <w:jc w:val="center"/>
                    <w:rPr>
                      <w:b/>
                      <w:bCs/>
                      <w:kern w:val="0"/>
                    </w:rPr>
                  </w:pPr>
                  <w:r>
                    <w:rPr>
                      <w:b/>
                      <w:bCs/>
                      <w:kern w:val="0"/>
                    </w:rPr>
                    <w:t>最高允许排放速率（kg/h）</w:t>
                  </w:r>
                </w:p>
              </w:tc>
              <w:tc>
                <w:tcPr>
                  <w:tcW w:w="1947" w:type="pct"/>
                  <w:gridSpan w:val="2"/>
                  <w:vMerge w:val="restart"/>
                  <w:vAlign w:val="center"/>
                </w:tcPr>
                <w:p>
                  <w:pPr>
                    <w:overflowPunct w:val="0"/>
                    <w:adjustRightInd w:val="0"/>
                    <w:snapToGrid w:val="0"/>
                    <w:jc w:val="center"/>
                    <w:rPr>
                      <w:b/>
                      <w:bCs/>
                      <w:kern w:val="0"/>
                    </w:rPr>
                  </w:pPr>
                  <w:r>
                    <w:rPr>
                      <w:b/>
                      <w:bCs/>
                      <w:kern w:val="0"/>
                    </w:rPr>
                    <w:t>无组织排放监控浓度限值（mg/m</w:t>
                  </w:r>
                  <w:r>
                    <w:rPr>
                      <w:b/>
                      <w:bCs/>
                      <w:kern w:val="0"/>
                      <w:vertAlign w:val="superscript"/>
                    </w:rPr>
                    <w:t>3</w:t>
                  </w:r>
                  <w:r>
                    <w:rPr>
                      <w:b/>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6" w:type="pct"/>
                  <w:vMerge w:val="continue"/>
                  <w:shd w:val="clear" w:color="auto" w:fill="CCFFCC"/>
                  <w:vAlign w:val="center"/>
                </w:tcPr>
                <w:p>
                  <w:pPr>
                    <w:overflowPunct w:val="0"/>
                    <w:adjustRightInd w:val="0"/>
                    <w:snapToGrid w:val="0"/>
                    <w:jc w:val="center"/>
                    <w:rPr>
                      <w:kern w:val="0"/>
                    </w:rPr>
                  </w:pPr>
                </w:p>
              </w:tc>
              <w:tc>
                <w:tcPr>
                  <w:tcW w:w="465" w:type="pct"/>
                  <w:vMerge w:val="continue"/>
                  <w:shd w:val="clear" w:color="auto" w:fill="CCFFCC"/>
                  <w:vAlign w:val="center"/>
                </w:tcPr>
                <w:p>
                  <w:pPr>
                    <w:overflowPunct w:val="0"/>
                    <w:adjustRightInd w:val="0"/>
                    <w:snapToGrid w:val="0"/>
                    <w:jc w:val="center"/>
                    <w:rPr>
                      <w:kern w:val="0"/>
                    </w:rPr>
                  </w:pPr>
                </w:p>
              </w:tc>
              <w:tc>
                <w:tcPr>
                  <w:tcW w:w="1424" w:type="pct"/>
                  <w:shd w:val="clear" w:color="auto" w:fill="auto"/>
                  <w:vAlign w:val="center"/>
                </w:tcPr>
                <w:p>
                  <w:pPr>
                    <w:overflowPunct w:val="0"/>
                    <w:adjustRightInd w:val="0"/>
                    <w:snapToGrid w:val="0"/>
                    <w:jc w:val="center"/>
                    <w:rPr>
                      <w:b/>
                      <w:bCs/>
                      <w:kern w:val="0"/>
                    </w:rPr>
                  </w:pPr>
                  <w:r>
                    <w:rPr>
                      <w:b/>
                      <w:bCs/>
                      <w:kern w:val="0"/>
                    </w:rPr>
                    <w:t>排气筒（m）</w:t>
                  </w:r>
                </w:p>
              </w:tc>
              <w:tc>
                <w:tcPr>
                  <w:tcW w:w="518" w:type="pct"/>
                  <w:shd w:val="clear" w:color="auto" w:fill="auto"/>
                  <w:vAlign w:val="center"/>
                </w:tcPr>
                <w:p>
                  <w:pPr>
                    <w:overflowPunct w:val="0"/>
                    <w:adjustRightInd w:val="0"/>
                    <w:snapToGrid w:val="0"/>
                    <w:jc w:val="center"/>
                    <w:rPr>
                      <w:b/>
                      <w:bCs/>
                      <w:kern w:val="0"/>
                    </w:rPr>
                  </w:pPr>
                  <w:r>
                    <w:rPr>
                      <w:b/>
                      <w:bCs/>
                      <w:kern w:val="0"/>
                    </w:rPr>
                    <w:t>二级</w:t>
                  </w:r>
                </w:p>
              </w:tc>
              <w:tc>
                <w:tcPr>
                  <w:tcW w:w="1947" w:type="pct"/>
                  <w:gridSpan w:val="2"/>
                  <w:vMerge w:val="continue"/>
                  <w:shd w:val="clear" w:color="auto" w:fill="CCFFCC"/>
                  <w:vAlign w:val="center"/>
                </w:tcPr>
                <w:p>
                  <w:pPr>
                    <w:overflowPunct w:val="0"/>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6" w:type="pct"/>
                  <w:vAlign w:val="center"/>
                </w:tcPr>
                <w:p>
                  <w:pPr>
                    <w:overflowPunct w:val="0"/>
                    <w:adjustRightInd w:val="0"/>
                    <w:snapToGrid w:val="0"/>
                    <w:jc w:val="center"/>
                    <w:rPr>
                      <w:kern w:val="0"/>
                    </w:rPr>
                  </w:pPr>
                  <w:r>
                    <w:rPr>
                      <w:bCs/>
                    </w:rPr>
                    <w:t>颗粒物</w:t>
                  </w:r>
                </w:p>
              </w:tc>
              <w:tc>
                <w:tcPr>
                  <w:tcW w:w="465" w:type="pct"/>
                  <w:vAlign w:val="center"/>
                </w:tcPr>
                <w:p>
                  <w:pPr>
                    <w:overflowPunct w:val="0"/>
                    <w:adjustRightInd w:val="0"/>
                    <w:snapToGrid w:val="0"/>
                    <w:jc w:val="center"/>
                    <w:rPr>
                      <w:kern w:val="0"/>
                    </w:rPr>
                  </w:pPr>
                  <w:r>
                    <w:rPr>
                      <w:kern w:val="0"/>
                    </w:rPr>
                    <w:t>10</w:t>
                  </w:r>
                </w:p>
              </w:tc>
              <w:tc>
                <w:tcPr>
                  <w:tcW w:w="1941" w:type="pct"/>
                  <w:gridSpan w:val="2"/>
                  <w:vAlign w:val="center"/>
                </w:tcPr>
                <w:p>
                  <w:pPr>
                    <w:overflowPunct w:val="0"/>
                    <w:adjustRightInd w:val="0"/>
                    <w:snapToGrid w:val="0"/>
                    <w:jc w:val="center"/>
                    <w:rPr>
                      <w:kern w:val="0"/>
                    </w:rPr>
                  </w:pPr>
                  <w:r>
                    <w:rPr>
                      <w:kern w:val="0"/>
                    </w:rPr>
                    <w:t>/</w:t>
                  </w:r>
                </w:p>
              </w:tc>
              <w:tc>
                <w:tcPr>
                  <w:tcW w:w="1141" w:type="pct"/>
                  <w:vAlign w:val="center"/>
                </w:tcPr>
                <w:p>
                  <w:pPr>
                    <w:overflowPunct w:val="0"/>
                    <w:adjustRightInd w:val="0"/>
                    <w:snapToGrid w:val="0"/>
                    <w:jc w:val="center"/>
                    <w:rPr>
                      <w:szCs w:val="21"/>
                    </w:rPr>
                  </w:pPr>
                  <w:r>
                    <w:rPr>
                      <w:szCs w:val="21"/>
                    </w:rPr>
                    <w:t>周围外浓度最高点</w:t>
                  </w:r>
                </w:p>
              </w:tc>
              <w:tc>
                <w:tcPr>
                  <w:tcW w:w="806" w:type="pct"/>
                  <w:vAlign w:val="center"/>
                </w:tcPr>
                <w:p>
                  <w:pPr>
                    <w:overflowPunct w:val="0"/>
                    <w:adjustRightInd w:val="0"/>
                    <w:snapToGrid w:val="0"/>
                    <w:jc w:val="center"/>
                    <w:rPr>
                      <w:szCs w:val="21"/>
                    </w:rPr>
                  </w:pPr>
                  <w:r>
                    <w:rPr>
                      <w:szCs w:val="21"/>
                    </w:rPr>
                    <w:t>0.3</w:t>
                  </w:r>
                </w:p>
              </w:tc>
            </w:tr>
          </w:tbl>
          <w:p>
            <w:pPr>
              <w:kinsoku w:val="0"/>
              <w:overflowPunct w:val="0"/>
              <w:autoSpaceDE w:val="0"/>
              <w:autoSpaceDN w:val="0"/>
              <w:adjustRightInd w:val="0"/>
              <w:snapToGrid w:val="0"/>
              <w:spacing w:line="480" w:lineRule="exact"/>
              <w:ind w:firstLine="480" w:firstLineChars="200"/>
              <w:jc w:val="left"/>
              <w:rPr>
                <w:sz w:val="24"/>
              </w:rPr>
            </w:pPr>
            <w:r>
              <w:rPr>
                <w:sz w:val="24"/>
              </w:rPr>
              <w:t>锅炉采用天然气加热，各项指标执行《锅炉大气污染物排放标准》（GB13271-2014）表3燃气特别排放限值。</w:t>
            </w:r>
          </w:p>
          <w:p>
            <w:pPr>
              <w:spacing w:before="120" w:beforeLines="50"/>
              <w:jc w:val="center"/>
              <w:rPr>
                <w:b/>
                <w:bCs/>
              </w:rPr>
            </w:pPr>
            <w:r>
              <w:rPr>
                <w:b/>
                <w:bCs/>
              </w:rPr>
              <w:t>表3-9锅炉大气污染物排放标准</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253"/>
              <w:gridCol w:w="185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 w:type="pct"/>
                  <w:vAlign w:val="center"/>
                </w:tcPr>
                <w:p>
                  <w:pPr>
                    <w:jc w:val="center"/>
                    <w:rPr>
                      <w:b/>
                      <w:szCs w:val="21"/>
                    </w:rPr>
                  </w:pPr>
                  <w:r>
                    <w:rPr>
                      <w:b/>
                      <w:szCs w:val="21"/>
                    </w:rPr>
                    <w:t>污染物</w:t>
                  </w:r>
                </w:p>
              </w:tc>
              <w:tc>
                <w:tcPr>
                  <w:tcW w:w="715" w:type="pct"/>
                  <w:vAlign w:val="center"/>
                </w:tcPr>
                <w:p>
                  <w:pPr>
                    <w:jc w:val="center"/>
                    <w:rPr>
                      <w:b/>
                      <w:szCs w:val="21"/>
                    </w:rPr>
                  </w:pPr>
                  <w:r>
                    <w:rPr>
                      <w:b/>
                      <w:szCs w:val="21"/>
                    </w:rPr>
                    <w:t>排气筒高度（m）</w:t>
                  </w:r>
                </w:p>
              </w:tc>
              <w:tc>
                <w:tcPr>
                  <w:tcW w:w="1059" w:type="pct"/>
                  <w:vAlign w:val="center"/>
                </w:tcPr>
                <w:p>
                  <w:pPr>
                    <w:jc w:val="center"/>
                    <w:rPr>
                      <w:b/>
                      <w:szCs w:val="21"/>
                    </w:rPr>
                  </w:pPr>
                  <w:r>
                    <w:rPr>
                      <w:b/>
                      <w:szCs w:val="21"/>
                    </w:rPr>
                    <w:t>最高允许排放浓度（mg/m</w:t>
                  </w:r>
                  <w:r>
                    <w:rPr>
                      <w:b/>
                      <w:szCs w:val="21"/>
                      <w:vertAlign w:val="superscript"/>
                    </w:rPr>
                    <w:t>3</w:t>
                  </w:r>
                  <w:r>
                    <w:rPr>
                      <w:b/>
                      <w:szCs w:val="21"/>
                    </w:rPr>
                    <w:t>）</w:t>
                  </w:r>
                </w:p>
              </w:tc>
              <w:tc>
                <w:tcPr>
                  <w:tcW w:w="2389" w:type="pct"/>
                  <w:vAlign w:val="center"/>
                </w:tcPr>
                <w:p>
                  <w:pPr>
                    <w:jc w:val="center"/>
                    <w:rPr>
                      <w:b/>
                      <w:szCs w:val="21"/>
                    </w:rPr>
                  </w:pPr>
                  <w:r>
                    <w:rPr>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 w:type="pct"/>
                  <w:vAlign w:val="center"/>
                </w:tcPr>
                <w:p>
                  <w:pPr>
                    <w:jc w:val="center"/>
                    <w:rPr>
                      <w:szCs w:val="21"/>
                    </w:rPr>
                  </w:pPr>
                  <w:r>
                    <w:rPr>
                      <w:szCs w:val="21"/>
                    </w:rPr>
                    <w:t>颗粒物</w:t>
                  </w:r>
                </w:p>
              </w:tc>
              <w:tc>
                <w:tcPr>
                  <w:tcW w:w="715" w:type="pct"/>
                  <w:vAlign w:val="center"/>
                </w:tcPr>
                <w:p>
                  <w:pPr>
                    <w:jc w:val="center"/>
                    <w:rPr>
                      <w:szCs w:val="21"/>
                    </w:rPr>
                  </w:pPr>
                  <w:r>
                    <w:rPr>
                      <w:szCs w:val="21"/>
                    </w:rPr>
                    <w:t>≥15</w:t>
                  </w:r>
                </w:p>
              </w:tc>
              <w:tc>
                <w:tcPr>
                  <w:tcW w:w="1059" w:type="pct"/>
                  <w:vAlign w:val="center"/>
                </w:tcPr>
                <w:p>
                  <w:pPr>
                    <w:jc w:val="center"/>
                    <w:rPr>
                      <w:szCs w:val="21"/>
                    </w:rPr>
                  </w:pPr>
                  <w:r>
                    <w:rPr>
                      <w:szCs w:val="21"/>
                    </w:rPr>
                    <w:t>20</w:t>
                  </w:r>
                </w:p>
              </w:tc>
              <w:tc>
                <w:tcPr>
                  <w:tcW w:w="2389" w:type="pct"/>
                  <w:vMerge w:val="restart"/>
                  <w:vAlign w:val="center"/>
                </w:tcPr>
                <w:p>
                  <w:pPr>
                    <w:jc w:val="center"/>
                    <w:rPr>
                      <w:szCs w:val="21"/>
                    </w:rPr>
                  </w:pPr>
                  <w:r>
                    <w:rPr>
                      <w:szCs w:val="21"/>
                    </w:rPr>
                    <w:t>《锅炉大气污染物排放标准》（</w:t>
                  </w:r>
                  <w:r>
                    <w:rPr>
                      <w:szCs w:val="21"/>
                      <w:shd w:val="clear" w:color="auto" w:fill="FFFFFF"/>
                    </w:rPr>
                    <w:t>GB13271-2014</w:t>
                  </w:r>
                  <w:r>
                    <w:rPr>
                      <w:szCs w:val="21"/>
                    </w:rPr>
                    <w:t>）表3 中燃气锅炉特别排放限值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 w:type="pct"/>
                  <w:vAlign w:val="center"/>
                </w:tcPr>
                <w:p>
                  <w:pPr>
                    <w:jc w:val="center"/>
                    <w:rPr>
                      <w:szCs w:val="21"/>
                    </w:rPr>
                  </w:pPr>
                  <w:r>
                    <w:rPr>
                      <w:szCs w:val="21"/>
                    </w:rPr>
                    <w:t>SO</w:t>
                  </w:r>
                  <w:r>
                    <w:rPr>
                      <w:szCs w:val="21"/>
                      <w:vertAlign w:val="subscript"/>
                    </w:rPr>
                    <w:t>2</w:t>
                  </w:r>
                </w:p>
              </w:tc>
              <w:tc>
                <w:tcPr>
                  <w:tcW w:w="715" w:type="pct"/>
                  <w:vAlign w:val="center"/>
                </w:tcPr>
                <w:p>
                  <w:pPr>
                    <w:jc w:val="center"/>
                    <w:rPr>
                      <w:szCs w:val="21"/>
                    </w:rPr>
                  </w:pPr>
                  <w:r>
                    <w:rPr>
                      <w:szCs w:val="21"/>
                    </w:rPr>
                    <w:t>≥15</w:t>
                  </w:r>
                </w:p>
              </w:tc>
              <w:tc>
                <w:tcPr>
                  <w:tcW w:w="1059" w:type="pct"/>
                  <w:vAlign w:val="center"/>
                </w:tcPr>
                <w:p>
                  <w:pPr>
                    <w:jc w:val="center"/>
                    <w:rPr>
                      <w:szCs w:val="21"/>
                    </w:rPr>
                  </w:pPr>
                  <w:r>
                    <w:rPr>
                      <w:szCs w:val="21"/>
                    </w:rPr>
                    <w:t>50</w:t>
                  </w:r>
                </w:p>
              </w:tc>
              <w:tc>
                <w:tcPr>
                  <w:tcW w:w="2389" w:type="pct"/>
                  <w:vMerge w:val="continue"/>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 w:type="pct"/>
                  <w:vAlign w:val="center"/>
                </w:tcPr>
                <w:p>
                  <w:pPr>
                    <w:jc w:val="center"/>
                    <w:rPr>
                      <w:szCs w:val="21"/>
                    </w:rPr>
                  </w:pPr>
                  <w:r>
                    <w:rPr>
                      <w:szCs w:val="21"/>
                    </w:rPr>
                    <w:t>林格曼黑度</w:t>
                  </w:r>
                </w:p>
              </w:tc>
              <w:tc>
                <w:tcPr>
                  <w:tcW w:w="715" w:type="pct"/>
                  <w:vAlign w:val="center"/>
                </w:tcPr>
                <w:p>
                  <w:pPr>
                    <w:jc w:val="center"/>
                    <w:rPr>
                      <w:szCs w:val="21"/>
                    </w:rPr>
                  </w:pPr>
                  <w:r>
                    <w:rPr>
                      <w:szCs w:val="21"/>
                    </w:rPr>
                    <w:t>≥15</w:t>
                  </w:r>
                </w:p>
              </w:tc>
              <w:tc>
                <w:tcPr>
                  <w:tcW w:w="1059" w:type="pct"/>
                  <w:vAlign w:val="center"/>
                </w:tcPr>
                <w:p>
                  <w:pPr>
                    <w:jc w:val="center"/>
                    <w:rPr>
                      <w:szCs w:val="21"/>
                    </w:rPr>
                  </w:pPr>
                  <w:r>
                    <w:rPr>
                      <w:szCs w:val="21"/>
                    </w:rPr>
                    <w:t>≤1</w:t>
                  </w:r>
                </w:p>
              </w:tc>
              <w:tc>
                <w:tcPr>
                  <w:tcW w:w="2389" w:type="pct"/>
                  <w:vMerge w:val="continue"/>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 w:type="pct"/>
                  <w:vAlign w:val="center"/>
                </w:tcPr>
                <w:p>
                  <w:pPr>
                    <w:jc w:val="center"/>
                    <w:rPr>
                      <w:szCs w:val="21"/>
                    </w:rPr>
                  </w:pPr>
                  <w:r>
                    <w:rPr>
                      <w:szCs w:val="21"/>
                    </w:rPr>
                    <w:t>NO</w:t>
                  </w:r>
                  <w:r>
                    <w:rPr>
                      <w:szCs w:val="21"/>
                      <w:vertAlign w:val="subscript"/>
                    </w:rPr>
                    <w:t>x</w:t>
                  </w:r>
                </w:p>
              </w:tc>
              <w:tc>
                <w:tcPr>
                  <w:tcW w:w="715" w:type="pct"/>
                  <w:vAlign w:val="center"/>
                </w:tcPr>
                <w:p>
                  <w:pPr>
                    <w:jc w:val="center"/>
                    <w:rPr>
                      <w:szCs w:val="21"/>
                    </w:rPr>
                  </w:pPr>
                  <w:r>
                    <w:rPr>
                      <w:szCs w:val="21"/>
                    </w:rPr>
                    <w:t>≥15</w:t>
                  </w:r>
                </w:p>
              </w:tc>
              <w:tc>
                <w:tcPr>
                  <w:tcW w:w="1059" w:type="pct"/>
                  <w:vAlign w:val="center"/>
                </w:tcPr>
                <w:p>
                  <w:pPr>
                    <w:jc w:val="center"/>
                    <w:rPr>
                      <w:szCs w:val="21"/>
                    </w:rPr>
                  </w:pPr>
                  <w:r>
                    <w:rPr>
                      <w:szCs w:val="21"/>
                    </w:rPr>
                    <w:t>150</w:t>
                  </w:r>
                </w:p>
              </w:tc>
              <w:tc>
                <w:tcPr>
                  <w:tcW w:w="2389" w:type="pct"/>
                  <w:vMerge w:val="continue"/>
                  <w:vAlign w:val="center"/>
                </w:tcPr>
                <w:p>
                  <w:pPr>
                    <w:widowControl/>
                    <w:jc w:val="center"/>
                    <w:rPr>
                      <w:szCs w:val="21"/>
                    </w:rPr>
                  </w:pPr>
                </w:p>
              </w:tc>
            </w:tr>
          </w:tbl>
          <w:p>
            <w:pPr>
              <w:autoSpaceDE w:val="0"/>
              <w:autoSpaceDN w:val="0"/>
              <w:adjustRightInd w:val="0"/>
              <w:snapToGrid w:val="0"/>
              <w:spacing w:before="120" w:beforeLines="50" w:line="360" w:lineRule="auto"/>
              <w:ind w:firstLine="482"/>
              <w:rPr>
                <w:sz w:val="24"/>
              </w:rPr>
            </w:pPr>
            <w:r>
              <w:rPr>
                <w:rFonts w:hint="eastAsia"/>
                <w:sz w:val="24"/>
              </w:rPr>
              <w:t>原料破碎</w:t>
            </w:r>
            <w:r>
              <w:rPr>
                <w:sz w:val="24"/>
              </w:rPr>
              <w:t>执行《砖瓦工业</w:t>
            </w:r>
            <w:r>
              <w:rPr>
                <w:rFonts w:hint="eastAsia"/>
                <w:sz w:val="24"/>
              </w:rPr>
              <w:t>大气</w:t>
            </w:r>
            <w:r>
              <w:rPr>
                <w:sz w:val="24"/>
              </w:rPr>
              <w:t>污染物排放标准》（GB29620-2013）中的相关规定，标准限值详见下表4-</w:t>
            </w:r>
            <w:r>
              <w:rPr>
                <w:rFonts w:hint="eastAsia"/>
                <w:sz w:val="24"/>
              </w:rPr>
              <w:t>4。</w:t>
            </w:r>
          </w:p>
          <w:p>
            <w:pPr>
              <w:autoSpaceDE w:val="0"/>
              <w:autoSpaceDN w:val="0"/>
              <w:adjustRightInd w:val="0"/>
              <w:snapToGrid w:val="0"/>
              <w:ind w:firstLine="422"/>
              <w:jc w:val="center"/>
              <w:rPr>
                <w:b/>
                <w:bCs/>
              </w:rPr>
            </w:pPr>
            <w:r>
              <w:rPr>
                <w:b/>
                <w:bCs/>
              </w:rPr>
              <w:t>表3-10</w:t>
            </w:r>
            <w:r>
              <w:rPr>
                <w:rFonts w:hint="eastAsia"/>
                <w:b/>
                <w:bCs/>
              </w:rPr>
              <w:t xml:space="preserve"> 砖瓦工业大气</w:t>
            </w:r>
            <w:r>
              <w:rPr>
                <w:b/>
                <w:bCs/>
              </w:rPr>
              <w:t>污染物排放标准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860"/>
              <w:gridCol w:w="1147"/>
              <w:gridCol w:w="2149"/>
              <w:gridCol w:w="172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17" w:type="pct"/>
                  <w:vMerge w:val="restart"/>
                  <w:tcBorders>
                    <w:top w:val="single" w:color="auto" w:sz="4" w:space="0"/>
                    <w:left w:val="single" w:color="auto" w:sz="4" w:space="0"/>
                    <w:right w:val="single" w:color="auto" w:sz="4" w:space="0"/>
                  </w:tcBorders>
                  <w:vAlign w:val="center"/>
                </w:tcPr>
                <w:p>
                  <w:pPr>
                    <w:spacing w:line="400" w:lineRule="exact"/>
                    <w:jc w:val="center"/>
                    <w:rPr>
                      <w:b/>
                      <w:bCs/>
                    </w:rPr>
                  </w:pPr>
                  <w:r>
                    <w:rPr>
                      <w:rFonts w:hint="eastAsia"/>
                      <w:b/>
                      <w:bCs/>
                    </w:rPr>
                    <w:t>生产过程</w:t>
                  </w:r>
                </w:p>
              </w:tc>
              <w:tc>
                <w:tcPr>
                  <w:tcW w:w="3354" w:type="pct"/>
                  <w:gridSpan w:val="4"/>
                  <w:tcBorders>
                    <w:top w:val="single" w:color="auto" w:sz="4" w:space="0"/>
                    <w:left w:val="nil"/>
                    <w:bottom w:val="single" w:color="auto" w:sz="4" w:space="0"/>
                    <w:right w:val="single" w:color="auto" w:sz="4" w:space="0"/>
                  </w:tcBorders>
                  <w:vAlign w:val="center"/>
                </w:tcPr>
                <w:p>
                  <w:pPr>
                    <w:spacing w:line="300" w:lineRule="exact"/>
                    <w:jc w:val="center"/>
                    <w:rPr>
                      <w:b/>
                      <w:bCs/>
                    </w:rPr>
                  </w:pPr>
                  <w:r>
                    <w:rPr>
                      <w:b/>
                      <w:bCs/>
                    </w:rPr>
                    <w:t>最高允许排放浓度（mg/m</w:t>
                  </w:r>
                  <w:r>
                    <w:rPr>
                      <w:b/>
                      <w:bCs/>
                      <w:vertAlign w:val="superscript"/>
                    </w:rPr>
                    <w:t>3</w:t>
                  </w:r>
                  <w:r>
                    <w:rPr>
                      <w:b/>
                      <w:bCs/>
                    </w:rPr>
                    <w:t>）</w:t>
                  </w:r>
                </w:p>
              </w:tc>
              <w:tc>
                <w:tcPr>
                  <w:tcW w:w="729" w:type="pct"/>
                  <w:tcBorders>
                    <w:top w:val="single" w:color="auto" w:sz="4" w:space="0"/>
                    <w:left w:val="nil"/>
                    <w:right w:val="single" w:color="auto" w:sz="4" w:space="0"/>
                  </w:tcBorders>
                </w:tcPr>
                <w:p>
                  <w:pPr>
                    <w:spacing w:line="300" w:lineRule="exact"/>
                    <w:jc w:val="center"/>
                    <w:rPr>
                      <w:b/>
                      <w:bCs/>
                      <w:spacing w:val="-20"/>
                    </w:rPr>
                  </w:pPr>
                  <w:r>
                    <w:rPr>
                      <w:rFonts w:hint="eastAsia"/>
                      <w:b/>
                      <w:bCs/>
                      <w:spacing w:val="-20"/>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17" w:type="pct"/>
                  <w:vMerge w:val="continue"/>
                  <w:tcBorders>
                    <w:left w:val="single" w:color="auto" w:sz="4" w:space="0"/>
                    <w:bottom w:val="single" w:color="auto" w:sz="4" w:space="0"/>
                    <w:right w:val="single" w:color="auto" w:sz="4" w:space="0"/>
                  </w:tcBorders>
                  <w:vAlign w:val="center"/>
                </w:tcPr>
                <w:p>
                  <w:pPr>
                    <w:spacing w:line="400" w:lineRule="exact"/>
                    <w:jc w:val="center"/>
                    <w:rPr>
                      <w:b/>
                      <w:bCs/>
                    </w:rPr>
                  </w:pPr>
                </w:p>
              </w:tc>
              <w:tc>
                <w:tcPr>
                  <w:tcW w:w="491" w:type="pct"/>
                  <w:tcBorders>
                    <w:top w:val="single" w:color="auto" w:sz="4" w:space="0"/>
                    <w:left w:val="nil"/>
                    <w:bottom w:val="single" w:color="auto" w:sz="4" w:space="0"/>
                    <w:right w:val="single" w:color="auto" w:sz="4" w:space="0"/>
                  </w:tcBorders>
                  <w:vAlign w:val="center"/>
                </w:tcPr>
                <w:p>
                  <w:pPr>
                    <w:spacing w:line="400" w:lineRule="exact"/>
                    <w:jc w:val="center"/>
                    <w:rPr>
                      <w:b/>
                      <w:bCs/>
                    </w:rPr>
                  </w:pPr>
                  <w:r>
                    <w:rPr>
                      <w:rFonts w:hint="eastAsia"/>
                      <w:b/>
                      <w:bCs/>
                    </w:rPr>
                    <w:t>颗粒物</w:t>
                  </w:r>
                </w:p>
              </w:tc>
              <w:tc>
                <w:tcPr>
                  <w:tcW w:w="655" w:type="pct"/>
                  <w:tcBorders>
                    <w:top w:val="single" w:color="auto" w:sz="4" w:space="0"/>
                    <w:left w:val="nil"/>
                    <w:bottom w:val="single" w:color="auto" w:sz="4" w:space="0"/>
                    <w:right w:val="single" w:color="auto" w:sz="4" w:space="0"/>
                  </w:tcBorders>
                  <w:vAlign w:val="center"/>
                </w:tcPr>
                <w:p>
                  <w:pPr>
                    <w:spacing w:line="400" w:lineRule="exact"/>
                    <w:jc w:val="center"/>
                    <w:rPr>
                      <w:b/>
                      <w:bCs/>
                    </w:rPr>
                  </w:pPr>
                  <w:r>
                    <w:rPr>
                      <w:rFonts w:hint="eastAsia"/>
                      <w:b/>
                      <w:bCs/>
                    </w:rPr>
                    <w:t>二氧化硫</w:t>
                  </w:r>
                </w:p>
              </w:tc>
              <w:tc>
                <w:tcPr>
                  <w:tcW w:w="1227" w:type="pct"/>
                  <w:tcBorders>
                    <w:top w:val="single" w:color="auto" w:sz="4" w:space="0"/>
                    <w:left w:val="nil"/>
                    <w:bottom w:val="single" w:color="auto" w:sz="4" w:space="0"/>
                    <w:right w:val="single" w:color="auto" w:sz="4" w:space="0"/>
                  </w:tcBorders>
                  <w:vAlign w:val="center"/>
                </w:tcPr>
                <w:p>
                  <w:pPr>
                    <w:spacing w:line="400" w:lineRule="exact"/>
                    <w:jc w:val="center"/>
                    <w:rPr>
                      <w:b/>
                      <w:bCs/>
                    </w:rPr>
                  </w:pPr>
                  <w:r>
                    <w:rPr>
                      <w:rFonts w:hint="eastAsia"/>
                      <w:b/>
                      <w:bCs/>
                    </w:rPr>
                    <w:t>氮氧化物（以NO</w:t>
                  </w:r>
                  <w:r>
                    <w:rPr>
                      <w:rFonts w:hint="eastAsia"/>
                      <w:b/>
                      <w:bCs/>
                      <w:vertAlign w:val="subscript"/>
                    </w:rPr>
                    <w:t>2</w:t>
                  </w:r>
                  <w:r>
                    <w:rPr>
                      <w:rFonts w:hint="eastAsia"/>
                      <w:b/>
                      <w:bCs/>
                    </w:rPr>
                    <w:t>计）</w:t>
                  </w:r>
                </w:p>
              </w:tc>
              <w:tc>
                <w:tcPr>
                  <w:tcW w:w="982" w:type="pct"/>
                  <w:tcBorders>
                    <w:top w:val="single" w:color="auto" w:sz="4" w:space="0"/>
                    <w:left w:val="nil"/>
                    <w:bottom w:val="single" w:color="auto" w:sz="4" w:space="0"/>
                    <w:right w:val="single" w:color="auto" w:sz="4" w:space="0"/>
                  </w:tcBorders>
                  <w:vAlign w:val="center"/>
                </w:tcPr>
                <w:p>
                  <w:pPr>
                    <w:spacing w:line="400" w:lineRule="exact"/>
                    <w:jc w:val="center"/>
                    <w:rPr>
                      <w:b/>
                      <w:bCs/>
                    </w:rPr>
                  </w:pPr>
                  <w:r>
                    <w:rPr>
                      <w:rFonts w:hint="eastAsia"/>
                      <w:b/>
                      <w:bCs/>
                    </w:rPr>
                    <w:t>氟化物（以F计）</w:t>
                  </w:r>
                </w:p>
              </w:tc>
              <w:tc>
                <w:tcPr>
                  <w:tcW w:w="729" w:type="pct"/>
                  <w:vMerge w:val="restart"/>
                  <w:tcBorders>
                    <w:left w:val="nil"/>
                    <w:right w:val="single" w:color="auto" w:sz="4" w:space="0"/>
                  </w:tcBorders>
                </w:tcPr>
                <w:p>
                  <w:pPr>
                    <w:spacing w:line="400" w:lineRule="exact"/>
                    <w:jc w:val="center"/>
                  </w:pPr>
                  <w:r>
                    <w:rPr>
                      <w:rFonts w:hint="eastAsia"/>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rPr>
                      <w:rFonts w:hint="eastAsia"/>
                    </w:rPr>
                    <w:t>原料燃烧破碎及制备成型</w:t>
                  </w:r>
                </w:p>
              </w:tc>
              <w:tc>
                <w:tcPr>
                  <w:tcW w:w="491"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30</w:t>
                  </w:r>
                </w:p>
              </w:tc>
              <w:tc>
                <w:tcPr>
                  <w:tcW w:w="655"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w:t>
                  </w:r>
                </w:p>
              </w:tc>
              <w:tc>
                <w:tcPr>
                  <w:tcW w:w="1227"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w:t>
                  </w:r>
                </w:p>
              </w:tc>
              <w:tc>
                <w:tcPr>
                  <w:tcW w:w="982"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w:t>
                  </w:r>
                </w:p>
              </w:tc>
              <w:tc>
                <w:tcPr>
                  <w:tcW w:w="729" w:type="pct"/>
                  <w:vMerge w:val="continue"/>
                  <w:tcBorders>
                    <w:left w:val="nil"/>
                    <w:right w:val="single" w:color="auto" w:sz="4" w:space="0"/>
                  </w:tcBorders>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1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pacing w:val="-20"/>
                    </w:rPr>
                  </w:pPr>
                  <w:r>
                    <w:rPr>
                      <w:rFonts w:hint="eastAsia"/>
                      <w:spacing w:val="-20"/>
                    </w:rPr>
                    <w:t>人工干燥及焙烧</w:t>
                  </w:r>
                </w:p>
              </w:tc>
              <w:tc>
                <w:tcPr>
                  <w:tcW w:w="491"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30</w:t>
                  </w:r>
                </w:p>
              </w:tc>
              <w:tc>
                <w:tcPr>
                  <w:tcW w:w="655"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300</w:t>
                  </w:r>
                </w:p>
              </w:tc>
              <w:tc>
                <w:tcPr>
                  <w:tcW w:w="1227"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200</w:t>
                  </w:r>
                </w:p>
              </w:tc>
              <w:tc>
                <w:tcPr>
                  <w:tcW w:w="982"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3</w:t>
                  </w:r>
                </w:p>
              </w:tc>
              <w:tc>
                <w:tcPr>
                  <w:tcW w:w="729" w:type="pct"/>
                  <w:vMerge w:val="continue"/>
                  <w:tcBorders>
                    <w:left w:val="nil"/>
                    <w:right w:val="single" w:color="auto" w:sz="4" w:space="0"/>
                  </w:tcBorders>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1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pacing w:val="-20"/>
                    </w:rPr>
                  </w:pPr>
                  <w:r>
                    <w:rPr>
                      <w:rFonts w:hint="eastAsia"/>
                      <w:spacing w:val="-20"/>
                    </w:rPr>
                    <w:t>边界浓度限值</w:t>
                  </w:r>
                </w:p>
              </w:tc>
              <w:tc>
                <w:tcPr>
                  <w:tcW w:w="491"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1.0</w:t>
                  </w:r>
                </w:p>
              </w:tc>
              <w:tc>
                <w:tcPr>
                  <w:tcW w:w="655"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0.5</w:t>
                  </w:r>
                </w:p>
              </w:tc>
              <w:tc>
                <w:tcPr>
                  <w:tcW w:w="1227"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w:t>
                  </w:r>
                </w:p>
              </w:tc>
              <w:tc>
                <w:tcPr>
                  <w:tcW w:w="982" w:type="pct"/>
                  <w:tcBorders>
                    <w:top w:val="single" w:color="auto" w:sz="4" w:space="0"/>
                    <w:left w:val="nil"/>
                    <w:bottom w:val="single" w:color="auto" w:sz="4" w:space="0"/>
                    <w:right w:val="single" w:color="auto" w:sz="4" w:space="0"/>
                  </w:tcBorders>
                  <w:vAlign w:val="center"/>
                </w:tcPr>
                <w:p>
                  <w:pPr>
                    <w:spacing w:line="400" w:lineRule="exact"/>
                    <w:jc w:val="center"/>
                  </w:pPr>
                  <w:r>
                    <w:rPr>
                      <w:rFonts w:hint="eastAsia"/>
                    </w:rPr>
                    <w:t>0.02</w:t>
                  </w:r>
                </w:p>
              </w:tc>
              <w:tc>
                <w:tcPr>
                  <w:tcW w:w="729" w:type="pct"/>
                  <w:tcBorders>
                    <w:left w:val="nil"/>
                    <w:bottom w:val="single" w:color="auto" w:sz="4" w:space="0"/>
                    <w:right w:val="single" w:color="auto" w:sz="4" w:space="0"/>
                  </w:tcBorders>
                </w:tcPr>
                <w:p>
                  <w:pPr>
                    <w:spacing w:line="400" w:lineRule="exact"/>
                    <w:jc w:val="center"/>
                  </w:pPr>
                  <w:r>
                    <w:rPr>
                      <w:rFonts w:hint="eastAsia"/>
                    </w:rPr>
                    <w:t>项目厂界</w:t>
                  </w:r>
                </w:p>
              </w:tc>
            </w:tr>
          </w:tbl>
          <w:p>
            <w:pPr>
              <w:autoSpaceDE w:val="0"/>
              <w:autoSpaceDN w:val="0"/>
              <w:adjustRightInd w:val="0"/>
              <w:snapToGrid w:val="0"/>
              <w:spacing w:line="480" w:lineRule="exact"/>
              <w:rPr>
                <w:b/>
                <w:sz w:val="24"/>
              </w:rPr>
            </w:pPr>
            <w:r>
              <w:rPr>
                <w:b/>
                <w:spacing w:val="-4"/>
                <w:sz w:val="24"/>
              </w:rPr>
              <w:t>2</w:t>
            </w:r>
            <w:r>
              <w:rPr>
                <w:rFonts w:eastAsiaTheme="minorEastAsia"/>
                <w:b/>
                <w:bCs/>
                <w:sz w:val="24"/>
              </w:rPr>
              <w:t>、</w:t>
            </w:r>
            <w:r>
              <w:rPr>
                <w:b/>
                <w:sz w:val="24"/>
              </w:rPr>
              <w:t>噪声排放标准</w:t>
            </w:r>
          </w:p>
          <w:p>
            <w:pPr>
              <w:kinsoku w:val="0"/>
              <w:overflowPunct w:val="0"/>
              <w:autoSpaceDE w:val="0"/>
              <w:autoSpaceDN w:val="0"/>
              <w:adjustRightInd w:val="0"/>
              <w:snapToGrid w:val="0"/>
              <w:spacing w:line="480" w:lineRule="exact"/>
              <w:ind w:firstLine="480" w:firstLineChars="200"/>
              <w:jc w:val="left"/>
              <w:rPr>
                <w:sz w:val="24"/>
              </w:rPr>
            </w:pPr>
            <w:r>
              <w:rPr>
                <w:sz w:val="24"/>
              </w:rPr>
              <w:t>营运期执行《工业企业厂界环境噪声排放标准》（GB 12348-2008）2类标准。</w:t>
            </w:r>
          </w:p>
          <w:p>
            <w:pPr>
              <w:jc w:val="center"/>
              <w:rPr>
                <w:b/>
                <w:bCs/>
              </w:rPr>
            </w:pPr>
          </w:p>
          <w:p>
            <w:pPr>
              <w:jc w:val="center"/>
              <w:rPr>
                <w:b/>
                <w:bCs/>
              </w:rPr>
            </w:pPr>
            <w:r>
              <w:rPr>
                <w:b/>
                <w:bCs/>
              </w:rPr>
              <w:t>表3-11噪声排放标准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0"/>
              <w:gridCol w:w="2135"/>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9" w:type="pct"/>
                  <w:vAlign w:val="center"/>
                </w:tcPr>
                <w:p>
                  <w:pPr>
                    <w:autoSpaceDE w:val="0"/>
                    <w:autoSpaceDN w:val="0"/>
                    <w:adjustRightInd w:val="0"/>
                    <w:jc w:val="center"/>
                    <w:rPr>
                      <w:b/>
                      <w:szCs w:val="21"/>
                    </w:rPr>
                  </w:pPr>
                  <w:r>
                    <w:rPr>
                      <w:b/>
                      <w:szCs w:val="21"/>
                    </w:rPr>
                    <w:t>厂界外声环境功能区类别</w:t>
                  </w:r>
                </w:p>
              </w:tc>
              <w:tc>
                <w:tcPr>
                  <w:tcW w:w="1219" w:type="pct"/>
                  <w:vAlign w:val="center"/>
                </w:tcPr>
                <w:p>
                  <w:pPr>
                    <w:autoSpaceDE w:val="0"/>
                    <w:autoSpaceDN w:val="0"/>
                    <w:adjustRightInd w:val="0"/>
                    <w:jc w:val="center"/>
                    <w:rPr>
                      <w:b/>
                      <w:szCs w:val="21"/>
                    </w:rPr>
                  </w:pPr>
                  <w:r>
                    <w:rPr>
                      <w:b/>
                      <w:szCs w:val="21"/>
                    </w:rPr>
                    <w:t>昼间</w:t>
                  </w:r>
                </w:p>
              </w:tc>
              <w:tc>
                <w:tcPr>
                  <w:tcW w:w="1412" w:type="pct"/>
                  <w:vAlign w:val="center"/>
                </w:tcPr>
                <w:p>
                  <w:pPr>
                    <w:autoSpaceDE w:val="0"/>
                    <w:autoSpaceDN w:val="0"/>
                    <w:adjustRightInd w:val="0"/>
                    <w:jc w:val="center"/>
                    <w:rPr>
                      <w:b/>
                      <w:szCs w:val="21"/>
                    </w:rPr>
                  </w:pPr>
                  <w:r>
                    <w:rPr>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9" w:type="pct"/>
                  <w:vAlign w:val="center"/>
                </w:tcPr>
                <w:p>
                  <w:pPr>
                    <w:autoSpaceDE w:val="0"/>
                    <w:autoSpaceDN w:val="0"/>
                    <w:adjustRightInd w:val="0"/>
                    <w:jc w:val="center"/>
                    <w:rPr>
                      <w:szCs w:val="21"/>
                    </w:rPr>
                  </w:pPr>
                  <w:r>
                    <w:rPr>
                      <w:szCs w:val="21"/>
                    </w:rPr>
                    <w:t>2类</w:t>
                  </w:r>
                </w:p>
              </w:tc>
              <w:tc>
                <w:tcPr>
                  <w:tcW w:w="1219" w:type="pct"/>
                  <w:vAlign w:val="center"/>
                </w:tcPr>
                <w:p>
                  <w:pPr>
                    <w:autoSpaceDE w:val="0"/>
                    <w:autoSpaceDN w:val="0"/>
                    <w:adjustRightInd w:val="0"/>
                    <w:jc w:val="center"/>
                    <w:rPr>
                      <w:szCs w:val="21"/>
                    </w:rPr>
                  </w:pPr>
                  <w:r>
                    <w:rPr>
                      <w:szCs w:val="21"/>
                    </w:rPr>
                    <w:t>60</w:t>
                  </w:r>
                </w:p>
              </w:tc>
              <w:tc>
                <w:tcPr>
                  <w:tcW w:w="1412" w:type="pct"/>
                  <w:vAlign w:val="center"/>
                </w:tcPr>
                <w:p>
                  <w:pPr>
                    <w:autoSpaceDE w:val="0"/>
                    <w:autoSpaceDN w:val="0"/>
                    <w:adjustRightInd w:val="0"/>
                    <w:jc w:val="center"/>
                    <w:rPr>
                      <w:szCs w:val="21"/>
                    </w:rPr>
                  </w:pPr>
                  <w:r>
                    <w:rPr>
                      <w:szCs w:val="21"/>
                    </w:rPr>
                    <w:t>50</w:t>
                  </w:r>
                </w:p>
              </w:tc>
            </w:tr>
          </w:tbl>
          <w:p>
            <w:pPr>
              <w:spacing w:before="120" w:beforeLines="50" w:line="360" w:lineRule="auto"/>
              <w:rPr>
                <w:b/>
                <w:bCs/>
                <w:sz w:val="24"/>
              </w:rPr>
            </w:pPr>
            <w:r>
              <w:rPr>
                <w:b/>
                <w:bCs/>
                <w:sz w:val="24"/>
              </w:rPr>
              <w:t>3</w:t>
            </w:r>
            <w:r>
              <w:rPr>
                <w:rFonts w:eastAsiaTheme="minorEastAsia"/>
                <w:b/>
                <w:bCs/>
                <w:sz w:val="24"/>
              </w:rPr>
              <w:t>、</w:t>
            </w:r>
            <w:r>
              <w:rPr>
                <w:b/>
                <w:bCs/>
                <w:sz w:val="24"/>
              </w:rPr>
              <w:t>固体废物：</w:t>
            </w:r>
          </w:p>
          <w:p>
            <w:pPr>
              <w:spacing w:line="360" w:lineRule="auto"/>
              <w:ind w:firstLine="480" w:firstLineChars="200"/>
              <w:rPr>
                <w:sz w:val="24"/>
              </w:rPr>
            </w:pPr>
            <w:r>
              <w:rPr>
                <w:sz w:val="24"/>
              </w:rPr>
              <w:t>固体废物处置依据《国家危险废物名录》（2021年版）和《危险废物鉴别标准》来鉴别一般工业废物和危险废物；一般固废执行《一般工业固体废物贮存和填埋污染控制标准》（GB 18599-2020）、《中华人民共和国固体废物污染环境防治法》（2020年9月1日实施）</w:t>
            </w:r>
            <w:r>
              <w:rPr>
                <w:rFonts w:hint="eastAsia"/>
                <w:sz w:val="24"/>
              </w:rPr>
              <w:t>等</w:t>
            </w:r>
            <w:r>
              <w:rPr>
                <w:sz w:val="24"/>
              </w:rPr>
              <w:t>的相关规定。危险废物执行《危险废物贮存污染控制标准》（GB 18597-2023）的相关规定。</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tc>
      </w:tr>
    </w:tbl>
    <w:p>
      <w:p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tcMar>
              <w:left w:w="28" w:type="dxa"/>
              <w:right w:w="28" w:type="dxa"/>
            </w:tcMar>
            <w:vAlign w:val="center"/>
          </w:tcPr>
          <w:p>
            <w:pPr>
              <w:adjustRightInd w:val="0"/>
              <w:snapToGrid w:val="0"/>
              <w:jc w:val="center"/>
              <w:rPr>
                <w:b/>
                <w:bCs/>
                <w:spacing w:val="-4"/>
                <w:sz w:val="24"/>
              </w:rPr>
            </w:pPr>
            <w:r>
              <w:rPr>
                <w:b/>
                <w:bCs/>
                <w:kern w:val="0"/>
                <w:sz w:val="24"/>
              </w:rPr>
              <w:t>总量控制指标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825" w:type="dxa"/>
            <w:vAlign w:val="center"/>
          </w:tcPr>
          <w:p>
            <w:pPr>
              <w:adjustRightInd w:val="0"/>
              <w:snapToGrid w:val="0"/>
              <w:spacing w:line="360" w:lineRule="auto"/>
              <w:ind w:firstLine="480" w:firstLineChars="200"/>
              <w:rPr>
                <w:sz w:val="24"/>
              </w:rPr>
            </w:pPr>
            <w:r>
              <w:rPr>
                <w:kern w:val="0"/>
                <w:sz w:val="24"/>
              </w:rPr>
              <w:t>本项目生活污水经预处理池处理后</w:t>
            </w:r>
            <w:r>
              <w:rPr>
                <w:rFonts w:hint="eastAsia"/>
                <w:kern w:val="0"/>
                <w:sz w:val="24"/>
              </w:rPr>
              <w:t>交由大英县洁达环保科技有限公司收集处理后达标排放</w:t>
            </w:r>
            <w:r>
              <w:rPr>
                <w:kern w:val="0"/>
                <w:sz w:val="24"/>
              </w:rPr>
              <w:t>，生产废水沉淀后回用于生产，不外排。</w:t>
            </w:r>
            <w:r>
              <w:rPr>
                <w:sz w:val="24"/>
              </w:rPr>
              <w:t>结合本项目的污染物排放特征，确定本项目所涉及的总量控制污染物为锅炉废气中的SO</w:t>
            </w:r>
            <w:r>
              <w:rPr>
                <w:sz w:val="24"/>
                <w:vertAlign w:val="subscript"/>
              </w:rPr>
              <w:t>2</w:t>
            </w:r>
            <w:r>
              <w:rPr>
                <w:sz w:val="24"/>
              </w:rPr>
              <w:t>、NOx和颗粒物，生产过程中产生的颗粒物。</w:t>
            </w:r>
          </w:p>
          <w:p>
            <w:pPr>
              <w:spacing w:line="360" w:lineRule="auto"/>
              <w:ind w:firstLine="480" w:firstLineChars="200"/>
              <w:rPr>
                <w:sz w:val="24"/>
              </w:rPr>
            </w:pPr>
            <w:r>
              <w:rPr>
                <w:rFonts w:hint="eastAsia" w:ascii="宋体" w:hAnsi="宋体" w:cs="宋体"/>
                <w:sz w:val="24"/>
              </w:rPr>
              <w:t>①</w:t>
            </w:r>
            <w:r>
              <w:rPr>
                <w:sz w:val="24"/>
              </w:rPr>
              <w:t>锅炉废气：</w:t>
            </w:r>
          </w:p>
          <w:p>
            <w:pPr>
              <w:adjustRightInd w:val="0"/>
              <w:snapToGrid w:val="0"/>
              <w:spacing w:line="360" w:lineRule="auto"/>
              <w:ind w:firstLine="480" w:firstLineChars="200"/>
              <w:rPr>
                <w:sz w:val="24"/>
              </w:rPr>
            </w:pPr>
            <w:r>
              <w:rPr>
                <w:sz w:val="24"/>
              </w:rPr>
              <w:t>SO</w:t>
            </w:r>
            <w:r>
              <w:rPr>
                <w:sz w:val="24"/>
                <w:vertAlign w:val="subscript"/>
              </w:rPr>
              <w:t>2</w:t>
            </w:r>
            <w:r>
              <w:rPr>
                <w:sz w:val="24"/>
              </w:rPr>
              <w:t>总量控制指标为：0.24t/a；</w:t>
            </w:r>
          </w:p>
          <w:p>
            <w:pPr>
              <w:adjustRightInd w:val="0"/>
              <w:snapToGrid w:val="0"/>
              <w:spacing w:line="360" w:lineRule="auto"/>
              <w:ind w:firstLine="480" w:firstLineChars="200"/>
              <w:rPr>
                <w:sz w:val="24"/>
              </w:rPr>
            </w:pPr>
            <w:r>
              <w:rPr>
                <w:sz w:val="24"/>
              </w:rPr>
              <w:t>NOx总量控制指标为：0.42t/a；</w:t>
            </w:r>
          </w:p>
          <w:p>
            <w:pPr>
              <w:adjustRightInd w:val="0"/>
              <w:snapToGrid w:val="0"/>
              <w:spacing w:line="360" w:lineRule="auto"/>
              <w:ind w:firstLine="480" w:firstLineChars="200"/>
            </w:pPr>
            <w:r>
              <w:rPr>
                <w:sz w:val="24"/>
              </w:rPr>
              <w:t>颗粒物（烟尘）总量控制指标为：0.072t/a；</w:t>
            </w:r>
          </w:p>
          <w:p>
            <w:pPr>
              <w:adjustRightInd w:val="0"/>
              <w:snapToGrid w:val="0"/>
              <w:spacing w:line="360" w:lineRule="auto"/>
              <w:ind w:firstLine="480" w:firstLineChars="200"/>
              <w:rPr>
                <w:sz w:val="24"/>
              </w:rPr>
            </w:pPr>
            <w:r>
              <w:rPr>
                <w:rFonts w:hint="eastAsia" w:ascii="宋体" w:hAnsi="宋体" w:cs="宋体"/>
                <w:sz w:val="24"/>
              </w:rPr>
              <w:t>②</w:t>
            </w:r>
            <w:r>
              <w:rPr>
                <w:sz w:val="24"/>
              </w:rPr>
              <w:t>生产工序</w:t>
            </w:r>
          </w:p>
          <w:p>
            <w:pPr>
              <w:adjustRightInd w:val="0"/>
              <w:snapToGrid w:val="0"/>
              <w:spacing w:line="360" w:lineRule="auto"/>
              <w:ind w:firstLine="480" w:firstLineChars="200"/>
              <w:rPr>
                <w:sz w:val="24"/>
              </w:rPr>
            </w:pPr>
            <w:r>
              <w:rPr>
                <w:sz w:val="24"/>
              </w:rPr>
              <w:t>颗粒物有组织总量控制指标为：0.0483 t/a；</w:t>
            </w:r>
          </w:p>
          <w:p>
            <w:pPr>
              <w:adjustRightInd w:val="0"/>
              <w:snapToGrid w:val="0"/>
              <w:spacing w:line="360" w:lineRule="auto"/>
              <w:ind w:firstLine="480" w:firstLineChars="200"/>
              <w:rPr>
                <w:sz w:val="24"/>
              </w:rPr>
            </w:pPr>
            <w:r>
              <w:rPr>
                <w:sz w:val="24"/>
              </w:rPr>
              <w:t>颗粒物无组织总量控制指标为：0.1142   t/a</w:t>
            </w:r>
          </w:p>
          <w:p>
            <w:pPr>
              <w:adjustRightInd w:val="0"/>
              <w:snapToGrid w:val="0"/>
              <w:spacing w:line="360" w:lineRule="auto"/>
              <w:ind w:firstLine="480" w:firstLineChars="200"/>
              <w:rPr>
                <w:sz w:val="24"/>
              </w:rPr>
            </w:pPr>
            <w:r>
              <w:rPr>
                <w:sz w:val="24"/>
              </w:rPr>
              <w:t>总的颗粒物产生量为：0.072 t/a +0.0483 t/a +0.1142   t/a =0.2345   t/a</w:t>
            </w:r>
          </w:p>
          <w:p>
            <w:pPr>
              <w:pStyle w:val="61"/>
              <w:rPr>
                <w:sz w:val="21"/>
                <w:szCs w:val="21"/>
              </w:rPr>
            </w:pPr>
            <w:r>
              <w:rPr>
                <w:sz w:val="21"/>
                <w:szCs w:val="21"/>
              </w:rPr>
              <w:t>表3-11 项目废气排放总量指标   单位：t/a</w:t>
            </w:r>
          </w:p>
          <w:tbl>
            <w:tblPr>
              <w:tblStyle w:val="25"/>
              <w:tblW w:w="47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2162"/>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pct"/>
                  <w:vAlign w:val="center"/>
                </w:tcPr>
                <w:p>
                  <w:pPr>
                    <w:pStyle w:val="80"/>
                    <w:rPr>
                      <w:rFonts w:ascii="Times New Roman" w:hAnsi="Times New Roman"/>
                      <w:sz w:val="24"/>
                      <w:szCs w:val="24"/>
                    </w:rPr>
                  </w:pPr>
                  <w:r>
                    <w:rPr>
                      <w:rFonts w:ascii="Times New Roman" w:hAnsi="Times New Roman"/>
                      <w:sz w:val="24"/>
                      <w:szCs w:val="24"/>
                    </w:rPr>
                    <w:t>污染物类型</w:t>
                  </w:r>
                </w:p>
              </w:tc>
              <w:tc>
                <w:tcPr>
                  <w:tcW w:w="1311" w:type="pct"/>
                  <w:vAlign w:val="center"/>
                </w:tcPr>
                <w:p>
                  <w:pPr>
                    <w:pStyle w:val="80"/>
                    <w:rPr>
                      <w:rFonts w:ascii="Times New Roman" w:hAnsi="Times New Roman"/>
                      <w:sz w:val="24"/>
                      <w:szCs w:val="24"/>
                    </w:rPr>
                  </w:pPr>
                  <w:r>
                    <w:rPr>
                      <w:rFonts w:ascii="Times New Roman" w:hAnsi="Times New Roman"/>
                      <w:sz w:val="24"/>
                      <w:szCs w:val="24"/>
                    </w:rPr>
                    <w:t>污染物</w:t>
                  </w:r>
                </w:p>
              </w:tc>
              <w:tc>
                <w:tcPr>
                  <w:tcW w:w="2458" w:type="pct"/>
                  <w:vAlign w:val="center"/>
                </w:tcPr>
                <w:p>
                  <w:pPr>
                    <w:pStyle w:val="80"/>
                    <w:rPr>
                      <w:rFonts w:ascii="Times New Roman" w:hAnsi="Times New Roman"/>
                      <w:sz w:val="24"/>
                      <w:szCs w:val="24"/>
                    </w:rPr>
                  </w:pPr>
                  <w:r>
                    <w:rPr>
                      <w:rFonts w:ascii="Times New Roman" w:hAnsi="Times New Roman"/>
                      <w:sz w:val="24"/>
                      <w:szCs w:val="24"/>
                    </w:rPr>
                    <w:t>建议总量指标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pct"/>
                  <w:vMerge w:val="restart"/>
                  <w:vAlign w:val="center"/>
                </w:tcPr>
                <w:p>
                  <w:pPr>
                    <w:pStyle w:val="79"/>
                    <w:rPr>
                      <w:rFonts w:ascii="Times New Roman" w:hAnsi="Times New Roman"/>
                      <w:sz w:val="24"/>
                      <w:szCs w:val="24"/>
                    </w:rPr>
                  </w:pPr>
                  <w:r>
                    <w:rPr>
                      <w:rFonts w:ascii="Times New Roman" w:hAnsi="Times New Roman"/>
                      <w:sz w:val="24"/>
                      <w:szCs w:val="24"/>
                    </w:rPr>
                    <w:t>大气污染</w:t>
                  </w:r>
                </w:p>
              </w:tc>
              <w:tc>
                <w:tcPr>
                  <w:tcW w:w="1311" w:type="pct"/>
                  <w:vAlign w:val="center"/>
                </w:tcPr>
                <w:p>
                  <w:pPr>
                    <w:pStyle w:val="79"/>
                    <w:rPr>
                      <w:rFonts w:ascii="Times New Roman" w:hAnsi="Times New Roman"/>
                      <w:sz w:val="24"/>
                      <w:szCs w:val="24"/>
                    </w:rPr>
                  </w:pPr>
                  <w:r>
                    <w:rPr>
                      <w:rFonts w:ascii="Times New Roman" w:hAnsi="Times New Roman"/>
                      <w:sz w:val="24"/>
                      <w:szCs w:val="24"/>
                    </w:rPr>
                    <w:t>颗粒物</w:t>
                  </w:r>
                </w:p>
              </w:tc>
              <w:tc>
                <w:tcPr>
                  <w:tcW w:w="2458" w:type="pct"/>
                  <w:vAlign w:val="center"/>
                </w:tcPr>
                <w:p>
                  <w:pPr>
                    <w:pStyle w:val="79"/>
                    <w:rPr>
                      <w:rFonts w:ascii="Times New Roman" w:hAnsi="Times New Roman"/>
                      <w:b/>
                      <w:bCs/>
                      <w:sz w:val="24"/>
                      <w:szCs w:val="24"/>
                    </w:rPr>
                  </w:pPr>
                  <w:r>
                    <w:rPr>
                      <w:rFonts w:ascii="Times New Roman" w:hAnsi="Times New Roman"/>
                      <w:b/>
                      <w:bCs/>
                      <w:sz w:val="24"/>
                      <w:szCs w:val="24"/>
                    </w:rPr>
                    <w:t xml:space="preserve">0.2345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pct"/>
                  <w:vMerge w:val="continue"/>
                  <w:vAlign w:val="center"/>
                </w:tcPr>
                <w:p>
                  <w:pPr>
                    <w:pStyle w:val="79"/>
                    <w:rPr>
                      <w:rFonts w:ascii="Times New Roman" w:hAnsi="Times New Roman"/>
                      <w:sz w:val="24"/>
                      <w:szCs w:val="24"/>
                    </w:rPr>
                  </w:pPr>
                </w:p>
              </w:tc>
              <w:tc>
                <w:tcPr>
                  <w:tcW w:w="1311" w:type="pct"/>
                  <w:vAlign w:val="center"/>
                </w:tcPr>
                <w:p>
                  <w:pPr>
                    <w:pStyle w:val="79"/>
                    <w:rPr>
                      <w:rFonts w:ascii="Times New Roman" w:hAnsi="Times New Roman"/>
                      <w:sz w:val="24"/>
                      <w:szCs w:val="24"/>
                    </w:rPr>
                  </w:pPr>
                  <w:r>
                    <w:rPr>
                      <w:rFonts w:ascii="Times New Roman" w:hAnsi="Times New Roman"/>
                      <w:sz w:val="24"/>
                      <w:szCs w:val="24"/>
                    </w:rPr>
                    <w:t>SO</w:t>
                  </w:r>
                  <w:r>
                    <w:rPr>
                      <w:rFonts w:ascii="Times New Roman" w:hAnsi="Times New Roman"/>
                      <w:sz w:val="24"/>
                      <w:szCs w:val="24"/>
                      <w:vertAlign w:val="subscript"/>
                    </w:rPr>
                    <w:t>2</w:t>
                  </w:r>
                </w:p>
              </w:tc>
              <w:tc>
                <w:tcPr>
                  <w:tcW w:w="2458" w:type="pct"/>
                  <w:vAlign w:val="center"/>
                </w:tcPr>
                <w:p>
                  <w:pPr>
                    <w:pStyle w:val="79"/>
                    <w:rPr>
                      <w:rFonts w:ascii="Times New Roman" w:hAnsi="Times New Roman"/>
                      <w:b/>
                      <w:bCs/>
                      <w:sz w:val="24"/>
                      <w:szCs w:val="24"/>
                    </w:rPr>
                  </w:pPr>
                  <w:r>
                    <w:rPr>
                      <w:rFonts w:ascii="Times New Roman" w:hAnsi="Times New Roman"/>
                      <w:b/>
                      <w:bCs/>
                      <w:sz w:val="24"/>
                      <w:szCs w:val="24"/>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pct"/>
                  <w:vMerge w:val="continue"/>
                  <w:vAlign w:val="center"/>
                </w:tcPr>
                <w:p>
                  <w:pPr>
                    <w:pStyle w:val="79"/>
                    <w:rPr>
                      <w:rFonts w:ascii="Times New Roman" w:hAnsi="Times New Roman"/>
                      <w:sz w:val="24"/>
                      <w:szCs w:val="24"/>
                    </w:rPr>
                  </w:pPr>
                </w:p>
              </w:tc>
              <w:tc>
                <w:tcPr>
                  <w:tcW w:w="1311" w:type="pct"/>
                  <w:vAlign w:val="center"/>
                </w:tcPr>
                <w:p>
                  <w:pPr>
                    <w:pStyle w:val="79"/>
                    <w:rPr>
                      <w:rFonts w:ascii="Times New Roman" w:hAnsi="Times New Roman"/>
                      <w:sz w:val="24"/>
                      <w:szCs w:val="24"/>
                    </w:rPr>
                  </w:pPr>
                  <w:r>
                    <w:rPr>
                      <w:rFonts w:ascii="Times New Roman" w:hAnsi="Times New Roman"/>
                      <w:sz w:val="24"/>
                      <w:szCs w:val="24"/>
                    </w:rPr>
                    <w:t>NOx</w:t>
                  </w:r>
                </w:p>
              </w:tc>
              <w:tc>
                <w:tcPr>
                  <w:tcW w:w="2458" w:type="pct"/>
                  <w:vAlign w:val="center"/>
                </w:tcPr>
                <w:p>
                  <w:pPr>
                    <w:pStyle w:val="79"/>
                    <w:rPr>
                      <w:rFonts w:ascii="Times New Roman" w:hAnsi="Times New Roman"/>
                      <w:b/>
                      <w:bCs/>
                      <w:sz w:val="24"/>
                      <w:szCs w:val="24"/>
                    </w:rPr>
                  </w:pPr>
                  <w:r>
                    <w:rPr>
                      <w:rFonts w:ascii="Times New Roman" w:hAnsi="Times New Roman"/>
                      <w:b/>
                      <w:bCs/>
                      <w:sz w:val="24"/>
                      <w:szCs w:val="24"/>
                    </w:rPr>
                    <w:t>0.42</w:t>
                  </w:r>
                </w:p>
              </w:tc>
            </w:tr>
          </w:tbl>
          <w:p>
            <w:pPr>
              <w:pStyle w:val="61"/>
              <w:spacing w:before="120" w:beforeLines="50"/>
              <w:rPr>
                <w:sz w:val="21"/>
                <w:szCs w:val="21"/>
              </w:rPr>
            </w:pPr>
            <w:r>
              <w:rPr>
                <w:sz w:val="21"/>
                <w:szCs w:val="21"/>
              </w:rPr>
              <w:t>表3-12项目技改前后总量指标变化情况      单位：t/a</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4"/>
              <w:gridCol w:w="1149"/>
              <w:gridCol w:w="1366"/>
              <w:gridCol w:w="1319"/>
              <w:gridCol w:w="1173"/>
              <w:gridCol w:w="1465"/>
              <w:gridCol w:w="1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427" w:type="pct"/>
                  <w:shd w:val="clear" w:color="auto" w:fill="auto"/>
                  <w:vAlign w:val="center"/>
                </w:tcPr>
                <w:p>
                  <w:pPr>
                    <w:jc w:val="center"/>
                    <w:rPr>
                      <w:b/>
                    </w:rPr>
                  </w:pPr>
                  <w:r>
                    <w:rPr>
                      <w:b/>
                    </w:rPr>
                    <w:t>类别</w:t>
                  </w:r>
                </w:p>
              </w:tc>
              <w:tc>
                <w:tcPr>
                  <w:tcW w:w="668" w:type="pct"/>
                  <w:shd w:val="clear" w:color="auto" w:fill="auto"/>
                  <w:vAlign w:val="center"/>
                </w:tcPr>
                <w:p>
                  <w:pPr>
                    <w:jc w:val="center"/>
                    <w:rPr>
                      <w:b/>
                    </w:rPr>
                  </w:pPr>
                  <w:r>
                    <w:rPr>
                      <w:b/>
                    </w:rPr>
                    <w:t>污染物</w:t>
                  </w:r>
                </w:p>
              </w:tc>
              <w:tc>
                <w:tcPr>
                  <w:tcW w:w="794" w:type="pct"/>
                  <w:shd w:val="clear" w:color="auto" w:fill="auto"/>
                  <w:vAlign w:val="center"/>
                </w:tcPr>
                <w:p>
                  <w:pPr>
                    <w:jc w:val="center"/>
                    <w:rPr>
                      <w:b/>
                    </w:rPr>
                  </w:pPr>
                  <w:r>
                    <w:rPr>
                      <w:b/>
                    </w:rPr>
                    <w:t>改建前项目拟排放量（t/a）</w:t>
                  </w:r>
                </w:p>
              </w:tc>
              <w:tc>
                <w:tcPr>
                  <w:tcW w:w="767" w:type="pct"/>
                  <w:shd w:val="clear" w:color="auto" w:fill="auto"/>
                  <w:vAlign w:val="center"/>
                </w:tcPr>
                <w:p>
                  <w:pPr>
                    <w:jc w:val="center"/>
                    <w:rPr>
                      <w:b/>
                    </w:rPr>
                  </w:pPr>
                  <w:r>
                    <w:rPr>
                      <w:b/>
                    </w:rPr>
                    <w:t>拟建项目排放量（t/a）</w:t>
                  </w:r>
                </w:p>
              </w:tc>
              <w:tc>
                <w:tcPr>
                  <w:tcW w:w="682" w:type="pct"/>
                  <w:shd w:val="clear" w:color="auto" w:fill="auto"/>
                  <w:vAlign w:val="center"/>
                </w:tcPr>
                <w:p>
                  <w:pPr>
                    <w:jc w:val="center"/>
                    <w:rPr>
                      <w:b/>
                    </w:rPr>
                  </w:pPr>
                  <w:r>
                    <w:rPr>
                      <w:b/>
                    </w:rPr>
                    <w:t>以新带老削减量（t/a）</w:t>
                  </w:r>
                </w:p>
              </w:tc>
              <w:tc>
                <w:tcPr>
                  <w:tcW w:w="852" w:type="pct"/>
                  <w:shd w:val="clear" w:color="auto" w:fill="auto"/>
                  <w:vAlign w:val="center"/>
                </w:tcPr>
                <w:p>
                  <w:pPr>
                    <w:jc w:val="center"/>
                    <w:rPr>
                      <w:b/>
                    </w:rPr>
                  </w:pPr>
                  <w:r>
                    <w:rPr>
                      <w:b/>
                    </w:rPr>
                    <w:t>改建工程完成后总排放量（t/a）</w:t>
                  </w:r>
                </w:p>
              </w:tc>
              <w:tc>
                <w:tcPr>
                  <w:tcW w:w="810" w:type="pct"/>
                  <w:shd w:val="clear" w:color="auto" w:fill="auto"/>
                  <w:vAlign w:val="center"/>
                </w:tcPr>
                <w:p>
                  <w:pPr>
                    <w:jc w:val="center"/>
                    <w:rPr>
                      <w:b/>
                    </w:rPr>
                  </w:pPr>
                  <w:r>
                    <w:rPr>
                      <w:b/>
                    </w:rPr>
                    <w:t>增减量变化（t/a）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pct"/>
                  <w:vMerge w:val="restart"/>
                  <w:shd w:val="clear" w:color="auto" w:fill="auto"/>
                  <w:vAlign w:val="center"/>
                </w:tcPr>
                <w:p>
                  <w:r>
                    <w:t>废气</w:t>
                  </w:r>
                </w:p>
              </w:tc>
              <w:tc>
                <w:tcPr>
                  <w:tcW w:w="668" w:type="pct"/>
                  <w:shd w:val="clear" w:color="auto" w:fill="auto"/>
                  <w:vAlign w:val="center"/>
                </w:tcPr>
                <w:p>
                  <w:pPr>
                    <w:jc w:val="center"/>
                    <w:rPr>
                      <w:spacing w:val="-20"/>
                    </w:rPr>
                  </w:pPr>
                  <w:r>
                    <w:rPr>
                      <w:spacing w:val="-20"/>
                    </w:rPr>
                    <w:t>颗粒物</w:t>
                  </w:r>
                </w:p>
              </w:tc>
              <w:tc>
                <w:tcPr>
                  <w:tcW w:w="794" w:type="pct"/>
                  <w:shd w:val="clear" w:color="auto" w:fill="auto"/>
                  <w:vAlign w:val="center"/>
                </w:tcPr>
                <w:p>
                  <w:pPr>
                    <w:pStyle w:val="15"/>
                    <w:spacing w:line="240" w:lineRule="auto"/>
                    <w:ind w:firstLine="0"/>
                    <w:jc w:val="center"/>
                    <w:rPr>
                      <w:rFonts w:ascii="Times New Roman"/>
                    </w:rPr>
                  </w:pPr>
                  <w:r>
                    <w:rPr>
                      <w:rFonts w:ascii="Times New Roman"/>
                    </w:rPr>
                    <w:t>0.3042</w:t>
                  </w:r>
                </w:p>
              </w:tc>
              <w:tc>
                <w:tcPr>
                  <w:tcW w:w="767" w:type="pct"/>
                  <w:shd w:val="clear" w:color="auto" w:fill="auto"/>
                  <w:vAlign w:val="center"/>
                </w:tcPr>
                <w:p>
                  <w:pPr>
                    <w:widowControl/>
                    <w:jc w:val="center"/>
                    <w:rPr>
                      <w:kern w:val="0"/>
                      <w:sz w:val="24"/>
                    </w:rPr>
                  </w:pPr>
                  <w:r>
                    <w:rPr>
                      <w:sz w:val="24"/>
                    </w:rPr>
                    <w:t>/</w:t>
                  </w:r>
                </w:p>
              </w:tc>
              <w:tc>
                <w:tcPr>
                  <w:tcW w:w="682" w:type="pct"/>
                  <w:shd w:val="clear" w:color="auto" w:fill="auto"/>
                  <w:vAlign w:val="center"/>
                </w:tcPr>
                <w:p>
                  <w:pPr>
                    <w:widowControl/>
                    <w:jc w:val="center"/>
                    <w:rPr>
                      <w:kern w:val="0"/>
                      <w:sz w:val="22"/>
                      <w:szCs w:val="22"/>
                    </w:rPr>
                  </w:pPr>
                  <w:r>
                    <w:rPr>
                      <w:rFonts w:hint="eastAsia"/>
                      <w:sz w:val="22"/>
                      <w:szCs w:val="22"/>
                    </w:rPr>
                    <w:t>0.0764</w:t>
                  </w:r>
                </w:p>
              </w:tc>
              <w:tc>
                <w:tcPr>
                  <w:tcW w:w="852" w:type="pct"/>
                  <w:shd w:val="clear" w:color="auto" w:fill="auto"/>
                  <w:vAlign w:val="center"/>
                </w:tcPr>
                <w:p>
                  <w:pPr>
                    <w:jc w:val="center"/>
                    <w:rPr>
                      <w:b/>
                      <w:bCs/>
                      <w:sz w:val="24"/>
                    </w:rPr>
                  </w:pPr>
                  <w:r>
                    <w:rPr>
                      <w:b/>
                      <w:bCs/>
                      <w:sz w:val="24"/>
                    </w:rPr>
                    <w:t>0.2345</w:t>
                  </w:r>
                </w:p>
              </w:tc>
              <w:tc>
                <w:tcPr>
                  <w:tcW w:w="810" w:type="pct"/>
                  <w:shd w:val="clear" w:color="auto" w:fill="auto"/>
                  <w:vAlign w:val="center"/>
                </w:tcPr>
                <w:p>
                  <w:pPr>
                    <w:jc w:val="center"/>
                    <w:rPr>
                      <w:rFonts w:eastAsia="等线"/>
                      <w:b/>
                      <w:bCs/>
                      <w:sz w:val="24"/>
                    </w:rPr>
                  </w:pPr>
                  <w:r>
                    <w:rPr>
                      <w:rFonts w:eastAsia="等线"/>
                      <w:b/>
                      <w:bCs/>
                      <w:sz w:val="24"/>
                    </w:rPr>
                    <w:t>-</w:t>
                  </w:r>
                  <w:r>
                    <w:rPr>
                      <w:b/>
                      <w:bCs/>
                      <w:sz w:val="24"/>
                    </w:rPr>
                    <w:t xml:space="preserve">0.0697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pct"/>
                  <w:vMerge w:val="continue"/>
                  <w:shd w:val="clear" w:color="auto" w:fill="auto"/>
                  <w:vAlign w:val="center"/>
                </w:tcPr>
                <w:p>
                  <w:pPr>
                    <w:ind w:firstLine="420"/>
                    <w:jc w:val="center"/>
                  </w:pPr>
                </w:p>
              </w:tc>
              <w:tc>
                <w:tcPr>
                  <w:tcW w:w="668" w:type="pct"/>
                  <w:shd w:val="clear" w:color="auto" w:fill="auto"/>
                  <w:vAlign w:val="center"/>
                </w:tcPr>
                <w:p>
                  <w:pPr>
                    <w:jc w:val="center"/>
                    <w:rPr>
                      <w:spacing w:val="-20"/>
                    </w:rPr>
                  </w:pPr>
                  <w:r>
                    <w:rPr>
                      <w:sz w:val="24"/>
                    </w:rPr>
                    <w:t>SO</w:t>
                  </w:r>
                  <w:r>
                    <w:rPr>
                      <w:sz w:val="24"/>
                      <w:vertAlign w:val="subscript"/>
                    </w:rPr>
                    <w:t>2</w:t>
                  </w:r>
                </w:p>
              </w:tc>
              <w:tc>
                <w:tcPr>
                  <w:tcW w:w="794" w:type="pct"/>
                  <w:shd w:val="clear" w:color="auto" w:fill="auto"/>
                  <w:vAlign w:val="center"/>
                </w:tcPr>
                <w:p>
                  <w:pPr>
                    <w:pStyle w:val="15"/>
                    <w:spacing w:line="240" w:lineRule="auto"/>
                    <w:ind w:firstLine="0"/>
                    <w:jc w:val="center"/>
                    <w:rPr>
                      <w:rFonts w:ascii="Times New Roman"/>
                    </w:rPr>
                  </w:pPr>
                  <w:r>
                    <w:rPr>
                      <w:rFonts w:ascii="Times New Roman"/>
                    </w:rPr>
                    <w:t>0.24</w:t>
                  </w:r>
                </w:p>
              </w:tc>
              <w:tc>
                <w:tcPr>
                  <w:tcW w:w="767" w:type="pct"/>
                  <w:shd w:val="clear" w:color="auto" w:fill="auto"/>
                  <w:vAlign w:val="center"/>
                </w:tcPr>
                <w:p>
                  <w:pPr>
                    <w:jc w:val="center"/>
                    <w:rPr>
                      <w:sz w:val="24"/>
                    </w:rPr>
                  </w:pPr>
                  <w:r>
                    <w:rPr>
                      <w:sz w:val="24"/>
                    </w:rPr>
                    <w:t>/</w:t>
                  </w:r>
                </w:p>
              </w:tc>
              <w:tc>
                <w:tcPr>
                  <w:tcW w:w="682" w:type="pct"/>
                  <w:shd w:val="clear" w:color="auto" w:fill="auto"/>
                  <w:vAlign w:val="center"/>
                </w:tcPr>
                <w:p>
                  <w:pPr>
                    <w:jc w:val="center"/>
                    <w:rPr>
                      <w:sz w:val="24"/>
                    </w:rPr>
                  </w:pPr>
                  <w:r>
                    <w:rPr>
                      <w:rFonts w:eastAsia="等线"/>
                      <w:sz w:val="24"/>
                    </w:rPr>
                    <w:t>/</w:t>
                  </w:r>
                </w:p>
              </w:tc>
              <w:tc>
                <w:tcPr>
                  <w:tcW w:w="852" w:type="pct"/>
                  <w:shd w:val="clear" w:color="auto" w:fill="auto"/>
                  <w:vAlign w:val="center"/>
                </w:tcPr>
                <w:p>
                  <w:pPr>
                    <w:jc w:val="center"/>
                    <w:rPr>
                      <w:b/>
                      <w:bCs/>
                      <w:sz w:val="24"/>
                    </w:rPr>
                  </w:pPr>
                  <w:r>
                    <w:rPr>
                      <w:b/>
                      <w:bCs/>
                      <w:sz w:val="24"/>
                    </w:rPr>
                    <w:t>0.24</w:t>
                  </w:r>
                </w:p>
              </w:tc>
              <w:tc>
                <w:tcPr>
                  <w:tcW w:w="810" w:type="pct"/>
                  <w:shd w:val="clear" w:color="auto" w:fill="auto"/>
                  <w:vAlign w:val="center"/>
                </w:tcPr>
                <w:p>
                  <w:pPr>
                    <w:jc w:val="center"/>
                    <w:rPr>
                      <w:b/>
                      <w:bCs/>
                      <w:sz w:val="24"/>
                    </w:rPr>
                  </w:pPr>
                  <w:r>
                    <w:rPr>
                      <w:rFonts w:eastAsia="等线"/>
                      <w:b/>
                      <w:bCs/>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pct"/>
                  <w:vMerge w:val="continue"/>
                  <w:shd w:val="clear" w:color="auto" w:fill="auto"/>
                  <w:vAlign w:val="center"/>
                </w:tcPr>
                <w:p>
                  <w:pPr>
                    <w:ind w:firstLine="420"/>
                    <w:jc w:val="center"/>
                  </w:pPr>
                </w:p>
              </w:tc>
              <w:tc>
                <w:tcPr>
                  <w:tcW w:w="668" w:type="pct"/>
                  <w:shd w:val="clear" w:color="auto" w:fill="auto"/>
                  <w:vAlign w:val="center"/>
                </w:tcPr>
                <w:p>
                  <w:pPr>
                    <w:jc w:val="center"/>
                    <w:rPr>
                      <w:spacing w:val="-20"/>
                    </w:rPr>
                  </w:pPr>
                  <w:r>
                    <w:rPr>
                      <w:sz w:val="24"/>
                    </w:rPr>
                    <w:t>NOx</w:t>
                  </w:r>
                </w:p>
              </w:tc>
              <w:tc>
                <w:tcPr>
                  <w:tcW w:w="794" w:type="pct"/>
                  <w:shd w:val="clear" w:color="auto" w:fill="auto"/>
                  <w:vAlign w:val="center"/>
                </w:tcPr>
                <w:p>
                  <w:pPr>
                    <w:pStyle w:val="15"/>
                    <w:spacing w:line="240" w:lineRule="auto"/>
                    <w:ind w:firstLine="0"/>
                    <w:jc w:val="center"/>
                    <w:rPr>
                      <w:rFonts w:ascii="Times New Roman"/>
                    </w:rPr>
                  </w:pPr>
                  <w:r>
                    <w:rPr>
                      <w:rFonts w:ascii="Times New Roman"/>
                    </w:rPr>
                    <w:t>0.42</w:t>
                  </w:r>
                </w:p>
              </w:tc>
              <w:tc>
                <w:tcPr>
                  <w:tcW w:w="767" w:type="pct"/>
                  <w:shd w:val="clear" w:color="auto" w:fill="auto"/>
                  <w:vAlign w:val="center"/>
                </w:tcPr>
                <w:p>
                  <w:pPr>
                    <w:jc w:val="center"/>
                    <w:rPr>
                      <w:sz w:val="24"/>
                    </w:rPr>
                  </w:pPr>
                  <w:r>
                    <w:rPr>
                      <w:sz w:val="24"/>
                    </w:rPr>
                    <w:t>/</w:t>
                  </w:r>
                </w:p>
              </w:tc>
              <w:tc>
                <w:tcPr>
                  <w:tcW w:w="682" w:type="pct"/>
                  <w:shd w:val="clear" w:color="auto" w:fill="auto"/>
                  <w:vAlign w:val="center"/>
                </w:tcPr>
                <w:p>
                  <w:pPr>
                    <w:jc w:val="center"/>
                    <w:rPr>
                      <w:sz w:val="24"/>
                    </w:rPr>
                  </w:pPr>
                  <w:r>
                    <w:rPr>
                      <w:rFonts w:eastAsia="等线"/>
                      <w:sz w:val="24"/>
                    </w:rPr>
                    <w:t>/</w:t>
                  </w:r>
                </w:p>
              </w:tc>
              <w:tc>
                <w:tcPr>
                  <w:tcW w:w="852" w:type="pct"/>
                  <w:shd w:val="clear" w:color="auto" w:fill="auto"/>
                  <w:vAlign w:val="center"/>
                </w:tcPr>
                <w:p>
                  <w:pPr>
                    <w:jc w:val="center"/>
                    <w:rPr>
                      <w:b/>
                      <w:bCs/>
                      <w:sz w:val="24"/>
                    </w:rPr>
                  </w:pPr>
                  <w:r>
                    <w:rPr>
                      <w:b/>
                      <w:bCs/>
                      <w:sz w:val="24"/>
                    </w:rPr>
                    <w:t>0.42</w:t>
                  </w:r>
                </w:p>
              </w:tc>
              <w:tc>
                <w:tcPr>
                  <w:tcW w:w="810" w:type="pct"/>
                  <w:shd w:val="clear" w:color="auto" w:fill="auto"/>
                  <w:vAlign w:val="center"/>
                </w:tcPr>
                <w:p>
                  <w:pPr>
                    <w:jc w:val="center"/>
                    <w:rPr>
                      <w:b/>
                      <w:bCs/>
                      <w:sz w:val="24"/>
                    </w:rPr>
                  </w:pPr>
                  <w:r>
                    <w:rPr>
                      <w:rFonts w:eastAsia="等线"/>
                      <w:b/>
                      <w:bCs/>
                      <w:sz w:val="24"/>
                    </w:rPr>
                    <w:t>0</w:t>
                  </w:r>
                </w:p>
              </w:tc>
            </w:tr>
          </w:tbl>
          <w:p>
            <w:pPr>
              <w:pStyle w:val="2"/>
              <w:ind w:left="0" w:leftChars="0" w:firstLine="0" w:firstLineChars="0"/>
              <w:rPr>
                <w:szCs w:val="21"/>
              </w:rPr>
            </w:pPr>
          </w:p>
          <w:p>
            <w:pPr>
              <w:pStyle w:val="2"/>
              <w:ind w:left="0" w:leftChars="0" w:firstLine="0" w:firstLineChars="0"/>
              <w:rPr>
                <w:szCs w:val="21"/>
              </w:rPr>
            </w:pPr>
          </w:p>
          <w:p>
            <w:pPr>
              <w:pStyle w:val="2"/>
              <w:ind w:left="0" w:leftChars="0" w:firstLine="0" w:firstLineChars="0"/>
              <w:rPr>
                <w:szCs w:val="21"/>
              </w:rPr>
            </w:pPr>
          </w:p>
          <w:p>
            <w:pPr>
              <w:pStyle w:val="2"/>
              <w:ind w:left="0" w:leftChars="0" w:firstLine="0" w:firstLineChars="0"/>
              <w:rPr>
                <w:szCs w:val="21"/>
              </w:rPr>
            </w:pPr>
          </w:p>
          <w:p>
            <w:pPr>
              <w:pStyle w:val="2"/>
              <w:ind w:left="0" w:leftChars="0" w:firstLine="0" w:firstLineChars="0"/>
              <w:rPr>
                <w:szCs w:val="21"/>
              </w:rPr>
            </w:pPr>
          </w:p>
        </w:tc>
      </w:tr>
    </w:tbl>
    <w:p>
      <w:pPr>
        <w:pStyle w:val="23"/>
        <w:spacing w:before="0" w:beforeAutospacing="0" w:after="0" w:afterAutospacing="0"/>
        <w:ind w:firstLine="720" w:firstLineChars="200"/>
        <w:jc w:val="center"/>
        <w:outlineLvl w:val="0"/>
        <w:rPr>
          <w:rFonts w:ascii="Times New Roman" w:hAnsi="Times New Roman"/>
          <w:snapToGrid w:val="0"/>
          <w:sz w:val="36"/>
          <w:szCs w:val="36"/>
        </w:rPr>
        <w:sectPr>
          <w:pgSz w:w="11907" w:h="16840"/>
          <w:pgMar w:top="1701" w:right="1531" w:bottom="2127" w:left="1531" w:header="851" w:footer="851" w:gutter="0"/>
          <w:cols w:space="720" w:num="1"/>
          <w:docGrid w:linePitch="312" w:charSpace="0"/>
        </w:sectPr>
      </w:pPr>
    </w:p>
    <w:p>
      <w:pPr>
        <w:pStyle w:val="23"/>
        <w:spacing w:before="0" w:beforeAutospacing="0" w:after="0" w:afterAutospacing="0"/>
        <w:ind w:firstLine="602" w:firstLineChars="200"/>
        <w:jc w:val="center"/>
        <w:outlineLvl w:val="0"/>
        <w:rPr>
          <w:rFonts w:ascii="Times New Roman" w:hAnsi="Times New Roman"/>
          <w:b/>
          <w:bCs/>
          <w:snapToGrid w:val="0"/>
          <w:sz w:val="30"/>
          <w:szCs w:val="30"/>
        </w:rPr>
      </w:pPr>
      <w:r>
        <w:rPr>
          <w:rFonts w:ascii="Times New Roman" w:hAnsi="Times New Roman"/>
          <w:b/>
          <w:bCs/>
          <w:snapToGrid w:val="0"/>
          <w:sz w:val="30"/>
          <w:szCs w:val="30"/>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b/>
                <w:bCs/>
              </w:rPr>
            </w:pPr>
            <w:r>
              <w:rPr>
                <w:rFonts w:ascii="Times New Roman" w:hAnsi="Times New Roman"/>
                <w:b/>
                <w:bCs/>
                <w:kern w:val="2"/>
                <w:szCs w:val="24"/>
              </w:rPr>
              <w:t>施工期环境保护措施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825" w:type="dxa"/>
            <w:tcMar>
              <w:left w:w="28" w:type="dxa"/>
              <w:right w:w="28" w:type="dxa"/>
            </w:tcMar>
            <w:vAlign w:val="center"/>
          </w:tcPr>
          <w:p>
            <w:pPr>
              <w:adjustRightInd w:val="0"/>
              <w:snapToGrid w:val="0"/>
              <w:spacing w:before="120" w:beforeLines="50" w:line="360" w:lineRule="auto"/>
              <w:ind w:firstLine="480" w:firstLineChars="200"/>
              <w:rPr>
                <w:bCs/>
                <w:sz w:val="24"/>
              </w:rPr>
            </w:pPr>
            <w:r>
              <w:rPr>
                <w:bCs/>
                <w:sz w:val="24"/>
              </w:rPr>
              <w:t>项目</w:t>
            </w:r>
            <w:r>
              <w:rPr>
                <w:rFonts w:hint="eastAsia"/>
                <w:bCs/>
                <w:sz w:val="24"/>
              </w:rPr>
              <w:t>在已有</w:t>
            </w:r>
            <w:r>
              <w:rPr>
                <w:bCs/>
                <w:sz w:val="24"/>
              </w:rPr>
              <w:t>空地进行建设，主要建设内容为厂房的搭建与设备的安装，不进行大规模的土石方开挖，施工期的环境影响与保护措施如下：</w:t>
            </w:r>
          </w:p>
          <w:p>
            <w:pPr>
              <w:spacing w:line="360" w:lineRule="auto"/>
              <w:contextualSpacing/>
              <w:rPr>
                <w:b/>
                <w:sz w:val="24"/>
              </w:rPr>
            </w:pPr>
            <w:r>
              <w:rPr>
                <w:b/>
                <w:sz w:val="24"/>
              </w:rPr>
              <w:t>1、废气排放及治理措施</w:t>
            </w:r>
          </w:p>
          <w:p>
            <w:pPr>
              <w:spacing w:line="360" w:lineRule="auto"/>
              <w:ind w:firstLine="480" w:firstLineChars="200"/>
              <w:contextualSpacing/>
              <w:rPr>
                <w:sz w:val="24"/>
              </w:rPr>
            </w:pPr>
            <w:r>
              <w:rPr>
                <w:sz w:val="24"/>
              </w:rPr>
              <w:t>本项目施工期废气主要为基础施工、主体工程及附属工程等产生的扬尘，施工机械废气等。</w:t>
            </w:r>
          </w:p>
          <w:p>
            <w:pPr>
              <w:spacing w:line="360" w:lineRule="auto"/>
              <w:ind w:firstLine="482" w:firstLineChars="200"/>
              <w:contextualSpacing/>
              <w:rPr>
                <w:b/>
                <w:bCs/>
                <w:sz w:val="24"/>
              </w:rPr>
            </w:pPr>
            <w:r>
              <w:rPr>
                <w:b/>
                <w:bCs/>
                <w:sz w:val="24"/>
              </w:rPr>
              <w:t>1.1扬尘</w:t>
            </w:r>
          </w:p>
          <w:p>
            <w:pPr>
              <w:tabs>
                <w:tab w:val="left" w:pos="645"/>
                <w:tab w:val="left" w:pos="850"/>
                <w:tab w:val="left" w:pos="1275"/>
                <w:tab w:val="left" w:pos="2235"/>
              </w:tabs>
              <w:spacing w:line="360" w:lineRule="auto"/>
              <w:ind w:firstLine="480" w:firstLineChars="200"/>
              <w:rPr>
                <w:bCs/>
                <w:sz w:val="24"/>
              </w:rPr>
            </w:pPr>
            <w:r>
              <w:rPr>
                <w:bCs/>
                <w:sz w:val="24"/>
              </w:rPr>
              <w:t>本项目施工期对拟建地块所在区域环境空气质量的影响主要是扬尘，其易造成大气中TSP浓度增高，形成扬尘污染。经类比分析，扬尘浓度一般约为3.5mg/m</w:t>
            </w:r>
            <w:r>
              <w:rPr>
                <w:bCs/>
                <w:sz w:val="24"/>
                <w:vertAlign w:val="superscript"/>
              </w:rPr>
              <w:t>3</w:t>
            </w:r>
            <w:r>
              <w:rPr>
                <w:bCs/>
                <w:sz w:val="24"/>
              </w:rPr>
              <w:t>。在进行场地基础开挖、地基处理、土地平整等施工作业时，如遇大风天气，易造成粉尘、扬尘等大气污染情况，其次运输砂石、水泥等建筑材料时发生散落等情况，则会增加施工区域地面起尘量。</w:t>
            </w:r>
          </w:p>
          <w:p>
            <w:pPr>
              <w:tabs>
                <w:tab w:val="left" w:pos="645"/>
                <w:tab w:val="left" w:pos="850"/>
                <w:tab w:val="left" w:pos="1275"/>
                <w:tab w:val="left" w:pos="2235"/>
              </w:tabs>
              <w:spacing w:line="360" w:lineRule="auto"/>
              <w:ind w:firstLine="482" w:firstLineChars="200"/>
              <w:rPr>
                <w:bCs/>
                <w:sz w:val="24"/>
              </w:rPr>
            </w:pPr>
            <w:r>
              <w:rPr>
                <w:b/>
                <w:bCs/>
                <w:sz w:val="24"/>
              </w:rPr>
              <w:t>环评要求：</w:t>
            </w:r>
            <w:r>
              <w:rPr>
                <w:bCs/>
                <w:sz w:val="24"/>
              </w:rPr>
              <w:t>建设单位在施工建设中做到规范管理，文明施工，必须严格按照《国务院关于印发大气污染防治行动计划的通知》（国发〔2013〕37号）、《四川省打赢蓝天保卫战实施方案》等一系列扬尘防治管理规定进行施工建设，最大程度减少扬尘产生污染环境。</w:t>
            </w:r>
          </w:p>
          <w:p>
            <w:pPr>
              <w:tabs>
                <w:tab w:val="left" w:pos="645"/>
                <w:tab w:val="left" w:pos="850"/>
                <w:tab w:val="left" w:pos="1275"/>
                <w:tab w:val="left" w:pos="2235"/>
              </w:tabs>
              <w:spacing w:line="360" w:lineRule="auto"/>
              <w:ind w:firstLine="480" w:firstLineChars="200"/>
              <w:rPr>
                <w:bCs/>
                <w:sz w:val="24"/>
              </w:rPr>
            </w:pPr>
            <w:r>
              <w:rPr>
                <w:bCs/>
                <w:sz w:val="24"/>
              </w:rPr>
              <w:t>结合本项目的实际情况，</w:t>
            </w:r>
            <w:r>
              <w:rPr>
                <w:sz w:val="24"/>
              </w:rPr>
              <w:t>为减少扬尘对周边环境的影响，</w:t>
            </w:r>
            <w:r>
              <w:rPr>
                <w:bCs/>
                <w:sz w:val="24"/>
              </w:rPr>
              <w:t>施工单位必须严格遵守“六必须”、“六不准”要求，在施工时采取以下防治措施：</w:t>
            </w:r>
          </w:p>
          <w:p>
            <w:pPr>
              <w:tabs>
                <w:tab w:val="left" w:pos="645"/>
                <w:tab w:val="left" w:pos="850"/>
                <w:tab w:val="left" w:pos="1275"/>
                <w:tab w:val="left" w:pos="2235"/>
              </w:tabs>
              <w:spacing w:line="360" w:lineRule="auto"/>
              <w:ind w:firstLine="480" w:firstLineChars="200"/>
              <w:rPr>
                <w:bCs/>
                <w:sz w:val="24"/>
              </w:rPr>
            </w:pPr>
            <w:r>
              <w:rPr>
                <w:rFonts w:ascii="Segoe UI Symbol" w:hAnsi="Segoe UI Symbol" w:cs="Segoe UI Symbol"/>
                <w:bCs/>
                <w:sz w:val="24"/>
              </w:rPr>
              <w:t>★</w:t>
            </w:r>
            <w:r>
              <w:rPr>
                <w:bCs/>
                <w:sz w:val="24"/>
              </w:rPr>
              <w:t>六必须</w:t>
            </w:r>
          </w:p>
          <w:p>
            <w:pPr>
              <w:tabs>
                <w:tab w:val="left" w:pos="645"/>
                <w:tab w:val="left" w:pos="850"/>
                <w:tab w:val="left" w:pos="1275"/>
                <w:tab w:val="left" w:pos="2235"/>
              </w:tabs>
              <w:spacing w:line="360" w:lineRule="auto"/>
              <w:ind w:firstLine="480" w:firstLineChars="200"/>
              <w:rPr>
                <w:bCs/>
                <w:sz w:val="24"/>
              </w:rPr>
            </w:pPr>
            <w:r>
              <w:rPr>
                <w:bCs/>
                <w:sz w:val="24"/>
              </w:rPr>
              <w:t>●打围作业：项目施工现场应架设2.5-3m高墙，封闭施工现场，以减少结构和装修过程中的粉尘飞扬现象，降低粉尘向大气中的排放；</w:t>
            </w:r>
          </w:p>
          <w:p>
            <w:pPr>
              <w:tabs>
                <w:tab w:val="left" w:pos="645"/>
                <w:tab w:val="left" w:pos="850"/>
                <w:tab w:val="left" w:pos="1275"/>
                <w:tab w:val="left" w:pos="2235"/>
              </w:tabs>
              <w:spacing w:line="360" w:lineRule="auto"/>
              <w:ind w:firstLine="480" w:firstLineChars="200"/>
              <w:rPr>
                <w:bCs/>
                <w:sz w:val="24"/>
              </w:rPr>
            </w:pPr>
            <w:r>
              <w:rPr>
                <w:bCs/>
                <w:sz w:val="24"/>
              </w:rPr>
              <w:t>●硬化路面：施工现场主要运输道路需进行硬化，有效减少及防治扬尘产生量，并经常进行洒水抑尘；</w:t>
            </w:r>
          </w:p>
          <w:p>
            <w:pPr>
              <w:tabs>
                <w:tab w:val="left" w:pos="645"/>
                <w:tab w:val="left" w:pos="850"/>
                <w:tab w:val="left" w:pos="1275"/>
                <w:tab w:val="left" w:pos="2235"/>
              </w:tabs>
              <w:spacing w:line="360" w:lineRule="auto"/>
              <w:ind w:firstLine="480" w:firstLineChars="200"/>
              <w:rPr>
                <w:bCs/>
                <w:sz w:val="24"/>
              </w:rPr>
            </w:pPr>
            <w:r>
              <w:rPr>
                <w:bCs/>
                <w:sz w:val="24"/>
              </w:rPr>
              <w:t>●设置冲洗设施：对运输车辆现场设置洗车场，用水清洗车体和轮胎，防止车辆带泥上路；</w:t>
            </w:r>
          </w:p>
          <w:p>
            <w:pPr>
              <w:tabs>
                <w:tab w:val="left" w:pos="645"/>
                <w:tab w:val="left" w:pos="850"/>
                <w:tab w:val="left" w:pos="1275"/>
                <w:tab w:val="left" w:pos="2235"/>
              </w:tabs>
              <w:spacing w:line="360" w:lineRule="auto"/>
              <w:ind w:firstLine="480" w:firstLineChars="200"/>
              <w:rPr>
                <w:bCs/>
                <w:sz w:val="24"/>
              </w:rPr>
            </w:pPr>
            <w:r>
              <w:rPr>
                <w:bCs/>
                <w:sz w:val="24"/>
              </w:rPr>
              <w:t>●湿法作业：施工机械采用湿法作业，减少机械运作时粉尘的产生；</w:t>
            </w:r>
          </w:p>
          <w:p>
            <w:pPr>
              <w:tabs>
                <w:tab w:val="left" w:pos="645"/>
                <w:tab w:val="left" w:pos="850"/>
                <w:tab w:val="left" w:pos="1275"/>
                <w:tab w:val="left" w:pos="2235"/>
              </w:tabs>
              <w:spacing w:line="360" w:lineRule="auto"/>
              <w:ind w:firstLine="480" w:firstLineChars="200"/>
              <w:rPr>
                <w:bCs/>
                <w:sz w:val="24"/>
              </w:rPr>
            </w:pPr>
            <w:r>
              <w:rPr>
                <w:bCs/>
                <w:sz w:val="24"/>
              </w:rPr>
              <w:t>●施工现场配备保洁人员，定时清扫施工现场，脚手架在拆除前，先将脚手板上的垃圾清理干净，清理时应避免扬尘；</w:t>
            </w:r>
          </w:p>
          <w:p>
            <w:pPr>
              <w:tabs>
                <w:tab w:val="left" w:pos="645"/>
                <w:tab w:val="left" w:pos="850"/>
                <w:tab w:val="left" w:pos="1275"/>
                <w:tab w:val="left" w:pos="2235"/>
              </w:tabs>
              <w:spacing w:line="360" w:lineRule="auto"/>
              <w:ind w:firstLine="480" w:firstLineChars="200"/>
              <w:rPr>
                <w:bCs/>
                <w:sz w:val="24"/>
              </w:rPr>
            </w:pPr>
            <w:r>
              <w:rPr>
                <w:rFonts w:ascii="Segoe UI Symbol" w:hAnsi="Segoe UI Symbol" w:cs="Segoe UI Symbol"/>
                <w:bCs/>
                <w:sz w:val="24"/>
              </w:rPr>
              <w:t>★</w:t>
            </w:r>
            <w:r>
              <w:rPr>
                <w:bCs/>
                <w:sz w:val="24"/>
              </w:rPr>
              <w:t>六不准</w:t>
            </w:r>
          </w:p>
          <w:p>
            <w:pPr>
              <w:tabs>
                <w:tab w:val="left" w:pos="645"/>
                <w:tab w:val="left" w:pos="850"/>
                <w:tab w:val="left" w:pos="1275"/>
                <w:tab w:val="left" w:pos="2235"/>
              </w:tabs>
              <w:spacing w:line="360" w:lineRule="auto"/>
              <w:ind w:firstLine="480" w:firstLineChars="200"/>
              <w:rPr>
                <w:bCs/>
                <w:sz w:val="24"/>
              </w:rPr>
            </w:pPr>
            <w:r>
              <w:rPr>
                <w:bCs/>
                <w:sz w:val="24"/>
              </w:rPr>
              <w:t>●在施工场地出口放置防尘垫，对运输车辆现场设置洗车场，用水清洗车体和轮胎，不准车辆带泥出门；</w:t>
            </w:r>
          </w:p>
          <w:p>
            <w:pPr>
              <w:tabs>
                <w:tab w:val="left" w:pos="645"/>
                <w:tab w:val="left" w:pos="850"/>
                <w:tab w:val="left" w:pos="1275"/>
                <w:tab w:val="left" w:pos="2235"/>
              </w:tabs>
              <w:spacing w:line="360" w:lineRule="auto"/>
              <w:ind w:firstLine="480" w:firstLineChars="200"/>
              <w:rPr>
                <w:bCs/>
                <w:sz w:val="24"/>
              </w:rPr>
            </w:pPr>
            <w:r>
              <w:rPr>
                <w:bCs/>
                <w:sz w:val="24"/>
              </w:rPr>
              <w:t>●禁止运渣车辆冒顶装载，自卸车、垃圾运输车等运输车辆不允许超载，选择对周围环境影响较小的运输路线，严禁穿越周边住宅小区密集区域，定时对该运输路线进行清扫，运输车辆出场时必须封闭，避免在运输过程中的抛洒现象；</w:t>
            </w:r>
          </w:p>
          <w:p>
            <w:pPr>
              <w:tabs>
                <w:tab w:val="left" w:pos="645"/>
                <w:tab w:val="left" w:pos="850"/>
                <w:tab w:val="left" w:pos="1275"/>
                <w:tab w:val="left" w:pos="2235"/>
              </w:tabs>
              <w:spacing w:line="360" w:lineRule="auto"/>
              <w:ind w:firstLine="480" w:firstLineChars="200"/>
              <w:rPr>
                <w:bCs/>
                <w:sz w:val="24"/>
              </w:rPr>
            </w:pPr>
            <w:r>
              <w:rPr>
                <w:bCs/>
                <w:sz w:val="24"/>
              </w:rPr>
              <w:t>●不准高空抛撒建筑渣土，施工过程中，楼上施工产生的建筑渣土，不得在楼上向下倾倒，必须运送地面；</w:t>
            </w:r>
          </w:p>
          <w:p>
            <w:pPr>
              <w:tabs>
                <w:tab w:val="left" w:pos="645"/>
                <w:tab w:val="left" w:pos="850"/>
                <w:tab w:val="left" w:pos="1275"/>
                <w:tab w:val="left" w:pos="2235"/>
              </w:tabs>
              <w:spacing w:line="360" w:lineRule="auto"/>
              <w:ind w:firstLine="480" w:firstLineChars="200"/>
              <w:rPr>
                <w:bCs/>
                <w:sz w:val="24"/>
              </w:rPr>
            </w:pPr>
            <w:r>
              <w:rPr>
                <w:bCs/>
                <w:sz w:val="24"/>
              </w:rPr>
              <w:t>●不准现场搅拌混凝土：本项目使用混凝土为商品混凝土，不需设置混凝土搅拌站；</w:t>
            </w:r>
          </w:p>
          <w:p>
            <w:pPr>
              <w:tabs>
                <w:tab w:val="left" w:pos="645"/>
                <w:tab w:val="left" w:pos="850"/>
                <w:tab w:val="left" w:pos="1275"/>
                <w:tab w:val="left" w:pos="2235"/>
              </w:tabs>
              <w:spacing w:line="360" w:lineRule="auto"/>
              <w:ind w:firstLine="480" w:firstLineChars="200"/>
              <w:rPr>
                <w:bCs/>
                <w:sz w:val="24"/>
              </w:rPr>
            </w:pPr>
            <w:r>
              <w:rPr>
                <w:bCs/>
                <w:sz w:val="24"/>
              </w:rPr>
              <w:t>●要求施工单位文明施工，定期对地面洒水，并对撒落在路面的渣土及时清除，清理阶段做到先洒水后清扫；施工废水应及时通过沉淀池处理回用，禁止现场场地积水；</w:t>
            </w:r>
          </w:p>
          <w:p>
            <w:pPr>
              <w:spacing w:line="360" w:lineRule="auto"/>
              <w:ind w:firstLine="480" w:firstLineChars="200"/>
              <w:rPr>
                <w:bCs/>
                <w:sz w:val="24"/>
              </w:rPr>
            </w:pPr>
            <w:r>
              <w:rPr>
                <w:bCs/>
                <w:sz w:val="24"/>
              </w:rPr>
              <w:t>●本项目施工期产生的固体废弃物均得到了妥善处理（详见</w:t>
            </w:r>
            <w:r>
              <w:rPr>
                <w:b/>
                <w:bCs/>
                <w:sz w:val="24"/>
              </w:rPr>
              <w:t>“</w:t>
            </w:r>
            <w:r>
              <w:rPr>
                <w:b/>
                <w:kern w:val="0"/>
                <w:sz w:val="24"/>
              </w:rPr>
              <w:t>固废排放及治理措施”章节</w:t>
            </w:r>
            <w:r>
              <w:rPr>
                <w:bCs/>
                <w:sz w:val="24"/>
              </w:rPr>
              <w:t>），严禁在施工现场焚烧废弃物。</w:t>
            </w:r>
          </w:p>
          <w:p>
            <w:pPr>
              <w:tabs>
                <w:tab w:val="left" w:pos="645"/>
                <w:tab w:val="left" w:pos="850"/>
                <w:tab w:val="left" w:pos="1275"/>
                <w:tab w:val="left" w:pos="2235"/>
              </w:tabs>
              <w:spacing w:line="360" w:lineRule="auto"/>
              <w:ind w:firstLine="480" w:firstLineChars="200"/>
              <w:rPr>
                <w:bCs/>
                <w:sz w:val="24"/>
              </w:rPr>
            </w:pPr>
            <w:r>
              <w:rPr>
                <w:bCs/>
                <w:sz w:val="24"/>
              </w:rPr>
              <w:t>此外，</w:t>
            </w:r>
            <w:r>
              <w:rPr>
                <w:b/>
                <w:bCs/>
                <w:sz w:val="24"/>
              </w:rPr>
              <w:t>环评要求</w:t>
            </w:r>
            <w:r>
              <w:rPr>
                <w:bCs/>
                <w:sz w:val="24"/>
              </w:rPr>
              <w:t>：</w:t>
            </w:r>
          </w:p>
          <w:p>
            <w:pPr>
              <w:tabs>
                <w:tab w:val="left" w:pos="645"/>
                <w:tab w:val="left" w:pos="850"/>
                <w:tab w:val="left" w:pos="1275"/>
                <w:tab w:val="left" w:pos="2235"/>
              </w:tabs>
              <w:spacing w:line="360" w:lineRule="auto"/>
              <w:ind w:firstLine="480" w:firstLineChars="200"/>
              <w:rPr>
                <w:bCs/>
                <w:sz w:val="24"/>
              </w:rPr>
            </w:pPr>
            <w:r>
              <w:rPr>
                <w:bCs/>
                <w:sz w:val="24"/>
              </w:rPr>
              <w:t>●在施工场地对施工车辆实施限速行驶；</w:t>
            </w:r>
          </w:p>
          <w:p>
            <w:pPr>
              <w:tabs>
                <w:tab w:val="left" w:pos="645"/>
                <w:tab w:val="left" w:pos="850"/>
                <w:tab w:val="left" w:pos="1275"/>
                <w:tab w:val="left" w:pos="2235"/>
              </w:tabs>
              <w:spacing w:line="360" w:lineRule="auto"/>
              <w:ind w:firstLine="480" w:firstLineChars="200"/>
              <w:rPr>
                <w:bCs/>
                <w:sz w:val="24"/>
              </w:rPr>
            </w:pPr>
            <w:r>
              <w:rPr>
                <w:bCs/>
                <w:sz w:val="24"/>
              </w:rPr>
              <w:t>●建材堆放地点要相对集中，临时堆场及时清运处置，严禁弃置于城建、规划部门非指定堆放点。</w:t>
            </w:r>
          </w:p>
          <w:p>
            <w:pPr>
              <w:tabs>
                <w:tab w:val="left" w:pos="645"/>
                <w:tab w:val="left" w:pos="850"/>
                <w:tab w:val="left" w:pos="1275"/>
                <w:tab w:val="left" w:pos="2235"/>
              </w:tabs>
              <w:spacing w:line="360" w:lineRule="auto"/>
              <w:ind w:firstLine="482" w:firstLineChars="200"/>
              <w:rPr>
                <w:b/>
                <w:sz w:val="24"/>
              </w:rPr>
            </w:pPr>
            <w:r>
              <w:rPr>
                <w:b/>
                <w:sz w:val="24"/>
              </w:rPr>
              <w:t>1.2施工机械废气</w:t>
            </w:r>
          </w:p>
          <w:p>
            <w:pPr>
              <w:tabs>
                <w:tab w:val="left" w:pos="645"/>
                <w:tab w:val="left" w:pos="850"/>
                <w:tab w:val="left" w:pos="1275"/>
                <w:tab w:val="left" w:pos="2235"/>
              </w:tabs>
              <w:spacing w:line="360" w:lineRule="auto"/>
              <w:ind w:firstLine="480" w:firstLineChars="200"/>
              <w:rPr>
                <w:bCs/>
                <w:sz w:val="24"/>
              </w:rPr>
            </w:pPr>
            <w:r>
              <w:rPr>
                <w:bCs/>
                <w:sz w:val="24"/>
              </w:rPr>
              <w:t>施工期施工单位在运输原材料、施工设备以及施工机械设备在运行过程中均会排放一定量的CO、NO</w:t>
            </w:r>
            <w:r>
              <w:rPr>
                <w:bCs/>
                <w:sz w:val="24"/>
                <w:vertAlign w:val="subscript"/>
              </w:rPr>
              <w:t>x</w:t>
            </w:r>
            <w:r>
              <w:rPr>
                <w:bCs/>
                <w:sz w:val="24"/>
              </w:rPr>
              <w:t>以及未完全燃烧的THC等，其特点是排放量小，属间断性排放。加之本项目施工场地开阔，扩散条件良好，因此施工机械废气可实现达标排放。</w:t>
            </w:r>
          </w:p>
          <w:p>
            <w:pPr>
              <w:tabs>
                <w:tab w:val="left" w:pos="645"/>
                <w:tab w:val="left" w:pos="850"/>
                <w:tab w:val="left" w:pos="1275"/>
                <w:tab w:val="left" w:pos="2235"/>
              </w:tabs>
              <w:spacing w:line="360" w:lineRule="auto"/>
              <w:ind w:firstLine="482" w:firstLineChars="200"/>
              <w:rPr>
                <w:bCs/>
                <w:sz w:val="24"/>
              </w:rPr>
            </w:pPr>
            <w:r>
              <w:rPr>
                <w:b/>
                <w:bCs/>
                <w:sz w:val="24"/>
              </w:rPr>
              <w:t>环评要求</w:t>
            </w:r>
            <w:r>
              <w:rPr>
                <w:bCs/>
                <w:sz w:val="24"/>
              </w:rPr>
              <w:t>施工单位在施工期内安排专人注意加强施工机械维护，确保机械设备正常运行。</w:t>
            </w:r>
          </w:p>
          <w:p>
            <w:pPr>
              <w:tabs>
                <w:tab w:val="left" w:pos="645"/>
                <w:tab w:val="left" w:pos="850"/>
                <w:tab w:val="left" w:pos="1275"/>
                <w:tab w:val="left" w:pos="2235"/>
              </w:tabs>
              <w:spacing w:line="360" w:lineRule="auto"/>
              <w:ind w:firstLine="482" w:firstLineChars="200"/>
              <w:rPr>
                <w:b/>
                <w:bCs/>
                <w:sz w:val="24"/>
              </w:rPr>
            </w:pPr>
            <w:r>
              <w:rPr>
                <w:b/>
                <w:bCs/>
                <w:sz w:val="24"/>
              </w:rPr>
              <w:t>综上所述，施工期间建设方根据上述要求和建议采取必要的防治措施，能有效减少施工废气的产生。</w:t>
            </w:r>
          </w:p>
          <w:p>
            <w:pPr>
              <w:tabs>
                <w:tab w:val="left" w:pos="3519"/>
              </w:tabs>
              <w:spacing w:line="360" w:lineRule="auto"/>
              <w:contextualSpacing/>
              <w:rPr>
                <w:b/>
                <w:sz w:val="24"/>
              </w:rPr>
            </w:pPr>
            <w:r>
              <w:rPr>
                <w:b/>
                <w:sz w:val="24"/>
              </w:rPr>
              <w:t>2、废水排放及治理措施</w:t>
            </w:r>
          </w:p>
          <w:p>
            <w:pPr>
              <w:tabs>
                <w:tab w:val="left" w:pos="645"/>
                <w:tab w:val="left" w:pos="850"/>
                <w:tab w:val="left" w:pos="1275"/>
                <w:tab w:val="left" w:pos="2235"/>
              </w:tabs>
              <w:spacing w:line="360" w:lineRule="auto"/>
              <w:ind w:firstLine="480" w:firstLineChars="200"/>
              <w:rPr>
                <w:bCs/>
                <w:sz w:val="24"/>
              </w:rPr>
            </w:pPr>
            <w:r>
              <w:rPr>
                <w:bCs/>
                <w:sz w:val="24"/>
              </w:rPr>
              <w:t>本项目施工期的废水主要为施工废水和施工人员生活污水。</w:t>
            </w:r>
          </w:p>
          <w:p>
            <w:pPr>
              <w:tabs>
                <w:tab w:val="left" w:pos="645"/>
                <w:tab w:val="left" w:pos="850"/>
                <w:tab w:val="left" w:pos="1275"/>
                <w:tab w:val="left" w:pos="2235"/>
              </w:tabs>
              <w:spacing w:line="360" w:lineRule="auto"/>
              <w:ind w:firstLine="482" w:firstLineChars="200"/>
              <w:rPr>
                <w:b/>
                <w:sz w:val="24"/>
              </w:rPr>
            </w:pPr>
            <w:r>
              <w:rPr>
                <w:b/>
                <w:sz w:val="24"/>
              </w:rPr>
              <w:t>1.1施工废水</w:t>
            </w:r>
          </w:p>
          <w:p>
            <w:pPr>
              <w:tabs>
                <w:tab w:val="left" w:pos="645"/>
                <w:tab w:val="left" w:pos="850"/>
                <w:tab w:val="left" w:pos="1275"/>
                <w:tab w:val="left" w:pos="2235"/>
              </w:tabs>
              <w:spacing w:line="360" w:lineRule="auto"/>
              <w:ind w:firstLine="480" w:firstLineChars="200"/>
              <w:rPr>
                <w:bCs/>
                <w:sz w:val="24"/>
              </w:rPr>
            </w:pPr>
            <w:r>
              <w:rPr>
                <w:bCs/>
                <w:sz w:val="24"/>
              </w:rPr>
              <w:t>施工废水主要来自于施工机械冲洗水，该类废水含大量泥砂等，悬浮物浓度较高，pH值呈弱碱性，并带有少量的油污。环评要求建设单位在建筑施工现场开挖修建临时废水沉淀池，对施工废水进行隔油、沉淀除渣处理后循环使用，严格做到不外排。</w:t>
            </w:r>
          </w:p>
          <w:p>
            <w:pPr>
              <w:tabs>
                <w:tab w:val="left" w:pos="645"/>
                <w:tab w:val="left" w:pos="850"/>
                <w:tab w:val="left" w:pos="1275"/>
                <w:tab w:val="left" w:pos="2235"/>
              </w:tabs>
              <w:spacing w:line="360" w:lineRule="auto"/>
              <w:ind w:firstLine="482" w:firstLineChars="200"/>
              <w:rPr>
                <w:b/>
                <w:sz w:val="24"/>
              </w:rPr>
            </w:pPr>
            <w:r>
              <w:rPr>
                <w:b/>
                <w:sz w:val="24"/>
              </w:rPr>
              <w:t>1.2施工人员生活污水</w:t>
            </w:r>
          </w:p>
          <w:p>
            <w:pPr>
              <w:tabs>
                <w:tab w:val="left" w:pos="645"/>
                <w:tab w:val="left" w:pos="850"/>
                <w:tab w:val="left" w:pos="1275"/>
                <w:tab w:val="left" w:pos="2235"/>
              </w:tabs>
              <w:spacing w:line="360" w:lineRule="auto"/>
              <w:ind w:firstLine="480" w:firstLineChars="200"/>
              <w:rPr>
                <w:sz w:val="24"/>
              </w:rPr>
            </w:pPr>
            <w:r>
              <w:rPr>
                <w:bCs/>
                <w:sz w:val="24"/>
              </w:rPr>
              <w:t>施工单位不安排现场食宿，施工人员均为当地居民，食宿均各自自行回家解决。根据类比分析，拟建项目施工高峰施工人员约15人，按照每人每天50L计算，污水排放系数0.85，生活污水产生量为0.64</w:t>
            </w:r>
            <w:r>
              <w:rPr>
                <w:sz w:val="24"/>
              </w:rPr>
              <w:t>m</w:t>
            </w:r>
            <w:r>
              <w:rPr>
                <w:sz w:val="24"/>
                <w:vertAlign w:val="superscript"/>
              </w:rPr>
              <w:t>3</w:t>
            </w:r>
            <w:r>
              <w:rPr>
                <w:sz w:val="24"/>
              </w:rPr>
              <w:t>/d</w:t>
            </w:r>
            <w:r>
              <w:rPr>
                <w:bCs/>
                <w:sz w:val="24"/>
              </w:rPr>
              <w:t>。施工期为2个月，施工期生活污水</w:t>
            </w:r>
            <w:r>
              <w:rPr>
                <w:sz w:val="24"/>
              </w:rPr>
              <w:t>产生量为38.25m</w:t>
            </w:r>
            <w:r>
              <w:rPr>
                <w:sz w:val="24"/>
                <w:vertAlign w:val="superscript"/>
              </w:rPr>
              <w:t>3</w:t>
            </w:r>
            <w:r>
              <w:rPr>
                <w:sz w:val="24"/>
              </w:rPr>
              <w:t>。</w:t>
            </w:r>
            <w:r>
              <w:rPr>
                <w:bCs/>
                <w:sz w:val="24"/>
              </w:rPr>
              <w:t>生活污水主要污染物包括BOD</w:t>
            </w:r>
            <w:r>
              <w:rPr>
                <w:bCs/>
                <w:sz w:val="24"/>
                <w:vertAlign w:val="subscript"/>
              </w:rPr>
              <w:t>5</w:t>
            </w:r>
            <w:r>
              <w:rPr>
                <w:bCs/>
                <w:sz w:val="24"/>
              </w:rPr>
              <w:t>、COD、NH</w:t>
            </w:r>
            <w:r>
              <w:rPr>
                <w:bCs/>
                <w:sz w:val="24"/>
                <w:vertAlign w:val="subscript"/>
              </w:rPr>
              <w:t>3</w:t>
            </w:r>
            <w:r>
              <w:rPr>
                <w:bCs/>
                <w:sz w:val="24"/>
              </w:rPr>
              <w:t>-N、SS等</w:t>
            </w:r>
            <w:r>
              <w:rPr>
                <w:sz w:val="24"/>
              </w:rPr>
              <w:t>。</w:t>
            </w:r>
          </w:p>
          <w:p>
            <w:pPr>
              <w:tabs>
                <w:tab w:val="left" w:pos="645"/>
                <w:tab w:val="left" w:pos="850"/>
                <w:tab w:val="left" w:pos="1275"/>
                <w:tab w:val="left" w:pos="2235"/>
              </w:tabs>
              <w:spacing w:line="360" w:lineRule="auto"/>
              <w:ind w:firstLine="480" w:firstLineChars="200"/>
              <w:rPr>
                <w:bCs/>
                <w:sz w:val="24"/>
              </w:rPr>
            </w:pPr>
            <w:r>
              <w:rPr>
                <w:sz w:val="24"/>
              </w:rPr>
              <w:t>施工人员大部分为当地居民，施工人员生活污水利用企业现有的预处理池处理后</w:t>
            </w:r>
            <w:r>
              <w:rPr>
                <w:rFonts w:hint="eastAsia"/>
                <w:sz w:val="24"/>
              </w:rPr>
              <w:t>交由大英县洁达环保科技有限公司收集处理后达标排放</w:t>
            </w:r>
            <w:r>
              <w:rPr>
                <w:sz w:val="24"/>
              </w:rPr>
              <w:t>。</w:t>
            </w:r>
          </w:p>
          <w:p>
            <w:pPr>
              <w:tabs>
                <w:tab w:val="left" w:pos="645"/>
                <w:tab w:val="left" w:pos="850"/>
                <w:tab w:val="left" w:pos="1275"/>
                <w:tab w:val="left" w:pos="2235"/>
              </w:tabs>
              <w:spacing w:line="360" w:lineRule="auto"/>
              <w:rPr>
                <w:bCs/>
                <w:sz w:val="24"/>
              </w:rPr>
            </w:pPr>
            <w:r>
              <w:rPr>
                <w:b/>
                <w:sz w:val="24"/>
              </w:rPr>
              <w:t>3、噪声排放及治理措施</w:t>
            </w:r>
          </w:p>
          <w:p>
            <w:pPr>
              <w:tabs>
                <w:tab w:val="left" w:pos="3780"/>
              </w:tabs>
              <w:spacing w:line="360" w:lineRule="auto"/>
              <w:ind w:firstLine="480" w:firstLineChars="200"/>
              <w:rPr>
                <w:rFonts w:eastAsia="黑体"/>
                <w:bCs/>
                <w:szCs w:val="21"/>
              </w:rPr>
            </w:pPr>
            <w:r>
              <w:rPr>
                <w:kern w:val="0"/>
                <w:sz w:val="24"/>
              </w:rPr>
              <w:t>本项目在建设施工过程中，主要噪声源有推土机、装载机、电锯和各种运输车辆等，其运行噪声值一般在75~115dB(A)之间。由于这些设备的运作是间歇性的，因此其所产生的噪声也是间歇性和短暂性的。</w:t>
            </w:r>
          </w:p>
          <w:p>
            <w:pPr>
              <w:autoSpaceDE w:val="0"/>
              <w:autoSpaceDN w:val="0"/>
              <w:spacing w:line="360" w:lineRule="auto"/>
              <w:ind w:firstLine="480" w:firstLineChars="200"/>
              <w:jc w:val="left"/>
              <w:rPr>
                <w:sz w:val="24"/>
              </w:rPr>
            </w:pPr>
            <w:r>
              <w:rPr>
                <w:sz w:val="24"/>
              </w:rPr>
              <w:t>为了确保施工噪声场界达标，施工噪声不扰民，建设单位应认真落实本环评提出噪声污染防治措施，具体如下：</w:t>
            </w:r>
          </w:p>
          <w:p>
            <w:pPr>
              <w:spacing w:line="360" w:lineRule="auto"/>
              <w:ind w:firstLine="480" w:firstLineChars="200"/>
              <w:rPr>
                <w:sz w:val="24"/>
              </w:rPr>
            </w:pPr>
            <w:r>
              <w:rPr>
                <w:sz w:val="24"/>
              </w:rPr>
              <w:t>（1）尽量采用低噪声设备；</w:t>
            </w:r>
          </w:p>
          <w:p>
            <w:pPr>
              <w:spacing w:line="360" w:lineRule="auto"/>
              <w:ind w:firstLine="480" w:firstLineChars="200"/>
              <w:rPr>
                <w:sz w:val="24"/>
              </w:rPr>
            </w:pPr>
            <w:r>
              <w:rPr>
                <w:sz w:val="24"/>
              </w:rPr>
              <w:t>（2）合理布局施工场地，将产生高噪声的作业点应尽量布置在远离周边的居民区等敏感点的地方；</w:t>
            </w:r>
          </w:p>
          <w:p>
            <w:pPr>
              <w:spacing w:line="360" w:lineRule="auto"/>
              <w:ind w:firstLine="480" w:firstLineChars="200"/>
              <w:rPr>
                <w:sz w:val="24"/>
              </w:rPr>
            </w:pPr>
            <w:r>
              <w:rPr>
                <w:sz w:val="24"/>
              </w:rPr>
              <w:t>（3）合理安排施工时间，强噪声施工作业应尽量安排在白天施工，尽量避开在夜间时间施工（时间为22：00~6：00），杜绝出现夜间施工噪声扰民影响；</w:t>
            </w:r>
          </w:p>
          <w:p>
            <w:pPr>
              <w:spacing w:line="360" w:lineRule="auto"/>
              <w:ind w:firstLine="480" w:firstLineChars="200"/>
              <w:rPr>
                <w:sz w:val="24"/>
              </w:rPr>
            </w:pPr>
            <w:r>
              <w:rPr>
                <w:sz w:val="24"/>
              </w:rPr>
              <w:t>（4）文明施工，装卸、搬运钢管、模板等严禁抛掷；</w:t>
            </w:r>
          </w:p>
          <w:p>
            <w:pPr>
              <w:spacing w:line="360" w:lineRule="auto"/>
              <w:ind w:firstLine="480" w:firstLineChars="200"/>
              <w:rPr>
                <w:sz w:val="24"/>
              </w:rPr>
            </w:pPr>
            <w:r>
              <w:rPr>
                <w:sz w:val="24"/>
              </w:rPr>
              <w:t>（5）基础及主体结构施工阶段的噪声主要来源于振动棒、电锯、焊机等设备，振动棒应选用消声振动棒，焊机等施工机械应选择噪声较小的设备；</w:t>
            </w:r>
          </w:p>
          <w:p>
            <w:pPr>
              <w:spacing w:line="360" w:lineRule="auto"/>
              <w:ind w:firstLine="480" w:firstLineChars="200"/>
              <w:rPr>
                <w:sz w:val="24"/>
              </w:rPr>
            </w:pPr>
            <w:r>
              <w:rPr>
                <w:sz w:val="24"/>
              </w:rPr>
              <w:t>（6）安装阶段的噪声主要来源于电钻、电锤等设备，在此阶段应使用合格的电锤，并及时在各部位加注机油，增强润滑作用，使用电锤开洞、凿眼时，严禁用铁锤敲打管道及金属工件。装修、安装阶段各主要噪声设备应尽量集中在某个时段使用，减少施工噪声对区域声环境的影响时间；</w:t>
            </w:r>
          </w:p>
          <w:p>
            <w:pPr>
              <w:spacing w:line="360" w:lineRule="auto"/>
              <w:ind w:firstLine="480" w:firstLineChars="200"/>
              <w:rPr>
                <w:sz w:val="24"/>
              </w:rPr>
            </w:pPr>
            <w:r>
              <w:rPr>
                <w:sz w:val="24"/>
              </w:rPr>
              <w:t>（7）一切动力机械设备都应适时维修，特别对因松动部件的震动或降低噪声部件的损坏而产生很强噪声的设备，更应经常检查维护；</w:t>
            </w:r>
          </w:p>
          <w:p>
            <w:pPr>
              <w:spacing w:line="360" w:lineRule="auto"/>
              <w:ind w:firstLine="480" w:firstLineChars="200"/>
              <w:rPr>
                <w:sz w:val="24"/>
              </w:rPr>
            </w:pPr>
            <w:r>
              <w:rPr>
                <w:sz w:val="24"/>
              </w:rPr>
              <w:t>（8）建筑垃圾及原辅料运输车辆应控制车速，尽量不鸣笛，并合理安排运输时间，尽量避开夜间时间。</w:t>
            </w:r>
          </w:p>
          <w:p>
            <w:pPr>
              <w:spacing w:line="360" w:lineRule="auto"/>
              <w:ind w:firstLine="482" w:firstLineChars="200"/>
              <w:contextualSpacing/>
              <w:rPr>
                <w:b/>
                <w:sz w:val="24"/>
              </w:rPr>
            </w:pPr>
            <w:r>
              <w:rPr>
                <w:b/>
                <w:sz w:val="24"/>
              </w:rPr>
              <w:t>在采取上述噪声污染防治措施后，项目施工期场界噪声可以实现达标排放，施工噪声对周围敏感点影响小，不会导致区域声环境质量发生明显的变化，对周边敏感点影响较小。</w:t>
            </w:r>
          </w:p>
          <w:p>
            <w:pPr>
              <w:spacing w:line="360" w:lineRule="auto"/>
              <w:contextualSpacing/>
              <w:rPr>
                <w:b/>
                <w:sz w:val="24"/>
              </w:rPr>
            </w:pPr>
            <w:r>
              <w:rPr>
                <w:b/>
                <w:sz w:val="24"/>
              </w:rPr>
              <w:t>4、固体废弃物排放及治理措施</w:t>
            </w:r>
          </w:p>
          <w:p>
            <w:pPr>
              <w:spacing w:line="360" w:lineRule="auto"/>
              <w:ind w:firstLine="480" w:firstLineChars="200"/>
              <w:rPr>
                <w:kern w:val="0"/>
                <w:sz w:val="24"/>
              </w:rPr>
            </w:pPr>
            <w:r>
              <w:rPr>
                <w:kern w:val="0"/>
                <w:sz w:val="24"/>
              </w:rPr>
              <w:t>本项目施工期固废主要包括土石方、建筑垃圾和施工人员生活垃圾。</w:t>
            </w:r>
          </w:p>
          <w:p>
            <w:pPr>
              <w:spacing w:line="360" w:lineRule="auto"/>
              <w:ind w:firstLine="482" w:firstLineChars="200"/>
              <w:rPr>
                <w:b/>
                <w:bCs/>
                <w:kern w:val="0"/>
                <w:sz w:val="24"/>
              </w:rPr>
            </w:pPr>
            <w:r>
              <w:rPr>
                <w:b/>
                <w:bCs/>
                <w:kern w:val="0"/>
                <w:sz w:val="24"/>
              </w:rPr>
              <w:t>4.1土石方</w:t>
            </w:r>
          </w:p>
          <w:p>
            <w:pPr>
              <w:spacing w:line="360" w:lineRule="auto"/>
              <w:ind w:firstLine="480" w:firstLineChars="200"/>
              <w:rPr>
                <w:bCs/>
                <w:sz w:val="24"/>
              </w:rPr>
            </w:pPr>
            <w:r>
              <w:rPr>
                <w:kern w:val="0"/>
                <w:sz w:val="24"/>
              </w:rPr>
              <w:t>项目厂区较平坦，基础开挖量不大；施工过程中基础开挖、土地平整有少量土石方产生，将产生的土石方回填于项目地势较低处。通过回填后，可实现土石方就地平衡，</w:t>
            </w:r>
            <w:r>
              <w:rPr>
                <w:rFonts w:hint="eastAsia"/>
                <w:kern w:val="0"/>
                <w:sz w:val="24"/>
                <w:lang w:eastAsia="zh-CN"/>
              </w:rPr>
              <w:t>不</w:t>
            </w:r>
            <w:r>
              <w:rPr>
                <w:kern w:val="0"/>
                <w:sz w:val="24"/>
              </w:rPr>
              <w:t>需外运处置</w:t>
            </w:r>
            <w:r>
              <w:rPr>
                <w:bCs/>
                <w:sz w:val="24"/>
              </w:rPr>
              <w:t>。</w:t>
            </w:r>
          </w:p>
          <w:p>
            <w:pPr>
              <w:spacing w:line="360" w:lineRule="auto"/>
              <w:ind w:firstLine="480" w:firstLineChars="200"/>
              <w:jc w:val="left"/>
              <w:textAlignment w:val="baseline"/>
              <w:rPr>
                <w:sz w:val="24"/>
              </w:rPr>
            </w:pPr>
            <w:r>
              <w:rPr>
                <w:sz w:val="24"/>
              </w:rPr>
              <w:t>在开挖土石方时，由于堆放量较大，遇降雨容易形成水土流失而造成对附近沟渠的影响。因此，要求在进行开挖土石方作业时，一是在堆放场地周围设置排水沟及沉淀池；二是在雨季不进行开挖作业或只进行小规模作业，尽可能减少堆放土形成水土流失现象；三是在临时堆场上搭建防尘网，以减少扬尘产生。</w:t>
            </w:r>
          </w:p>
          <w:p>
            <w:pPr>
              <w:spacing w:line="360" w:lineRule="auto"/>
              <w:ind w:firstLine="482" w:firstLineChars="200"/>
              <w:rPr>
                <w:b/>
                <w:bCs/>
                <w:kern w:val="0"/>
                <w:sz w:val="24"/>
              </w:rPr>
            </w:pPr>
            <w:r>
              <w:rPr>
                <w:b/>
                <w:bCs/>
                <w:kern w:val="0"/>
                <w:sz w:val="24"/>
              </w:rPr>
              <w:t>4.2建筑垃圾</w:t>
            </w:r>
          </w:p>
          <w:p>
            <w:pPr>
              <w:spacing w:line="360" w:lineRule="auto"/>
              <w:ind w:firstLine="480" w:firstLineChars="200"/>
              <w:rPr>
                <w:kern w:val="0"/>
                <w:sz w:val="24"/>
              </w:rPr>
            </w:pPr>
            <w:r>
              <w:rPr>
                <w:kern w:val="0"/>
                <w:sz w:val="24"/>
              </w:rPr>
              <w:t>项目在进行主体工程和装饰工程时会产生建筑垃圾</w:t>
            </w:r>
            <w:r>
              <w:rPr>
                <w:rFonts w:hint="eastAsia"/>
                <w:kern w:val="0"/>
                <w:sz w:val="24"/>
              </w:rPr>
              <w:t>，</w:t>
            </w:r>
            <w:r>
              <w:rPr>
                <w:kern w:val="0"/>
                <w:sz w:val="24"/>
              </w:rPr>
              <w:t>根据同类行业类比分析，本项目建筑垃圾产生量约1t</w:t>
            </w:r>
            <w:r>
              <w:rPr>
                <w:rFonts w:hint="eastAsia"/>
                <w:kern w:val="0"/>
                <w:sz w:val="24"/>
              </w:rPr>
              <w:t>，</w:t>
            </w:r>
            <w:r>
              <w:rPr>
                <w:kern w:val="0"/>
                <w:sz w:val="24"/>
              </w:rPr>
              <w:t>定时清运到政府部门指定的建筑垃圾处置地点，严禁随意倾倒、填埋，从而可以避免造成二次污染。</w:t>
            </w:r>
          </w:p>
          <w:p>
            <w:pPr>
              <w:spacing w:line="360" w:lineRule="auto"/>
              <w:ind w:firstLine="480" w:firstLineChars="200"/>
              <w:rPr>
                <w:kern w:val="0"/>
                <w:sz w:val="24"/>
              </w:rPr>
            </w:pPr>
            <w:r>
              <w:rPr>
                <w:kern w:val="0"/>
                <w:sz w:val="24"/>
              </w:rPr>
              <w:t>建设单位应对建筑垃圾进行规范化管理和处置。建筑垃圾应送至环卫部门指定地点填埋处置，不得随意倾倒建筑垃圾、制造新的“垃圾堆场”、避免对周围环境造成影响。</w:t>
            </w:r>
          </w:p>
          <w:p>
            <w:pPr>
              <w:spacing w:line="360" w:lineRule="auto"/>
              <w:ind w:firstLine="482" w:firstLineChars="200"/>
              <w:rPr>
                <w:b/>
                <w:bCs/>
                <w:kern w:val="0"/>
                <w:sz w:val="24"/>
              </w:rPr>
            </w:pPr>
            <w:r>
              <w:rPr>
                <w:b/>
                <w:bCs/>
                <w:kern w:val="0"/>
                <w:sz w:val="24"/>
              </w:rPr>
              <w:t>4.3施工人员生活垃圾</w:t>
            </w:r>
          </w:p>
          <w:p>
            <w:pPr>
              <w:spacing w:line="360" w:lineRule="auto"/>
              <w:ind w:firstLine="480" w:firstLineChars="200"/>
              <w:rPr>
                <w:sz w:val="24"/>
              </w:rPr>
            </w:pPr>
            <w:r>
              <w:rPr>
                <w:bCs/>
                <w:sz w:val="24"/>
              </w:rPr>
              <w:t>施工单位不安排现场食宿，施工人员均为当地居民，食宿均各自自行回家解决。</w:t>
            </w:r>
            <w:r>
              <w:rPr>
                <w:kern w:val="0"/>
                <w:sz w:val="24"/>
              </w:rPr>
              <w:t>本项目施工期高峰期施工人员约15人，生活垃圾产生量按0.5kg/人·天计，则施工人员生活垃圾产生量约7.5kg/d。</w:t>
            </w:r>
            <w:r>
              <w:rPr>
                <w:bCs/>
                <w:sz w:val="24"/>
              </w:rPr>
              <w:t>施工期为2个月，施工期生活垃圾</w:t>
            </w:r>
            <w:r>
              <w:rPr>
                <w:sz w:val="24"/>
              </w:rPr>
              <w:t>产生量为0.45t。</w:t>
            </w:r>
            <w:r>
              <w:rPr>
                <w:kern w:val="0"/>
                <w:sz w:val="24"/>
              </w:rPr>
              <w:t>施工人员生活垃圾</w:t>
            </w:r>
            <w:r>
              <w:rPr>
                <w:sz w:val="24"/>
              </w:rPr>
              <w:t>交由环卫部门清运</w:t>
            </w:r>
            <w:r>
              <w:rPr>
                <w:kern w:val="0"/>
                <w:sz w:val="24"/>
              </w:rPr>
              <w:t>。</w:t>
            </w:r>
          </w:p>
          <w:p>
            <w:pPr>
              <w:spacing w:line="360" w:lineRule="auto"/>
              <w:ind w:firstLine="482" w:firstLineChars="200"/>
              <w:rPr>
                <w:b/>
                <w:kern w:val="0"/>
                <w:sz w:val="24"/>
              </w:rPr>
            </w:pPr>
            <w:r>
              <w:rPr>
                <w:b/>
                <w:kern w:val="0"/>
                <w:sz w:val="24"/>
              </w:rPr>
              <w:t>施工单位应严格采取上述固废处置措施，确保施工期固废得到资源化处置和清洁处理，不造成二次污染，污染防治措施有效。</w:t>
            </w:r>
          </w:p>
          <w:p>
            <w:pPr>
              <w:tabs>
                <w:tab w:val="left" w:pos="645"/>
                <w:tab w:val="left" w:pos="850"/>
                <w:tab w:val="left" w:pos="1275"/>
                <w:tab w:val="left" w:pos="2235"/>
              </w:tabs>
              <w:spacing w:line="360" w:lineRule="auto"/>
              <w:rPr>
                <w:b/>
                <w:bCs/>
                <w:sz w:val="24"/>
              </w:rPr>
            </w:pPr>
            <w:r>
              <w:rPr>
                <w:b/>
                <w:bCs/>
                <w:sz w:val="24"/>
              </w:rPr>
              <w:t>5、生态破坏</w:t>
            </w:r>
          </w:p>
          <w:p>
            <w:pPr>
              <w:tabs>
                <w:tab w:val="left" w:pos="645"/>
                <w:tab w:val="left" w:pos="850"/>
                <w:tab w:val="left" w:pos="1275"/>
                <w:tab w:val="left" w:pos="2235"/>
              </w:tabs>
              <w:spacing w:line="360" w:lineRule="auto"/>
              <w:ind w:firstLine="480" w:firstLineChars="200"/>
              <w:rPr>
                <w:bCs/>
                <w:sz w:val="24"/>
              </w:rPr>
            </w:pPr>
            <w:r>
              <w:rPr>
                <w:bCs/>
                <w:sz w:val="24"/>
              </w:rPr>
              <w:t>项目施工中，场地开挖、回填等施工作业活动将使土地被侵占，地表裸露，从而使项目周边局部生态结构发生一定变化，裸露的地面被雨水冲刷后将造成水土流失，进而降低土壤的肥力，影响局部水文条件和陆生生态系统的稳定性。施工过程中产生新的水土流失，可能导致附近水体的沉积物淤积和河水混浊。</w:t>
            </w:r>
          </w:p>
          <w:p>
            <w:pPr>
              <w:tabs>
                <w:tab w:val="left" w:pos="645"/>
                <w:tab w:val="left" w:pos="850"/>
                <w:tab w:val="left" w:pos="1275"/>
                <w:tab w:val="left" w:pos="2235"/>
              </w:tabs>
              <w:spacing w:line="360" w:lineRule="auto"/>
              <w:ind w:firstLine="480" w:firstLineChars="200"/>
              <w:rPr>
                <w:bCs/>
                <w:sz w:val="24"/>
              </w:rPr>
            </w:pPr>
            <w:r>
              <w:rPr>
                <w:bCs/>
                <w:sz w:val="24"/>
              </w:rPr>
              <w:t>项目施工期间的生态环境影响主要表现为水土流失，应采取以下措施予以防治：</w:t>
            </w:r>
          </w:p>
          <w:p>
            <w:pPr>
              <w:tabs>
                <w:tab w:val="left" w:pos="645"/>
                <w:tab w:val="left" w:pos="850"/>
                <w:tab w:val="left" w:pos="1275"/>
                <w:tab w:val="left" w:pos="2235"/>
              </w:tabs>
              <w:spacing w:line="360" w:lineRule="auto"/>
              <w:ind w:firstLine="480" w:firstLineChars="200"/>
              <w:rPr>
                <w:bCs/>
                <w:sz w:val="24"/>
              </w:rPr>
            </w:pPr>
            <w:r>
              <w:rPr>
                <w:bCs/>
                <w:sz w:val="24"/>
              </w:rPr>
              <w:t>（1）施工期间必须按规定加强建设过程中的文明施工管理，禁止野蛮施工，施工场地四周修建围护结构，施工采用硬化路面，合理安排施工进度，以最高效率保证最优的工程质量；对运送车辆进行覆盖，对运送散装物料的机动车以及存放散装物料的堆场，应用蓬布遮盖，以防物料洒落和防止起尘。</w:t>
            </w:r>
          </w:p>
          <w:p>
            <w:pPr>
              <w:tabs>
                <w:tab w:val="left" w:pos="645"/>
                <w:tab w:val="left" w:pos="850"/>
                <w:tab w:val="left" w:pos="1275"/>
                <w:tab w:val="left" w:pos="2235"/>
              </w:tabs>
              <w:spacing w:line="360" w:lineRule="auto"/>
              <w:ind w:firstLine="480" w:firstLineChars="200"/>
              <w:rPr>
                <w:bCs/>
                <w:sz w:val="24"/>
              </w:rPr>
            </w:pPr>
            <w:r>
              <w:rPr>
                <w:bCs/>
                <w:sz w:val="24"/>
              </w:rPr>
              <w:t>（2）施工过程中注意场地清理工作，对建筑工地及周边道路洒漏的渣土及时进行湿法清扫，项目建设完成后，施工单位应在三十日内将建筑垃圾全部清除，避免土料、粉尘受雨水冲刷污染受纳水体。并做好施工现场生活垃圾、施工废弃物（如废弃包装物等）收集工作，禁止焚烧和随意丢弃，统一收集后交由环卫部门处理。</w:t>
            </w:r>
          </w:p>
          <w:p>
            <w:pPr>
              <w:tabs>
                <w:tab w:val="left" w:pos="645"/>
                <w:tab w:val="left" w:pos="850"/>
                <w:tab w:val="left" w:pos="1275"/>
                <w:tab w:val="left" w:pos="2235"/>
              </w:tabs>
              <w:spacing w:line="360" w:lineRule="auto"/>
              <w:ind w:firstLine="480" w:firstLineChars="200"/>
              <w:rPr>
                <w:bCs/>
                <w:sz w:val="24"/>
              </w:rPr>
            </w:pPr>
            <w:r>
              <w:rPr>
                <w:bCs/>
                <w:sz w:val="24"/>
              </w:rPr>
              <w:t>（3）项目基础开挖、回填尽量避免在多雨季节进行，加强施工现场废弃物收集、处置，及时回填和外运开挖土方，做好施工现场的防尘和水土保持措施，减轻施工活动对区域环境的影响程度，防止形成二次水土流失。</w:t>
            </w:r>
          </w:p>
          <w:p>
            <w:pPr>
              <w:tabs>
                <w:tab w:val="left" w:pos="645"/>
                <w:tab w:val="left" w:pos="850"/>
                <w:tab w:val="left" w:pos="1275"/>
                <w:tab w:val="left" w:pos="2235"/>
              </w:tabs>
              <w:spacing w:line="360" w:lineRule="auto"/>
              <w:ind w:firstLine="480" w:firstLineChars="200"/>
              <w:rPr>
                <w:bCs/>
                <w:sz w:val="24"/>
              </w:rPr>
            </w:pPr>
            <w:r>
              <w:rPr>
                <w:bCs/>
                <w:sz w:val="24"/>
              </w:rPr>
              <w:t>（4）施工场地和临时堆放场内应设置专门的雨水导流渠，将雨水引导到沉淀池经过沉淀后回用或排放，防止因雨水冲刷造成水土流失。</w:t>
            </w:r>
          </w:p>
          <w:p>
            <w:pPr>
              <w:tabs>
                <w:tab w:val="left" w:pos="645"/>
                <w:tab w:val="left" w:pos="850"/>
                <w:tab w:val="left" w:pos="1275"/>
                <w:tab w:val="left" w:pos="2235"/>
              </w:tabs>
              <w:spacing w:line="360" w:lineRule="auto"/>
              <w:ind w:firstLine="480" w:firstLineChars="200"/>
              <w:rPr>
                <w:bCs/>
                <w:sz w:val="24"/>
              </w:rPr>
            </w:pPr>
            <w:r>
              <w:rPr>
                <w:bCs/>
                <w:sz w:val="24"/>
              </w:rPr>
              <w:t>（5）优化施工工序，缩短材料堆放及施工时间。</w:t>
            </w:r>
          </w:p>
          <w:p>
            <w:pPr>
              <w:tabs>
                <w:tab w:val="left" w:pos="645"/>
                <w:tab w:val="left" w:pos="850"/>
                <w:tab w:val="left" w:pos="1275"/>
                <w:tab w:val="left" w:pos="2235"/>
              </w:tabs>
              <w:spacing w:line="360" w:lineRule="auto"/>
              <w:ind w:firstLine="482" w:firstLineChars="200"/>
              <w:rPr>
                <w:b/>
                <w:bCs/>
                <w:sz w:val="24"/>
              </w:rPr>
            </w:pPr>
            <w:r>
              <w:rPr>
                <w:b/>
                <w:bCs/>
                <w:sz w:val="24"/>
              </w:rPr>
              <w:t>对以上提出的施工期环保措施，建设单位应提供给施工方，保证施工阶段的污染物能够得到有效治理，避免对周边环境产生影响。本项目施工期主要污染是暂时性的，待施工结束，基本上可消除。</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p>
            <w:pPr>
              <w:pStyle w:val="2"/>
              <w:ind w:left="0" w:leftChars="0" w:firstLine="0" w:firstLineChars="0"/>
            </w:pPr>
          </w:p>
          <w:p>
            <w:pPr>
              <w:pStyle w:val="2"/>
            </w:pPr>
          </w:p>
        </w:tc>
      </w:tr>
    </w:tbl>
    <w:p/>
    <w:p>
      <w:pPr>
        <w:pStyle w:val="2"/>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825" w:type="dxa"/>
            <w:tcMar>
              <w:left w:w="28" w:type="dxa"/>
              <w:right w:w="28" w:type="dxa"/>
            </w:tcMar>
            <w:vAlign w:val="center"/>
          </w:tcPr>
          <w:p>
            <w:pPr>
              <w:adjustRightInd w:val="0"/>
              <w:snapToGrid w:val="0"/>
              <w:jc w:val="center"/>
              <w:rPr>
                <w:b/>
                <w:sz w:val="24"/>
              </w:rPr>
            </w:pPr>
            <w:r>
              <w:rPr>
                <w:b/>
                <w:sz w:val="24"/>
              </w:rPr>
              <w:t>运营期环境影响和保护措施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825" w:type="dxa"/>
            <w:tcMar>
              <w:left w:w="28" w:type="dxa"/>
              <w:right w:w="28" w:type="dxa"/>
            </w:tcMar>
            <w:vAlign w:val="center"/>
          </w:tcPr>
          <w:p>
            <w:pPr>
              <w:spacing w:before="120" w:beforeLines="50" w:line="360" w:lineRule="auto"/>
              <w:ind w:firstLine="480" w:firstLineChars="200"/>
              <w:rPr>
                <w:rFonts w:eastAsiaTheme="minorEastAsia"/>
                <w:sz w:val="24"/>
              </w:rPr>
            </w:pPr>
            <w:bookmarkStart w:id="10" w:name="_Toc532226654"/>
            <w:bookmarkStart w:id="11" w:name="_Toc395186525"/>
            <w:r>
              <w:rPr>
                <w:rFonts w:eastAsiaTheme="minorEastAsia"/>
                <w:sz w:val="24"/>
              </w:rPr>
              <w:t>本项目</w:t>
            </w:r>
            <w:r>
              <w:rPr>
                <w:rFonts w:hint="eastAsia" w:eastAsiaTheme="minorEastAsia"/>
                <w:sz w:val="24"/>
              </w:rPr>
              <w:t>运营期的污染主要为废气，</w:t>
            </w:r>
            <w:r>
              <w:rPr>
                <w:rFonts w:eastAsiaTheme="minorEastAsia"/>
                <w:sz w:val="24"/>
              </w:rPr>
              <w:t>废水，噪声，固废等</w:t>
            </w:r>
            <w:r>
              <w:rPr>
                <w:rFonts w:hint="eastAsia" w:eastAsiaTheme="minorEastAsia"/>
                <w:sz w:val="24"/>
              </w:rPr>
              <w:t>。其中</w:t>
            </w:r>
            <w:r>
              <w:rPr>
                <w:rFonts w:eastAsiaTheme="minorEastAsia"/>
                <w:sz w:val="24"/>
              </w:rPr>
              <w:t>粉尘主要包括原料堆存区运输，装卸产生的粉尘、</w:t>
            </w:r>
            <w:r>
              <w:rPr>
                <w:rFonts w:hint="eastAsia" w:eastAsiaTheme="minorEastAsia"/>
                <w:sz w:val="24"/>
              </w:rPr>
              <w:t>料</w:t>
            </w:r>
            <w:r>
              <w:rPr>
                <w:rFonts w:eastAsiaTheme="minorEastAsia"/>
                <w:sz w:val="24"/>
              </w:rPr>
              <w:t>仓粉尘、</w:t>
            </w:r>
            <w:r>
              <w:rPr>
                <w:rFonts w:hint="eastAsia" w:eastAsiaTheme="minorEastAsia"/>
                <w:sz w:val="24"/>
              </w:rPr>
              <w:t>破碎粉尘</w:t>
            </w:r>
            <w:r>
              <w:rPr>
                <w:rFonts w:eastAsiaTheme="minorEastAsia"/>
                <w:sz w:val="24"/>
              </w:rPr>
              <w:t>以及配料搅拌粉尘等</w:t>
            </w:r>
            <w:r>
              <w:rPr>
                <w:rFonts w:hint="eastAsia" w:eastAsiaTheme="minorEastAsia"/>
                <w:sz w:val="24"/>
              </w:rPr>
              <w:t>。</w:t>
            </w:r>
          </w:p>
          <w:p>
            <w:pPr>
              <w:pStyle w:val="78"/>
              <w:numPr>
                <w:ilvl w:val="0"/>
                <w:numId w:val="5"/>
              </w:numPr>
              <w:spacing w:line="360" w:lineRule="auto"/>
              <w:ind w:left="0" w:firstLine="0" w:firstLineChars="0"/>
              <w:rPr>
                <w:b/>
                <w:bCs/>
                <w:sz w:val="24"/>
              </w:rPr>
            </w:pPr>
            <w:r>
              <w:rPr>
                <w:b/>
                <w:bCs/>
                <w:sz w:val="24"/>
              </w:rPr>
              <w:t>废气产生情况及保护措施</w:t>
            </w:r>
          </w:p>
          <w:p>
            <w:pPr>
              <w:spacing w:line="360" w:lineRule="auto"/>
              <w:ind w:firstLine="482" w:firstLineChars="200"/>
              <w:rPr>
                <w:rFonts w:eastAsiaTheme="minorEastAsia"/>
                <w:b/>
                <w:bCs/>
                <w:sz w:val="24"/>
              </w:rPr>
            </w:pPr>
            <w:r>
              <w:rPr>
                <w:rFonts w:eastAsiaTheme="minorEastAsia"/>
                <w:b/>
                <w:bCs/>
                <w:sz w:val="24"/>
              </w:rPr>
              <w:t>1.1原料运输、堆场、装卸产生的粉尘及治理措施</w:t>
            </w:r>
          </w:p>
          <w:p>
            <w:pPr>
              <w:adjustRightInd w:val="0"/>
              <w:snapToGrid w:val="0"/>
              <w:spacing w:line="360" w:lineRule="auto"/>
              <w:ind w:firstLine="482" w:firstLineChars="200"/>
              <w:rPr>
                <w:rFonts w:eastAsiaTheme="minorEastAsia"/>
                <w:b/>
                <w:bCs/>
                <w:sz w:val="24"/>
              </w:rPr>
            </w:pPr>
            <w:r>
              <w:rPr>
                <w:rFonts w:eastAsiaTheme="minorEastAsia"/>
                <w:b/>
                <w:bCs/>
                <w:sz w:val="24"/>
              </w:rPr>
              <w:t>（1）汽车运输扬尘</w:t>
            </w:r>
          </w:p>
          <w:p>
            <w:pPr>
              <w:adjustRightInd w:val="0"/>
              <w:snapToGrid w:val="0"/>
              <w:spacing w:line="360" w:lineRule="auto"/>
              <w:ind w:firstLine="720" w:firstLineChars="300"/>
              <w:rPr>
                <w:rFonts w:eastAsiaTheme="minorEastAsia"/>
                <w:b/>
                <w:bCs/>
                <w:sz w:val="24"/>
              </w:rPr>
            </w:pPr>
            <w:r>
              <w:rPr>
                <w:rFonts w:eastAsiaTheme="minorEastAsia"/>
                <w:sz w:val="24"/>
              </w:rPr>
              <w:t>车辆行驶过程中产生的扬尘，在道路完全干燥的情况下可按下列经验公式计算：</w:t>
            </w:r>
          </w:p>
          <w:p>
            <w:pPr>
              <w:pStyle w:val="96"/>
              <w:ind w:firstLine="480"/>
              <w:rPr>
                <w:rFonts w:eastAsiaTheme="minorEastAsia"/>
                <w:szCs w:val="24"/>
              </w:rPr>
            </w:pPr>
            <w:r>
              <w:rPr>
                <w:rFonts w:eastAsiaTheme="minorEastAsia"/>
                <w:szCs w:val="24"/>
              </w:rPr>
              <w:drawing>
                <wp:inline distT="0" distB="0" distL="0" distR="0">
                  <wp:extent cx="2057400" cy="466090"/>
                  <wp:effectExtent l="19050" t="0" r="0"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noChangeArrowheads="1"/>
                          </pic:cNvPicPr>
                        </pic:nvPicPr>
                        <pic:blipFill>
                          <a:blip r:embed="rId27"/>
                          <a:srcRect/>
                          <a:stretch>
                            <a:fillRect/>
                          </a:stretch>
                        </pic:blipFill>
                        <pic:spPr>
                          <a:xfrm>
                            <a:off x="0" y="0"/>
                            <a:ext cx="2057400" cy="466090"/>
                          </a:xfrm>
                          <a:prstGeom prst="rect">
                            <a:avLst/>
                          </a:prstGeom>
                          <a:noFill/>
                          <a:ln w="9525">
                            <a:noFill/>
                            <a:miter lim="800000"/>
                            <a:headEnd/>
                            <a:tailEnd/>
                          </a:ln>
                        </pic:spPr>
                      </pic:pic>
                    </a:graphicData>
                  </a:graphic>
                </wp:inline>
              </w:drawing>
            </w:r>
          </w:p>
          <w:p>
            <w:pPr>
              <w:pStyle w:val="96"/>
              <w:ind w:firstLine="480"/>
              <w:rPr>
                <w:rFonts w:eastAsiaTheme="minorEastAsia"/>
                <w:szCs w:val="24"/>
              </w:rPr>
            </w:pPr>
            <w:r>
              <w:rPr>
                <w:rFonts w:eastAsiaTheme="minorEastAsia"/>
                <w:szCs w:val="24"/>
              </w:rPr>
              <w:drawing>
                <wp:inline distT="0" distB="0" distL="0" distR="0">
                  <wp:extent cx="1143000" cy="342900"/>
                  <wp:effectExtent l="19050" t="0" r="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28"/>
                          <a:srcRect/>
                          <a:stretch>
                            <a:fillRect/>
                          </a:stretch>
                        </pic:blipFill>
                        <pic:spPr>
                          <a:xfrm>
                            <a:off x="0" y="0"/>
                            <a:ext cx="1143000" cy="342900"/>
                          </a:xfrm>
                          <a:prstGeom prst="rect">
                            <a:avLst/>
                          </a:prstGeom>
                          <a:noFill/>
                          <a:ln w="9525">
                            <a:noFill/>
                            <a:miter lim="800000"/>
                            <a:headEnd/>
                            <a:tailEnd/>
                          </a:ln>
                        </pic:spPr>
                      </pic:pic>
                    </a:graphicData>
                  </a:graphic>
                </wp:inline>
              </w:drawing>
            </w:r>
          </w:p>
          <w:p>
            <w:pPr>
              <w:pStyle w:val="96"/>
              <w:ind w:firstLine="480"/>
              <w:rPr>
                <w:rFonts w:eastAsiaTheme="minorEastAsia"/>
                <w:szCs w:val="24"/>
              </w:rPr>
            </w:pPr>
            <w:r>
              <w:rPr>
                <w:rFonts w:eastAsiaTheme="minorEastAsia"/>
                <w:szCs w:val="24"/>
              </w:rPr>
              <w:t>式中：Q</w:t>
            </w:r>
            <w:r>
              <w:rPr>
                <w:rFonts w:eastAsiaTheme="minorEastAsia"/>
                <w:szCs w:val="24"/>
                <w:vertAlign w:val="subscript"/>
              </w:rPr>
              <w:t>y</w:t>
            </w:r>
            <w:r>
              <w:rPr>
                <w:rFonts w:eastAsiaTheme="minorEastAsia"/>
                <w:szCs w:val="24"/>
              </w:rPr>
              <w:t>——运输起尘量，kg/km·辆；</w:t>
            </w:r>
          </w:p>
          <w:p>
            <w:pPr>
              <w:pStyle w:val="96"/>
              <w:ind w:firstLine="480"/>
              <w:rPr>
                <w:rFonts w:eastAsiaTheme="minorEastAsia"/>
                <w:szCs w:val="24"/>
              </w:rPr>
            </w:pPr>
            <w:r>
              <w:rPr>
                <w:rFonts w:eastAsiaTheme="minorEastAsia"/>
                <w:szCs w:val="24"/>
              </w:rPr>
              <w:t>Q</w:t>
            </w:r>
            <w:r>
              <w:rPr>
                <w:rFonts w:eastAsiaTheme="minorEastAsia"/>
                <w:szCs w:val="24"/>
                <w:vertAlign w:val="subscript"/>
              </w:rPr>
              <w:t>t</w:t>
            </w:r>
            <w:r>
              <w:rPr>
                <w:rFonts w:eastAsiaTheme="minorEastAsia"/>
                <w:szCs w:val="24"/>
              </w:rPr>
              <w:t>——运输起尘量，kg/a；</w:t>
            </w:r>
          </w:p>
          <w:p>
            <w:pPr>
              <w:pStyle w:val="96"/>
              <w:ind w:firstLine="480"/>
              <w:rPr>
                <w:rFonts w:eastAsiaTheme="minorEastAsia"/>
                <w:szCs w:val="24"/>
              </w:rPr>
            </w:pPr>
            <w:r>
              <w:rPr>
                <w:rFonts w:eastAsiaTheme="minorEastAsia"/>
                <w:szCs w:val="24"/>
              </w:rPr>
              <w:t>V——运行速度，km/h；</w:t>
            </w:r>
          </w:p>
          <w:p>
            <w:pPr>
              <w:pStyle w:val="96"/>
              <w:ind w:firstLine="480"/>
              <w:rPr>
                <w:rFonts w:eastAsiaTheme="minorEastAsia"/>
                <w:szCs w:val="24"/>
              </w:rPr>
            </w:pPr>
            <w:r>
              <w:rPr>
                <w:rFonts w:eastAsiaTheme="minorEastAsia"/>
                <w:szCs w:val="24"/>
              </w:rPr>
              <w:t>P——路面状况，每平米灰尘覆盖量，kg/m</w:t>
            </w:r>
            <w:r>
              <w:rPr>
                <w:rFonts w:eastAsiaTheme="minorEastAsia"/>
                <w:szCs w:val="24"/>
                <w:vertAlign w:val="superscript"/>
              </w:rPr>
              <w:t>2</w:t>
            </w:r>
            <w:r>
              <w:rPr>
                <w:rFonts w:eastAsiaTheme="minorEastAsia"/>
                <w:szCs w:val="24"/>
              </w:rPr>
              <w:t>；</w:t>
            </w:r>
          </w:p>
          <w:p>
            <w:pPr>
              <w:pStyle w:val="96"/>
              <w:ind w:firstLine="480"/>
              <w:rPr>
                <w:rFonts w:eastAsiaTheme="minorEastAsia"/>
                <w:szCs w:val="24"/>
              </w:rPr>
            </w:pPr>
            <w:r>
              <w:rPr>
                <w:rFonts w:eastAsiaTheme="minorEastAsia"/>
                <w:szCs w:val="24"/>
              </w:rPr>
              <w:t>L——运输距离，km，取0.1km；</w:t>
            </w:r>
          </w:p>
          <w:p>
            <w:pPr>
              <w:pStyle w:val="96"/>
              <w:ind w:firstLine="480"/>
              <w:rPr>
                <w:rFonts w:eastAsiaTheme="minorEastAsia"/>
                <w:szCs w:val="24"/>
              </w:rPr>
            </w:pPr>
            <w:r>
              <w:rPr>
                <w:rFonts w:eastAsiaTheme="minorEastAsia"/>
                <w:szCs w:val="24"/>
              </w:rPr>
              <w:t>M——车辆载重，t/辆；</w:t>
            </w:r>
          </w:p>
          <w:p>
            <w:pPr>
              <w:pStyle w:val="96"/>
              <w:ind w:firstLine="480"/>
              <w:rPr>
                <w:rFonts w:eastAsiaTheme="minorEastAsia"/>
                <w:szCs w:val="24"/>
              </w:rPr>
            </w:pPr>
            <w:r>
              <w:rPr>
                <w:rFonts w:eastAsiaTheme="minorEastAsia"/>
                <w:szCs w:val="24"/>
              </w:rPr>
              <w:t>Q——运输量，t/a。</w:t>
            </w:r>
          </w:p>
          <w:p>
            <w:pPr>
              <w:pStyle w:val="96"/>
              <w:ind w:firstLine="480"/>
              <w:rPr>
                <w:rFonts w:eastAsiaTheme="minorEastAsia"/>
                <w:szCs w:val="24"/>
              </w:rPr>
            </w:pPr>
            <w:r>
              <w:rPr>
                <w:rFonts w:eastAsiaTheme="minorEastAsia"/>
                <w:szCs w:val="24"/>
              </w:rPr>
              <w:t>本项目运输车型以20t为主（空载约10t，重载约30t），本项目年发空车、重车各5967辆次，汽车在场地内行驶速度一般不超过10km/h，道路表面粉尘量约为0.02kg/m</w:t>
            </w:r>
            <w:r>
              <w:rPr>
                <w:rFonts w:eastAsiaTheme="minorEastAsia"/>
                <w:szCs w:val="24"/>
                <w:vertAlign w:val="superscript"/>
              </w:rPr>
              <w:t>2</w:t>
            </w:r>
            <w:r>
              <w:rPr>
                <w:rFonts w:eastAsiaTheme="minorEastAsia"/>
                <w:szCs w:val="24"/>
              </w:rPr>
              <w:t>，根据上述参数可计算得到厂内汽车扬尘量为0.036t/a。</w:t>
            </w:r>
          </w:p>
          <w:p>
            <w:pPr>
              <w:pStyle w:val="96"/>
              <w:ind w:firstLine="482"/>
              <w:rPr>
                <w:rFonts w:eastAsiaTheme="minorEastAsia"/>
                <w:szCs w:val="24"/>
              </w:rPr>
            </w:pPr>
            <w:r>
              <w:rPr>
                <w:rFonts w:eastAsiaTheme="minorEastAsia"/>
                <w:b/>
                <w:szCs w:val="24"/>
              </w:rPr>
              <w:t>治理措施</w:t>
            </w:r>
            <w:r>
              <w:rPr>
                <w:rFonts w:eastAsiaTheme="minorEastAsia"/>
                <w:szCs w:val="24"/>
              </w:rPr>
              <w:t>：</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1 \* GB3</w:instrText>
            </w:r>
            <w:r>
              <w:rPr>
                <w:rFonts w:eastAsiaTheme="minorEastAsia"/>
                <w:szCs w:val="24"/>
              </w:rPr>
              <w:fldChar w:fldCharType="separate"/>
            </w:r>
            <w:r>
              <w:rPr>
                <w:rFonts w:hint="eastAsia" w:ascii="宋体" w:hAnsi="宋体" w:cs="宋体"/>
                <w:szCs w:val="24"/>
              </w:rPr>
              <w:t>①</w:t>
            </w:r>
            <w:r>
              <w:rPr>
                <w:rFonts w:eastAsiaTheme="minorEastAsia"/>
                <w:szCs w:val="24"/>
              </w:rPr>
              <w:fldChar w:fldCharType="end"/>
            </w:r>
            <w:r>
              <w:rPr>
                <w:rFonts w:eastAsiaTheme="minorEastAsia"/>
                <w:szCs w:val="24"/>
              </w:rPr>
              <w:t>汽车行驶速度应该小于10km/h，尽量减少起尘量；</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2 \* GB3</w:instrText>
            </w:r>
            <w:r>
              <w:rPr>
                <w:rFonts w:eastAsiaTheme="minorEastAsia"/>
                <w:szCs w:val="24"/>
              </w:rPr>
              <w:fldChar w:fldCharType="separate"/>
            </w:r>
            <w:r>
              <w:rPr>
                <w:rFonts w:hint="eastAsia" w:ascii="宋体" w:hAnsi="宋体" w:cs="宋体"/>
                <w:szCs w:val="24"/>
              </w:rPr>
              <w:t>②</w:t>
            </w:r>
            <w:r>
              <w:rPr>
                <w:rFonts w:eastAsiaTheme="minorEastAsia"/>
                <w:szCs w:val="24"/>
              </w:rPr>
              <w:fldChar w:fldCharType="end"/>
            </w:r>
            <w:r>
              <w:rPr>
                <w:rFonts w:eastAsiaTheme="minorEastAsia"/>
                <w:szCs w:val="24"/>
              </w:rPr>
              <w:t>对厂区内路面进行硬化处理；</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3 \* GB3</w:instrText>
            </w:r>
            <w:r>
              <w:rPr>
                <w:rFonts w:eastAsiaTheme="minorEastAsia"/>
                <w:szCs w:val="24"/>
              </w:rPr>
              <w:fldChar w:fldCharType="separate"/>
            </w:r>
            <w:r>
              <w:rPr>
                <w:rFonts w:hint="eastAsia" w:ascii="宋体" w:hAnsi="宋体" w:cs="宋体"/>
                <w:szCs w:val="24"/>
              </w:rPr>
              <w:t>③</w:t>
            </w:r>
            <w:r>
              <w:rPr>
                <w:rFonts w:eastAsiaTheme="minorEastAsia"/>
                <w:szCs w:val="24"/>
              </w:rPr>
              <w:fldChar w:fldCharType="end"/>
            </w:r>
            <w:r>
              <w:rPr>
                <w:rFonts w:eastAsiaTheme="minorEastAsia"/>
                <w:szCs w:val="24"/>
              </w:rPr>
              <w:t>加大厂区内绿化植物的种植，减少扬尘和尾气的扩散；</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4 \* GB3</w:instrText>
            </w:r>
            <w:r>
              <w:rPr>
                <w:rFonts w:eastAsiaTheme="minorEastAsia"/>
                <w:szCs w:val="24"/>
              </w:rPr>
              <w:fldChar w:fldCharType="separate"/>
            </w:r>
            <w:r>
              <w:rPr>
                <w:rFonts w:hint="eastAsia" w:ascii="宋体" w:hAnsi="宋体" w:cs="宋体"/>
                <w:szCs w:val="24"/>
              </w:rPr>
              <w:t>④</w:t>
            </w:r>
            <w:r>
              <w:rPr>
                <w:rFonts w:eastAsiaTheme="minorEastAsia"/>
                <w:szCs w:val="24"/>
              </w:rPr>
              <w:fldChar w:fldCharType="end"/>
            </w:r>
            <w:r>
              <w:rPr>
                <w:rFonts w:eastAsiaTheme="minorEastAsia"/>
                <w:szCs w:val="24"/>
              </w:rPr>
              <w:t>运输道路两侧设置固定式喷雾器若干，对厂区道路进行洒水抑尘；</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5 \* GB3</w:instrText>
            </w:r>
            <w:r>
              <w:rPr>
                <w:rFonts w:eastAsiaTheme="minorEastAsia"/>
                <w:szCs w:val="24"/>
              </w:rPr>
              <w:fldChar w:fldCharType="separate"/>
            </w:r>
            <w:r>
              <w:rPr>
                <w:rFonts w:hint="eastAsia" w:ascii="宋体" w:hAnsi="宋体" w:cs="宋体"/>
                <w:szCs w:val="24"/>
              </w:rPr>
              <w:t>⑤</w:t>
            </w:r>
            <w:r>
              <w:rPr>
                <w:rFonts w:eastAsiaTheme="minorEastAsia"/>
                <w:szCs w:val="24"/>
              </w:rPr>
              <w:fldChar w:fldCharType="end"/>
            </w:r>
            <w:r>
              <w:rPr>
                <w:rFonts w:eastAsiaTheme="minorEastAsia"/>
                <w:szCs w:val="24"/>
              </w:rPr>
              <w:t>定期清扫；</w:t>
            </w:r>
          </w:p>
          <w:p>
            <w:pPr>
              <w:pStyle w:val="96"/>
              <w:ind w:firstLine="480"/>
              <w:rPr>
                <w:rFonts w:eastAsiaTheme="minorEastAsia"/>
                <w:szCs w:val="24"/>
              </w:rPr>
            </w:pPr>
            <w:r>
              <w:rPr>
                <w:rFonts w:eastAsiaTheme="minorEastAsia"/>
                <w:szCs w:val="24"/>
              </w:rPr>
              <w:fldChar w:fldCharType="begin"/>
            </w:r>
            <w:r>
              <w:rPr>
                <w:rFonts w:eastAsiaTheme="minorEastAsia"/>
                <w:szCs w:val="24"/>
              </w:rPr>
              <w:instrText xml:space="preserve">= 6 \* GB3</w:instrText>
            </w:r>
            <w:r>
              <w:rPr>
                <w:rFonts w:eastAsiaTheme="minorEastAsia"/>
                <w:szCs w:val="24"/>
              </w:rPr>
              <w:fldChar w:fldCharType="separate"/>
            </w:r>
            <w:r>
              <w:rPr>
                <w:rFonts w:hint="eastAsia" w:ascii="宋体" w:hAnsi="宋体" w:cs="宋体"/>
                <w:szCs w:val="24"/>
              </w:rPr>
              <w:t>⑥</w:t>
            </w:r>
            <w:r>
              <w:rPr>
                <w:rFonts w:eastAsiaTheme="minorEastAsia"/>
                <w:szCs w:val="24"/>
              </w:rPr>
              <w:fldChar w:fldCharType="end"/>
            </w:r>
            <w:r>
              <w:rPr>
                <w:rFonts w:eastAsiaTheme="minorEastAsia"/>
                <w:szCs w:val="24"/>
              </w:rPr>
              <w:t>定期对车辆进行检修，确保车辆保持在良好的状态。</w:t>
            </w:r>
          </w:p>
          <w:p>
            <w:pPr>
              <w:pStyle w:val="96"/>
              <w:ind w:firstLine="480"/>
              <w:rPr>
                <w:rFonts w:eastAsiaTheme="minorEastAsia"/>
                <w:szCs w:val="24"/>
              </w:rPr>
            </w:pPr>
            <w:r>
              <w:rPr>
                <w:rFonts w:eastAsiaTheme="minorEastAsia"/>
                <w:szCs w:val="24"/>
              </w:rPr>
              <w:t>在采取环评建议的环保措施后，可使扬尘减少90%左右，则预计汽车运输扬尘排放量0.0036t/a，运输扬尘对周围环境影响较小，属于无组织排放。</w:t>
            </w:r>
          </w:p>
          <w:p>
            <w:pPr>
              <w:pStyle w:val="96"/>
              <w:ind w:firstLine="482"/>
              <w:rPr>
                <w:rFonts w:eastAsiaTheme="minorEastAsia"/>
                <w:szCs w:val="24"/>
              </w:rPr>
            </w:pPr>
            <w:r>
              <w:rPr>
                <w:rFonts w:eastAsiaTheme="minorEastAsia"/>
                <w:b/>
                <w:szCs w:val="24"/>
                <w:u w:val="single"/>
              </w:rPr>
              <w:t>环评建议</w:t>
            </w:r>
            <w:r>
              <w:rPr>
                <w:rFonts w:eastAsiaTheme="minorEastAsia"/>
                <w:szCs w:val="24"/>
              </w:rPr>
              <w:t>：</w:t>
            </w:r>
            <w:r>
              <w:rPr>
                <w:rFonts w:ascii="宋体" w:hAnsi="宋体"/>
                <w:kern w:val="0"/>
              </w:rPr>
              <w:t>运输车辆应实行封闭运输，以免车辆运输过程中颠簸撒漏</w:t>
            </w:r>
            <w:r>
              <w:rPr>
                <w:rFonts w:hint="eastAsia" w:ascii="宋体" w:hAnsi="宋体"/>
                <w:kern w:val="0"/>
              </w:rPr>
              <w:t>，</w:t>
            </w:r>
            <w:r>
              <w:rPr>
                <w:rFonts w:ascii="宋体" w:hAnsi="宋体"/>
                <w:kern w:val="0"/>
              </w:rPr>
              <w:t>车辆采取篷布加盖措施，施工车辆运输路线选择尽量避绕</w:t>
            </w:r>
            <w:r>
              <w:rPr>
                <w:rFonts w:hint="eastAsia" w:ascii="宋体" w:hAnsi="宋体"/>
                <w:kern w:val="0"/>
              </w:rPr>
              <w:t>沿线</w:t>
            </w:r>
            <w:r>
              <w:rPr>
                <w:rFonts w:ascii="宋体" w:hAnsi="宋体"/>
                <w:kern w:val="0"/>
              </w:rPr>
              <w:t>居民点</w:t>
            </w:r>
            <w:r>
              <w:rPr>
                <w:rFonts w:eastAsiaTheme="minorEastAsia"/>
                <w:szCs w:val="24"/>
              </w:rPr>
              <w:t>，运输时应合理安排运输时间，</w:t>
            </w:r>
            <w:r>
              <w:rPr>
                <w:rFonts w:hint="eastAsia" w:eastAsiaTheme="minorEastAsia"/>
                <w:szCs w:val="24"/>
              </w:rPr>
              <w:t>夜间不运输，</w:t>
            </w:r>
            <w:r>
              <w:rPr>
                <w:rFonts w:eastAsiaTheme="minorEastAsia"/>
                <w:szCs w:val="24"/>
              </w:rPr>
              <w:t>尽量错开车流量高峰期，应保持一定的行驶速度，不得超载超速行驶</w:t>
            </w:r>
            <w:r>
              <w:rPr>
                <w:rFonts w:ascii="宋体" w:hAnsi="宋体"/>
                <w:kern w:val="0"/>
              </w:rPr>
              <w:t>。运输车辆出场前必须冲洗，不准车辆带泥上路。</w:t>
            </w:r>
            <w:r>
              <w:rPr>
                <w:rFonts w:ascii="宋体" w:hAnsi="宋体"/>
              </w:rPr>
              <w:t>合理科学制定运输车辆运行班次，减少行驶动力扬尘起尘量，定期对道路进行洒水抑尘。保持运输车辆完好，不过满装载，减少沿程抛洒，及时清扫散落在路面上的</w:t>
            </w:r>
            <w:r>
              <w:rPr>
                <w:rFonts w:hint="eastAsia" w:ascii="宋体" w:hAnsi="宋体"/>
              </w:rPr>
              <w:t>原辅料</w:t>
            </w:r>
            <w:r>
              <w:rPr>
                <w:rFonts w:ascii="宋体" w:hAnsi="宋体"/>
              </w:rPr>
              <w:t>，冲洗轮胎，定时洒水压尘，减少运输过程中的扬尘</w:t>
            </w:r>
            <w:r>
              <w:rPr>
                <w:rFonts w:hint="eastAsia" w:ascii="宋体" w:hAnsi="宋体"/>
              </w:rPr>
              <w:t>，</w:t>
            </w:r>
            <w:r>
              <w:rPr>
                <w:rFonts w:eastAsiaTheme="minorEastAsia"/>
                <w:szCs w:val="24"/>
              </w:rPr>
              <w:t>而防治扬尘对区域大气环境及居民的影响。</w:t>
            </w:r>
          </w:p>
          <w:p>
            <w:pPr>
              <w:adjustRightInd w:val="0"/>
              <w:snapToGrid w:val="0"/>
              <w:spacing w:line="360" w:lineRule="auto"/>
              <w:ind w:firstLine="480" w:firstLineChars="200"/>
              <w:rPr>
                <w:rFonts w:ascii="宋体" w:hAnsi="宋体"/>
                <w:sz w:val="24"/>
              </w:rPr>
            </w:pPr>
            <w:r>
              <w:rPr>
                <w:rFonts w:ascii="宋体" w:hAnsi="宋体"/>
                <w:sz w:val="24"/>
              </w:rPr>
              <w:t>在运输车辆通过乡村道路时，减速行驶，减少扬尘对周围农田、水体、村庄等的污染。车辆</w:t>
            </w:r>
            <w:r>
              <w:rPr>
                <w:rFonts w:hint="eastAsia" w:ascii="宋体" w:hAnsi="宋体"/>
                <w:sz w:val="24"/>
              </w:rPr>
              <w:t>在运输</w:t>
            </w:r>
            <w:r>
              <w:rPr>
                <w:rFonts w:ascii="宋体" w:hAnsi="宋体"/>
                <w:sz w:val="24"/>
              </w:rPr>
              <w:t>过程中应尽量避免扰动原始地面、碾压周围地区的植被，不得随意开辟便道，严禁车辆下道行驶。</w:t>
            </w:r>
          </w:p>
          <w:p>
            <w:pPr>
              <w:spacing w:line="360" w:lineRule="auto"/>
              <w:ind w:firstLine="482" w:firstLineChars="200"/>
              <w:rPr>
                <w:rFonts w:eastAsiaTheme="minorEastAsia"/>
                <w:b/>
                <w:bCs/>
                <w:sz w:val="24"/>
              </w:rPr>
            </w:pPr>
            <w:r>
              <w:rPr>
                <w:rFonts w:eastAsiaTheme="minorEastAsia"/>
                <w:b/>
                <w:bCs/>
                <w:sz w:val="24"/>
              </w:rPr>
              <w:t>（2）堆场扬尘</w:t>
            </w:r>
          </w:p>
          <w:p>
            <w:pPr>
              <w:spacing w:line="360" w:lineRule="auto"/>
              <w:ind w:firstLine="454"/>
              <w:rPr>
                <w:sz w:val="24"/>
              </w:rPr>
            </w:pPr>
            <w:r>
              <w:rPr>
                <w:sz w:val="24"/>
              </w:rPr>
              <w:t>根据建设单位提供的资料，本项目设置1个建筑垃圾、碎石堆存区用于存放外购废建筑材料、碎石，最大暂存量均为200t，废弃建筑材料粒径一般在15~50cm之间、石子粒径一般在3-8cm之间，规格较大，</w:t>
            </w:r>
            <w:r>
              <w:rPr>
                <w:b/>
                <w:bCs/>
                <w:sz w:val="24"/>
              </w:rPr>
              <w:t>且堆料场位于封闭厂房内，</w:t>
            </w:r>
            <w:r>
              <w:rPr>
                <w:rFonts w:hint="eastAsia"/>
                <w:b/>
                <w:bCs/>
                <w:sz w:val="24"/>
              </w:rPr>
              <w:t>同时在堆料场设置喷雾装置，其他的原辅料如水泥，石灰粉，干渣，粉煤灰等均密闭储存于原料仓内，</w:t>
            </w:r>
            <w:r>
              <w:rPr>
                <w:sz w:val="24"/>
              </w:rPr>
              <w:t>因此堆料场堆存过程基本无风力扬尘产生。</w:t>
            </w:r>
          </w:p>
          <w:p>
            <w:pPr>
              <w:tabs>
                <w:tab w:val="left" w:pos="3780"/>
              </w:tabs>
              <w:spacing w:line="360" w:lineRule="auto"/>
              <w:ind w:firstLine="482" w:firstLineChars="200"/>
              <w:rPr>
                <w:rFonts w:eastAsiaTheme="minorEastAsia"/>
                <w:b/>
                <w:bCs/>
                <w:sz w:val="24"/>
              </w:rPr>
            </w:pPr>
            <w:r>
              <w:rPr>
                <w:rFonts w:eastAsiaTheme="minorEastAsia"/>
                <w:b/>
                <w:bCs/>
                <w:sz w:val="24"/>
              </w:rPr>
              <w:t>（3）装卸粉尘</w:t>
            </w:r>
          </w:p>
          <w:p>
            <w:pPr>
              <w:spacing w:line="360" w:lineRule="auto"/>
              <w:ind w:firstLine="482" w:firstLineChars="200"/>
              <w:rPr>
                <w:sz w:val="24"/>
              </w:rPr>
            </w:pPr>
            <w:r>
              <w:rPr>
                <w:rFonts w:hint="eastAsia"/>
                <w:b/>
                <w:bCs/>
                <w:sz w:val="24"/>
              </w:rPr>
              <w:t>本项目原辅料如水泥，石灰粉，干渣，粉煤灰等均经管道密闭装卸入料仓内，无粉尘产生，只有建筑垃圾和砂石等</w:t>
            </w:r>
            <w:r>
              <w:rPr>
                <w:b/>
                <w:bCs/>
                <w:sz w:val="24"/>
              </w:rPr>
              <w:t>在装、卸过程中会产生少量粉尘，由于废弃建筑材料粒径较大</w:t>
            </w:r>
            <w:r>
              <w:rPr>
                <w:sz w:val="24"/>
              </w:rPr>
              <w:t>。本项目参考《逸散性工业粉尘控制技术》，装卸料粉尘产生系数为0.01kg/t-卸料。本项目年用废建筑材料13500t、碎石4500t，则原料储存装卸过程无组织粉尘年产生量为0.18t/a，建筑垃圾、碎石以及石灰块卸料时间按500h计，则该部分粉尘的产生速率为0.36kg/h。</w:t>
            </w:r>
          </w:p>
          <w:p>
            <w:pPr>
              <w:pStyle w:val="2"/>
              <w:spacing w:after="0" w:line="360" w:lineRule="auto"/>
              <w:ind w:left="0" w:leftChars="0" w:firstLine="482"/>
              <w:rPr>
                <w:b/>
                <w:bCs/>
                <w:sz w:val="24"/>
              </w:rPr>
            </w:pPr>
            <w:r>
              <w:rPr>
                <w:rFonts w:eastAsiaTheme="minorEastAsia"/>
                <w:b/>
                <w:sz w:val="24"/>
              </w:rPr>
              <w:t>治理措施</w:t>
            </w:r>
            <w:r>
              <w:rPr>
                <w:rFonts w:eastAsiaTheme="minorEastAsia"/>
                <w:sz w:val="24"/>
              </w:rPr>
              <w:t>：为控制装卸粉尘，要求在装卸过程中采用湿法作业，可有效抑制扬尘产生，同时加强产品装卸操作管理，装卸过程中严禁抛撒，轻装轻卸。</w:t>
            </w:r>
          </w:p>
          <w:p>
            <w:pPr>
              <w:tabs>
                <w:tab w:val="left" w:pos="3780"/>
              </w:tabs>
              <w:spacing w:line="360" w:lineRule="auto"/>
              <w:ind w:firstLine="480" w:firstLineChars="200"/>
              <w:rPr>
                <w:rFonts w:eastAsiaTheme="minorEastAsia"/>
                <w:sz w:val="24"/>
              </w:rPr>
            </w:pPr>
            <w:r>
              <w:rPr>
                <w:rFonts w:eastAsiaTheme="minorEastAsia"/>
                <w:sz w:val="24"/>
              </w:rPr>
              <w:t>采取上述措施后，粉尘量可减少约90%，则装卸粉尘排放量为0.018t/a，属于无组织排放。</w:t>
            </w:r>
          </w:p>
          <w:p>
            <w:pPr>
              <w:pStyle w:val="7"/>
              <w:jc w:val="both"/>
              <w:rPr>
                <w:rFonts w:ascii="Times New Roman" w:hAnsi="Times New Roman" w:cs="Times New Roman" w:eastAsiaTheme="minorEastAsia"/>
              </w:rPr>
            </w:pPr>
            <w:r>
              <w:rPr>
                <w:rFonts w:ascii="Times New Roman" w:hAnsi="Times New Roman" w:cs="Times New Roman"/>
              </w:rPr>
              <w:t>1.2</w:t>
            </w:r>
            <w:r>
              <w:rPr>
                <w:rFonts w:ascii="Times New Roman" w:hAnsi="Times New Roman" w:cs="Times New Roman" w:eastAsiaTheme="minorEastAsia"/>
              </w:rPr>
              <w:t>项目生产线粉尘产生情况及治理设施</w:t>
            </w:r>
          </w:p>
          <w:p>
            <w:pPr>
              <w:pStyle w:val="2"/>
              <w:spacing w:after="0" w:line="360" w:lineRule="auto"/>
              <w:ind w:left="0" w:leftChars="0" w:firstLine="482"/>
              <w:rPr>
                <w:rFonts w:eastAsiaTheme="minorEastAsia"/>
                <w:b/>
                <w:bCs/>
                <w:sz w:val="24"/>
              </w:rPr>
            </w:pPr>
            <w:r>
              <w:rPr>
                <w:rFonts w:eastAsiaTheme="minorEastAsia"/>
                <w:b/>
                <w:bCs/>
                <w:sz w:val="24"/>
              </w:rPr>
              <w:t>1.2.1粉尘产生情况</w:t>
            </w:r>
          </w:p>
          <w:p>
            <w:pPr>
              <w:pStyle w:val="2"/>
              <w:spacing w:after="0" w:line="360" w:lineRule="auto"/>
              <w:ind w:left="0" w:leftChars="0" w:firstLine="482"/>
              <w:rPr>
                <w:rFonts w:eastAsiaTheme="minorEastAsia"/>
                <w:b/>
                <w:bCs/>
                <w:sz w:val="24"/>
              </w:rPr>
            </w:pPr>
            <w:r>
              <w:rPr>
                <w:rFonts w:eastAsiaTheme="minorEastAsia"/>
                <w:b/>
                <w:bCs/>
                <w:sz w:val="24"/>
              </w:rPr>
              <w:t>（1）项目生产线水泥、干渣，石灰粉等筒仓加料粉尘</w:t>
            </w:r>
          </w:p>
          <w:p>
            <w:pPr>
              <w:spacing w:line="360" w:lineRule="auto"/>
              <w:ind w:firstLine="480" w:firstLineChars="200"/>
              <w:rPr>
                <w:rFonts w:eastAsiaTheme="minorEastAsia"/>
                <w:sz w:val="24"/>
              </w:rPr>
            </w:pPr>
            <w:r>
              <w:rPr>
                <w:rFonts w:hint="eastAsia" w:eastAsiaTheme="minorEastAsia"/>
                <w:sz w:val="24"/>
              </w:rPr>
              <w:t>项目</w:t>
            </w:r>
            <w:r>
              <w:rPr>
                <w:rFonts w:eastAsiaTheme="minorEastAsia"/>
                <w:sz w:val="24"/>
              </w:rPr>
              <w:t>生产线水泥、干渣等粉剂原辅料通过运输车与相应料筒管道封闭直连，以压缩空气吹入形式进入相应料筒，然后采取密闭螺旋输送机进行计量给料。气泵向料筒</w:t>
            </w:r>
            <w:r>
              <w:rPr>
                <w:rFonts w:hint="eastAsia" w:eastAsiaTheme="minorEastAsia"/>
                <w:sz w:val="24"/>
              </w:rPr>
              <w:t>投</w:t>
            </w:r>
            <w:r>
              <w:rPr>
                <w:rFonts w:eastAsiaTheme="minorEastAsia"/>
                <w:sz w:val="24"/>
              </w:rPr>
              <w:t>料时仓顶呼吸口会产生粉尘。根据《空气污染排放和控制手册》（美国环境保护局编著，张良璧等译，中国环境科学出版社）中的“十混凝土配料”推荐的混凝土配料工艺潜在的逸散排放因子的排放等级，并出于保守考虑，选取0.12kg/t物料核算水泥、干渣、粉煤灰、石灰进入筒仓产生的粉尘。本项目</w:t>
            </w:r>
            <w:r>
              <w:rPr>
                <w:rFonts w:hint="eastAsia" w:eastAsiaTheme="minorEastAsia"/>
                <w:sz w:val="24"/>
              </w:rPr>
              <w:t>粉料</w:t>
            </w:r>
            <w:r>
              <w:rPr>
                <w:rFonts w:eastAsiaTheme="minorEastAsia"/>
                <w:sz w:val="24"/>
              </w:rPr>
              <w:t>使用量为101330t/a，则粉尘产生量为12.1596t/a。</w:t>
            </w:r>
          </w:p>
          <w:p>
            <w:pPr>
              <w:spacing w:line="360" w:lineRule="auto"/>
              <w:ind w:firstLine="480" w:firstLineChars="200"/>
              <w:rPr>
                <w:rFonts w:eastAsiaTheme="minorEastAsia"/>
                <w:sz w:val="24"/>
              </w:rPr>
            </w:pPr>
            <w:r>
              <w:rPr>
                <w:rFonts w:eastAsiaTheme="minorEastAsia"/>
                <w:sz w:val="24"/>
              </w:rPr>
              <w:t>项目筒仓加料时间以载重（100t）60min计，经计算水泥仓、干渣仓</w:t>
            </w:r>
            <w:r>
              <w:rPr>
                <w:rFonts w:hint="eastAsia" w:eastAsiaTheme="minorEastAsia"/>
                <w:sz w:val="24"/>
              </w:rPr>
              <w:t>等</w:t>
            </w:r>
            <w:r>
              <w:rPr>
                <w:rFonts w:eastAsiaTheme="minorEastAsia"/>
                <w:sz w:val="24"/>
              </w:rPr>
              <w:t>加料时间共计为1014h/a，筒仓粉尘产生速率为12kg/h。</w:t>
            </w:r>
          </w:p>
          <w:p>
            <w:pPr>
              <w:spacing w:line="360" w:lineRule="auto"/>
              <w:ind w:firstLine="482" w:firstLineChars="200"/>
              <w:rPr>
                <w:rFonts w:eastAsiaTheme="minorEastAsia"/>
                <w:b/>
                <w:bCs/>
                <w:sz w:val="24"/>
              </w:rPr>
            </w:pPr>
            <w:r>
              <w:rPr>
                <w:rFonts w:eastAsiaTheme="minorEastAsia"/>
                <w:b/>
                <w:bCs/>
                <w:sz w:val="24"/>
              </w:rPr>
              <w:t>（2）生产线配料搅拌粉尘</w:t>
            </w:r>
          </w:p>
          <w:p>
            <w:pPr>
              <w:spacing w:line="360" w:lineRule="auto"/>
              <w:ind w:firstLine="480" w:firstLineChars="200"/>
              <w:rPr>
                <w:rFonts w:eastAsiaTheme="minorEastAsia"/>
                <w:sz w:val="24"/>
              </w:rPr>
            </w:pPr>
            <w:r>
              <w:rPr>
                <w:rFonts w:eastAsiaTheme="minorEastAsia"/>
                <w:sz w:val="24"/>
              </w:rPr>
              <w:t>自动计量、配料后的各种原材料输送至搅拌机混合搅拌，搅拌机自动盖料，密封搅拌、湿法作业。整个搅拌站主机和粉料进料筒仓均设置在封闭的车间内，项目生产线在配料过程中主要将</w:t>
            </w:r>
            <w:r>
              <w:rPr>
                <w:rFonts w:hint="eastAsia" w:eastAsiaTheme="minorEastAsia"/>
                <w:sz w:val="24"/>
              </w:rPr>
              <w:t>原辅料和</w:t>
            </w:r>
            <w:r>
              <w:rPr>
                <w:rFonts w:eastAsiaTheme="minorEastAsia"/>
                <w:sz w:val="24"/>
              </w:rPr>
              <w:t>水</w:t>
            </w:r>
            <w:r>
              <w:rPr>
                <w:rFonts w:hint="eastAsia" w:eastAsiaTheme="minorEastAsia"/>
                <w:sz w:val="24"/>
              </w:rPr>
              <w:t>等</w:t>
            </w:r>
            <w:r>
              <w:rPr>
                <w:rFonts w:eastAsiaTheme="minorEastAsia"/>
                <w:sz w:val="24"/>
              </w:rPr>
              <w:t>进行均匀混合，搅拌，粉尘产生量</w:t>
            </w:r>
            <w:r>
              <w:rPr>
                <w:rFonts w:eastAsiaTheme="minorEastAsia"/>
                <w:kern w:val="0"/>
                <w:sz w:val="24"/>
              </w:rPr>
              <w:t>参考《逸散性工业粉尘控制技术》中“表22-1 混凝土分批搅拌厂的逸散粉尘排放因子”中“装水泥、粒料入搅拌机”产污系数0.01kg/t 物料</w:t>
            </w:r>
            <w:r>
              <w:rPr>
                <w:rFonts w:eastAsiaTheme="minorEastAsia"/>
                <w:sz w:val="24"/>
              </w:rPr>
              <w:t>，项目粉料总用量为119330t/a，则粉尘的产生量为1.1933t/a，配料搅拌工序时间以900h计，则配料搅拌粉尘产生速率为1.3259kg/h。</w:t>
            </w:r>
          </w:p>
          <w:p>
            <w:pPr>
              <w:pStyle w:val="2"/>
            </w:pPr>
          </w:p>
          <w:p>
            <w:pPr>
              <w:spacing w:line="360" w:lineRule="auto"/>
              <w:ind w:firstLine="482" w:firstLineChars="200"/>
              <w:rPr>
                <w:rFonts w:eastAsiaTheme="minorEastAsia"/>
                <w:b/>
                <w:bCs/>
                <w:sz w:val="24"/>
              </w:rPr>
            </w:pPr>
            <w:r>
              <w:rPr>
                <w:rFonts w:hint="eastAsia" w:eastAsiaTheme="minorEastAsia"/>
                <w:b/>
                <w:bCs/>
                <w:sz w:val="24"/>
              </w:rPr>
              <w:t>（3）</w:t>
            </w:r>
            <w:r>
              <w:rPr>
                <w:rFonts w:eastAsiaTheme="minorEastAsia"/>
                <w:b/>
                <w:bCs/>
                <w:sz w:val="24"/>
              </w:rPr>
              <w:t>生产线</w:t>
            </w:r>
            <w:r>
              <w:rPr>
                <w:rFonts w:hint="eastAsia" w:eastAsiaTheme="minorEastAsia"/>
                <w:b/>
                <w:bCs/>
                <w:sz w:val="24"/>
              </w:rPr>
              <w:t>破碎筛分</w:t>
            </w:r>
            <w:r>
              <w:rPr>
                <w:rFonts w:eastAsiaTheme="minorEastAsia"/>
                <w:b/>
                <w:bCs/>
                <w:sz w:val="24"/>
              </w:rPr>
              <w:t>粉尘</w:t>
            </w:r>
          </w:p>
          <w:p>
            <w:pPr>
              <w:spacing w:line="360" w:lineRule="auto"/>
              <w:ind w:firstLine="480" w:firstLineChars="200"/>
              <w:rPr>
                <w:rFonts w:eastAsiaTheme="minorEastAsia"/>
                <w:sz w:val="24"/>
              </w:rPr>
            </w:pPr>
            <w:r>
              <w:rPr>
                <w:rFonts w:hint="eastAsia"/>
                <w:sz w:val="24"/>
              </w:rPr>
              <w:t>项目</w:t>
            </w:r>
            <w:r>
              <w:rPr>
                <w:rFonts w:eastAsiaTheme="minorEastAsia"/>
                <w:sz w:val="24"/>
              </w:rPr>
              <w:t>蒸</w:t>
            </w:r>
            <w:r>
              <w:rPr>
                <w:rFonts w:hint="eastAsia" w:eastAsiaTheme="minorEastAsia"/>
                <w:sz w:val="24"/>
              </w:rPr>
              <w:t>养</w:t>
            </w:r>
            <w:r>
              <w:rPr>
                <w:rFonts w:eastAsiaTheme="minorEastAsia"/>
                <w:sz w:val="24"/>
              </w:rPr>
              <w:t>砖生产线</w:t>
            </w:r>
            <w:r>
              <w:rPr>
                <w:rFonts w:hint="eastAsia" w:eastAsiaTheme="minorEastAsia"/>
                <w:sz w:val="24"/>
              </w:rPr>
              <w:t>对建筑垃圾等进行破碎筛分，根据《排放源统计调查产排污核算方法和系数手册》中3</w:t>
            </w:r>
            <w:r>
              <w:rPr>
                <w:rFonts w:eastAsiaTheme="minorEastAsia"/>
                <w:sz w:val="24"/>
              </w:rPr>
              <w:t>03</w:t>
            </w:r>
            <w:r>
              <w:rPr>
                <w:rFonts w:hint="eastAsia" w:eastAsiaTheme="minorEastAsia"/>
                <w:sz w:val="24"/>
              </w:rPr>
              <w:t>：</w:t>
            </w:r>
            <w:r>
              <w:rPr>
                <w:rFonts w:hint="eastAsia" w:ascii="宋体" w:hAnsi="Calibri" w:cs="宋体"/>
                <w:kern w:val="0"/>
                <w:sz w:val="24"/>
              </w:rPr>
              <w:t>砖瓦、石材等建筑材料制造行业系数手册</w:t>
            </w:r>
            <w:r>
              <w:rPr>
                <w:rFonts w:hint="eastAsia" w:ascii="宋体" w:hAnsi="Calibri" w:cs="宋体"/>
                <w:sz w:val="24"/>
              </w:rPr>
              <w:t xml:space="preserve">， </w:t>
            </w:r>
            <w:r>
              <w:rPr>
                <w:rFonts w:hint="eastAsia" w:cs="宋体"/>
                <w:sz w:val="24"/>
              </w:rPr>
              <w:t>3031</w:t>
            </w:r>
            <w:r>
              <w:rPr>
                <w:rFonts w:hint="eastAsia" w:ascii="宋体" w:hAnsi="Calibri" w:cs="宋体"/>
                <w:sz w:val="24"/>
              </w:rPr>
              <w:t>粘土砖瓦及建筑砌块制造中的产物系数，项目破碎等生产工序的产污系数为</w:t>
            </w:r>
            <w:r>
              <w:rPr>
                <w:rFonts w:hint="eastAsia" w:cs="宋体"/>
                <w:sz w:val="24"/>
              </w:rPr>
              <w:t>1</w:t>
            </w:r>
            <w:r>
              <w:rPr>
                <w:rFonts w:ascii="宋体" w:hAnsi="Calibri" w:cs="宋体"/>
                <w:sz w:val="24"/>
              </w:rPr>
              <w:t>.</w:t>
            </w:r>
            <w:r>
              <w:rPr>
                <w:rFonts w:cs="宋体"/>
                <w:sz w:val="24"/>
              </w:rPr>
              <w:t>23</w:t>
            </w:r>
            <w:r>
              <w:rPr>
                <w:rFonts w:hint="eastAsia" w:ascii="宋体" w:hAnsi="Calibri" w:cs="宋体"/>
                <w:sz w:val="24"/>
              </w:rPr>
              <w:t>千克/万块标砖，项目</w:t>
            </w:r>
            <w:r>
              <w:rPr>
                <w:rFonts w:eastAsiaTheme="minorEastAsia"/>
                <w:sz w:val="24"/>
              </w:rPr>
              <w:t>蒸</w:t>
            </w:r>
            <w:r>
              <w:rPr>
                <w:rFonts w:hint="eastAsia" w:eastAsiaTheme="minorEastAsia"/>
                <w:sz w:val="24"/>
              </w:rPr>
              <w:t>养</w:t>
            </w:r>
            <w:r>
              <w:rPr>
                <w:rFonts w:eastAsiaTheme="minorEastAsia"/>
                <w:sz w:val="24"/>
              </w:rPr>
              <w:t>砖</w:t>
            </w:r>
            <w:r>
              <w:rPr>
                <w:rFonts w:hint="eastAsia" w:eastAsiaTheme="minorEastAsia"/>
                <w:sz w:val="24"/>
              </w:rPr>
              <w:t>年生产量约为</w:t>
            </w:r>
            <w:r>
              <w:rPr>
                <w:rFonts w:eastAsiaTheme="minorEastAsia"/>
                <w:sz w:val="24"/>
              </w:rPr>
              <w:t>2500</w:t>
            </w:r>
            <w:r>
              <w:rPr>
                <w:rFonts w:hint="eastAsia" w:eastAsiaTheme="minorEastAsia"/>
                <w:sz w:val="24"/>
              </w:rPr>
              <w:t>万块。项目破碎筛分粉尘产生量为3</w:t>
            </w:r>
            <w:r>
              <w:rPr>
                <w:rFonts w:ascii="宋体" w:hAnsi="Calibri" w:cs="宋体"/>
                <w:sz w:val="24"/>
              </w:rPr>
              <w:t>.</w:t>
            </w:r>
            <w:r>
              <w:rPr>
                <w:rFonts w:hint="eastAsia" w:eastAsiaTheme="minorEastAsia"/>
                <w:sz w:val="24"/>
              </w:rPr>
              <w:t>0</w:t>
            </w:r>
            <w:r>
              <w:rPr>
                <w:rFonts w:eastAsiaTheme="minorEastAsia"/>
                <w:sz w:val="24"/>
              </w:rPr>
              <w:t>75</w:t>
            </w:r>
            <w:r>
              <w:rPr>
                <w:rFonts w:hint="eastAsia" w:eastAsiaTheme="minorEastAsia"/>
                <w:sz w:val="24"/>
              </w:rPr>
              <w:t>t/</w:t>
            </w:r>
            <w:r>
              <w:rPr>
                <w:rFonts w:eastAsiaTheme="minorEastAsia"/>
                <w:sz w:val="24"/>
              </w:rPr>
              <w:t>a</w:t>
            </w:r>
            <w:r>
              <w:rPr>
                <w:rFonts w:hint="eastAsia" w:eastAsiaTheme="minorEastAsia"/>
                <w:sz w:val="24"/>
              </w:rPr>
              <w:t>，项目破碎筛分工序在密闭的车间内进行，项目破碎筛分工序</w:t>
            </w:r>
            <w:r>
              <w:rPr>
                <w:rFonts w:eastAsiaTheme="minorEastAsia"/>
                <w:sz w:val="24"/>
              </w:rPr>
              <w:t>时间以1200h计</w:t>
            </w:r>
            <w:r>
              <w:rPr>
                <w:rFonts w:hint="eastAsia" w:eastAsiaTheme="minorEastAsia"/>
                <w:sz w:val="24"/>
              </w:rPr>
              <w:t>，</w:t>
            </w:r>
            <w:r>
              <w:rPr>
                <w:rFonts w:eastAsiaTheme="minorEastAsia"/>
                <w:sz w:val="24"/>
              </w:rPr>
              <w:t>则配料搅拌粉尘产生速率为2.56kg/h。</w:t>
            </w:r>
          </w:p>
          <w:bookmarkEnd w:id="10"/>
          <w:bookmarkEnd w:id="11"/>
          <w:p>
            <w:pPr>
              <w:pStyle w:val="2"/>
              <w:spacing w:after="0" w:line="360" w:lineRule="auto"/>
              <w:ind w:left="0" w:leftChars="0" w:firstLine="482"/>
              <w:rPr>
                <w:b/>
                <w:bCs/>
                <w:sz w:val="24"/>
                <w:szCs w:val="32"/>
              </w:rPr>
            </w:pPr>
            <w:r>
              <w:rPr>
                <w:b/>
                <w:bCs/>
                <w:sz w:val="24"/>
                <w:szCs w:val="32"/>
              </w:rPr>
              <w:t>1.2.2项目</w:t>
            </w:r>
            <w:r>
              <w:rPr>
                <w:rFonts w:eastAsiaTheme="minorEastAsia"/>
                <w:b/>
                <w:bCs/>
                <w:sz w:val="24"/>
              </w:rPr>
              <w:t>筒仓粉尘，搅拌粉尘</w:t>
            </w:r>
            <w:r>
              <w:rPr>
                <w:rFonts w:hint="eastAsia" w:eastAsiaTheme="minorEastAsia"/>
                <w:b/>
                <w:bCs/>
                <w:sz w:val="24"/>
              </w:rPr>
              <w:t>，破碎筛分粉尘</w:t>
            </w:r>
            <w:r>
              <w:rPr>
                <w:rFonts w:eastAsiaTheme="minorEastAsia"/>
                <w:b/>
                <w:bCs/>
                <w:sz w:val="24"/>
              </w:rPr>
              <w:t>等</w:t>
            </w:r>
            <w:r>
              <w:rPr>
                <w:b/>
                <w:bCs/>
                <w:sz w:val="24"/>
                <w:szCs w:val="32"/>
              </w:rPr>
              <w:t>治理措施</w:t>
            </w:r>
          </w:p>
          <w:p>
            <w:pPr>
              <w:pStyle w:val="2"/>
              <w:spacing w:after="0" w:line="360" w:lineRule="auto"/>
              <w:ind w:left="0" w:leftChars="0" w:firstLine="480"/>
              <w:rPr>
                <w:rFonts w:eastAsiaTheme="minorEastAsia"/>
                <w:sz w:val="24"/>
              </w:rPr>
            </w:pPr>
            <w:r>
              <w:rPr>
                <w:rFonts w:hint="eastAsia" w:eastAsiaTheme="minorEastAsia"/>
                <w:sz w:val="24"/>
              </w:rPr>
              <w:t>项目</w:t>
            </w:r>
            <w:r>
              <w:rPr>
                <w:rFonts w:eastAsiaTheme="minorEastAsia"/>
                <w:sz w:val="24"/>
              </w:rPr>
              <w:t>配料后的各种原材料</w:t>
            </w:r>
            <w:r>
              <w:rPr>
                <w:rFonts w:hint="eastAsia" w:eastAsiaTheme="minorEastAsia"/>
                <w:sz w:val="24"/>
              </w:rPr>
              <w:t>密闭</w:t>
            </w:r>
            <w:r>
              <w:rPr>
                <w:rFonts w:eastAsiaTheme="minorEastAsia"/>
                <w:sz w:val="24"/>
              </w:rPr>
              <w:t>输送至搅拌机混合搅拌，搅拌机自动盖料，密封搅拌、湿法作业</w:t>
            </w:r>
            <w:r>
              <w:rPr>
                <w:rFonts w:hint="eastAsia" w:eastAsiaTheme="minorEastAsia"/>
                <w:sz w:val="24"/>
              </w:rPr>
              <w:t>，</w:t>
            </w:r>
            <w:r>
              <w:rPr>
                <w:rFonts w:eastAsiaTheme="minorEastAsia"/>
                <w:sz w:val="24"/>
              </w:rPr>
              <w:t>整个搅拌站主机设置在封闭的车间内</w:t>
            </w:r>
            <w:r>
              <w:rPr>
                <w:rFonts w:hint="eastAsia" w:eastAsiaTheme="minorEastAsia"/>
                <w:sz w:val="24"/>
              </w:rPr>
              <w:t>，通过集气设施在产尘点对</w:t>
            </w:r>
            <w:r>
              <w:rPr>
                <w:rFonts w:eastAsiaTheme="minorEastAsia"/>
                <w:sz w:val="24"/>
              </w:rPr>
              <w:t>粉尘</w:t>
            </w:r>
            <w:r>
              <w:rPr>
                <w:rFonts w:hint="eastAsia" w:eastAsiaTheme="minorEastAsia"/>
                <w:sz w:val="24"/>
              </w:rPr>
              <w:t>进行收集；</w:t>
            </w:r>
            <w:r>
              <w:rPr>
                <w:rFonts w:eastAsiaTheme="minorEastAsia"/>
                <w:sz w:val="24"/>
              </w:rPr>
              <w:t>水泥、干渣筒仓等仓顶自带呼吸阀，罐体为密闭式</w:t>
            </w:r>
            <w:r>
              <w:rPr>
                <w:rFonts w:hint="eastAsia" w:eastAsiaTheme="minorEastAsia"/>
                <w:sz w:val="24"/>
              </w:rPr>
              <w:t>，</w:t>
            </w:r>
            <w:r>
              <w:rPr>
                <w:rFonts w:eastAsiaTheme="minorEastAsia"/>
                <w:sz w:val="24"/>
              </w:rPr>
              <w:t>呼吸阀上连接集气装置</w:t>
            </w:r>
            <w:r>
              <w:rPr>
                <w:rFonts w:hint="eastAsia" w:eastAsiaTheme="minorEastAsia"/>
                <w:sz w:val="24"/>
              </w:rPr>
              <w:t>；项目破碎筛分在封闭的车间内进行，粉尘采取集气罩进行</w:t>
            </w:r>
            <w:r>
              <w:rPr>
                <w:rFonts w:eastAsiaTheme="minorEastAsia"/>
                <w:sz w:val="24"/>
              </w:rPr>
              <w:t>收集</w:t>
            </w:r>
            <w:r>
              <w:rPr>
                <w:rFonts w:hint="eastAsia" w:eastAsiaTheme="minorEastAsia"/>
                <w:sz w:val="24"/>
              </w:rPr>
              <w:t>，</w:t>
            </w:r>
            <w:r>
              <w:rPr>
                <w:rFonts w:eastAsiaTheme="minorEastAsia"/>
                <w:sz w:val="24"/>
              </w:rPr>
              <w:t>收集效率取98%</w:t>
            </w:r>
            <w:r>
              <w:rPr>
                <w:rFonts w:hint="eastAsia" w:eastAsiaTheme="minorEastAsia"/>
                <w:sz w:val="24"/>
              </w:rPr>
              <w:t>，经收集的</w:t>
            </w:r>
            <w:r>
              <w:rPr>
                <w:rFonts w:eastAsiaTheme="minorEastAsia"/>
                <w:b/>
                <w:bCs/>
                <w:sz w:val="24"/>
              </w:rPr>
              <w:t>筒仓粉尘，搅拌粉尘</w:t>
            </w:r>
            <w:r>
              <w:rPr>
                <w:rFonts w:hint="eastAsia" w:eastAsiaTheme="minorEastAsia"/>
                <w:b/>
                <w:bCs/>
                <w:sz w:val="24"/>
              </w:rPr>
              <w:t>，破碎筛分粉尘等经</w:t>
            </w:r>
            <w:r>
              <w:rPr>
                <w:rFonts w:hint="eastAsia" w:eastAsiaTheme="minorEastAsia"/>
                <w:sz w:val="24"/>
              </w:rPr>
              <w:t>布袋除尘器</w:t>
            </w:r>
            <w:r>
              <w:rPr>
                <w:rFonts w:eastAsiaTheme="minorEastAsia"/>
                <w:sz w:val="24"/>
              </w:rPr>
              <w:t>（风量为15000</w:t>
            </w:r>
            <w:r>
              <w:rPr>
                <w:rFonts w:eastAsiaTheme="minorEastAsia"/>
                <w:kern w:val="2"/>
                <w:sz w:val="24"/>
              </w:rPr>
              <w:t>m</w:t>
            </w:r>
            <w:r>
              <w:rPr>
                <w:rFonts w:eastAsiaTheme="minorEastAsia"/>
                <w:kern w:val="2"/>
                <w:sz w:val="24"/>
                <w:vertAlign w:val="superscript"/>
              </w:rPr>
              <w:t>3</w:t>
            </w:r>
            <w:r>
              <w:rPr>
                <w:rFonts w:eastAsiaTheme="minorEastAsia"/>
                <w:kern w:val="2"/>
                <w:sz w:val="24"/>
              </w:rPr>
              <w:t>/h</w:t>
            </w:r>
            <w:r>
              <w:rPr>
                <w:rFonts w:eastAsiaTheme="minorEastAsia"/>
                <w:sz w:val="24"/>
              </w:rPr>
              <w:t>）一起处理后由15m排气筒（DA001）排放，布袋除尘器处理效率按99.7%计算，经计算，排气筒DA001吸粉尘排放量为0.0483 t/a（0.0402 kg/h），其排放浓度为2.6832 mg/m</w:t>
            </w:r>
            <w:r>
              <w:rPr>
                <w:rFonts w:eastAsiaTheme="minorEastAsia"/>
                <w:sz w:val="24"/>
                <w:vertAlign w:val="superscript"/>
              </w:rPr>
              <w:t>3</w:t>
            </w:r>
            <w:r>
              <w:rPr>
                <w:rFonts w:eastAsiaTheme="minorEastAsia"/>
                <w:sz w:val="24"/>
              </w:rPr>
              <w:t>，满足《四川省水泥工业大气污染物排放标准》（DB51/2864-2021）散装水泥中转站及水泥制品生产标准限值10 mg/m</w:t>
            </w:r>
            <w:r>
              <w:rPr>
                <w:rFonts w:eastAsiaTheme="minorEastAsia"/>
                <w:sz w:val="24"/>
                <w:vertAlign w:val="superscript"/>
              </w:rPr>
              <w:t>3</w:t>
            </w:r>
            <w:r>
              <w:rPr>
                <w:rFonts w:eastAsiaTheme="minorEastAsia"/>
                <w:sz w:val="24"/>
              </w:rPr>
              <w:t>。</w:t>
            </w:r>
          </w:p>
          <w:p>
            <w:pPr>
              <w:pStyle w:val="2"/>
              <w:spacing w:after="0" w:line="360" w:lineRule="auto"/>
              <w:ind w:left="0" w:leftChars="0" w:firstLine="480"/>
              <w:rPr>
                <w:rFonts w:eastAsiaTheme="minorEastAsia"/>
                <w:sz w:val="24"/>
              </w:rPr>
            </w:pPr>
            <w:r>
              <w:rPr>
                <w:rFonts w:hint="eastAsia" w:eastAsiaTheme="minorEastAsia"/>
                <w:sz w:val="24"/>
              </w:rPr>
              <w:t>项目在车间易产尘点布设喷雾装置，对未收集的无组织粉尘进行处理，参照《</w:t>
            </w:r>
            <w:r>
              <w:rPr>
                <w:rFonts w:hint="eastAsia" w:ascii="宋体" w:hAnsi="Calibri" w:cs="宋体"/>
                <w:sz w:val="24"/>
              </w:rPr>
              <w:t>工业源固体物料堆场颗粒物核算系数手册</w:t>
            </w:r>
            <w:r>
              <w:rPr>
                <w:rFonts w:hint="eastAsia" w:eastAsiaTheme="minorEastAsia"/>
                <w:sz w:val="24"/>
              </w:rPr>
              <w:t>》，控制效率为7</w:t>
            </w:r>
            <w:r>
              <w:rPr>
                <w:rFonts w:eastAsiaTheme="minorEastAsia"/>
                <w:sz w:val="24"/>
              </w:rPr>
              <w:t>4%</w:t>
            </w:r>
            <w:r>
              <w:rPr>
                <w:rFonts w:hint="eastAsia" w:eastAsiaTheme="minorEastAsia"/>
                <w:sz w:val="24"/>
              </w:rPr>
              <w:t>。故本项目生产工序粉尘无组织排放量为</w:t>
            </w:r>
            <w:r>
              <w:rPr>
                <w:rFonts w:hint="eastAsia"/>
                <w:sz w:val="24"/>
              </w:rPr>
              <w:t xml:space="preserve">0.0854 </w:t>
            </w:r>
            <w:r>
              <w:rPr>
                <w:rFonts w:eastAsiaTheme="minorEastAsia"/>
                <w:sz w:val="24"/>
              </w:rPr>
              <w:t>t/a</w:t>
            </w:r>
            <w:r>
              <w:rPr>
                <w:rFonts w:hint="eastAsia" w:eastAsiaTheme="minorEastAsia"/>
                <w:sz w:val="24"/>
              </w:rPr>
              <w:t>。</w:t>
            </w:r>
          </w:p>
          <w:p>
            <w:pPr>
              <w:spacing w:line="360" w:lineRule="auto"/>
              <w:ind w:firstLine="482" w:firstLineChars="200"/>
              <w:rPr>
                <w:rFonts w:eastAsiaTheme="minorEastAsia"/>
                <w:b/>
                <w:bCs/>
                <w:sz w:val="24"/>
              </w:rPr>
            </w:pPr>
            <w:r>
              <w:rPr>
                <w:rFonts w:eastAsiaTheme="minorEastAsia"/>
                <w:b/>
                <w:bCs/>
                <w:sz w:val="24"/>
              </w:rPr>
              <w:t>1.3项目锅炉废气产生情况及治理设施</w:t>
            </w:r>
          </w:p>
          <w:p>
            <w:pPr>
              <w:spacing w:line="360" w:lineRule="auto"/>
              <w:ind w:firstLine="480" w:firstLineChars="200"/>
              <w:rPr>
                <w:rFonts w:eastAsiaTheme="minorEastAsia"/>
                <w:sz w:val="24"/>
              </w:rPr>
            </w:pPr>
            <w:r>
              <w:rPr>
                <w:rFonts w:eastAsiaTheme="minorEastAsia"/>
                <w:sz w:val="24"/>
              </w:rPr>
              <w:t>在厂区内设置天然气蒸汽锅炉对产品蒸汽养护供汽。天然气消耗量约60万m</w:t>
            </w:r>
            <w:r>
              <w:rPr>
                <w:rFonts w:eastAsiaTheme="minorEastAsia"/>
                <w:sz w:val="24"/>
                <w:vertAlign w:val="superscript"/>
              </w:rPr>
              <w:t>3</w:t>
            </w:r>
            <w:r>
              <w:rPr>
                <w:rFonts w:eastAsiaTheme="minorEastAsia"/>
                <w:sz w:val="24"/>
              </w:rPr>
              <w:t>/a，全年连续生产，年运行300天，每天8h。天然气燃烧废气量按《</w:t>
            </w:r>
            <w:r>
              <w:rPr>
                <w:rFonts w:hint="eastAsia" w:eastAsiaTheme="minorEastAsia"/>
                <w:sz w:val="24"/>
              </w:rPr>
              <w:t>锅炉产排污量核算系数手册</w:t>
            </w:r>
            <w:r>
              <w:rPr>
                <w:rFonts w:eastAsiaTheme="minorEastAsia"/>
                <w:sz w:val="24"/>
              </w:rPr>
              <w:t>》相关内容计算；烟尘取《环境保护使用数据手册》中的产污系数。天然气属于清洁燃料，燃烧废气经国内领先的低氮燃烧器处理后经15m排气筒直排。本项目天然气燃烧废气产生情况见表4-1。</w:t>
            </w:r>
          </w:p>
          <w:p>
            <w:pPr>
              <w:pStyle w:val="61"/>
              <w:spacing w:line="360" w:lineRule="auto"/>
              <w:ind w:firstLine="482" w:firstLineChars="200"/>
              <w:rPr>
                <w:rFonts w:eastAsiaTheme="minorEastAsia"/>
              </w:rPr>
            </w:pPr>
          </w:p>
          <w:p/>
          <w:p>
            <w:pPr>
              <w:pStyle w:val="61"/>
              <w:spacing w:line="360" w:lineRule="auto"/>
              <w:ind w:firstLine="482" w:firstLineChars="200"/>
              <w:rPr>
                <w:rFonts w:eastAsiaTheme="minorEastAsia"/>
              </w:rPr>
            </w:pPr>
            <w:r>
              <w:rPr>
                <w:rFonts w:eastAsiaTheme="minorEastAsia"/>
              </w:rPr>
              <w:t>表4-1天然气燃烧废气产生情况表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96"/>
              <w:gridCol w:w="1897"/>
              <w:gridCol w:w="1505"/>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6" w:type="pct"/>
                  <w:vMerge w:val="restar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项目</w:t>
                  </w:r>
                </w:p>
              </w:tc>
              <w:tc>
                <w:tcPr>
                  <w:tcW w:w="797" w:type="pct"/>
                  <w:vMerge w:val="restar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废气量</w:t>
                  </w:r>
                </w:p>
              </w:tc>
              <w:tc>
                <w:tcPr>
                  <w:tcW w:w="3567" w:type="pct"/>
                  <w:gridSpan w:val="3"/>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36" w:type="pct"/>
                  <w:vMerge w:val="continue"/>
                  <w:vAlign w:val="center"/>
                </w:tcPr>
                <w:p>
                  <w:pPr>
                    <w:pStyle w:val="46"/>
                    <w:spacing w:beforeLines="0" w:afterLines="0" w:line="240" w:lineRule="auto"/>
                    <w:rPr>
                      <w:rFonts w:ascii="Times New Roman" w:eastAsiaTheme="minorEastAsia"/>
                      <w:b/>
                      <w:szCs w:val="21"/>
                    </w:rPr>
                  </w:pPr>
                </w:p>
              </w:tc>
              <w:tc>
                <w:tcPr>
                  <w:tcW w:w="797" w:type="pct"/>
                  <w:vMerge w:val="continue"/>
                  <w:vAlign w:val="center"/>
                </w:tcPr>
                <w:p>
                  <w:pPr>
                    <w:pStyle w:val="46"/>
                    <w:spacing w:beforeLines="0" w:afterLines="0" w:line="240" w:lineRule="auto"/>
                    <w:rPr>
                      <w:rFonts w:ascii="Times New Roman" w:eastAsiaTheme="minorEastAsia"/>
                      <w:b/>
                      <w:szCs w:val="21"/>
                    </w:rPr>
                  </w:pPr>
                </w:p>
              </w:tc>
              <w:tc>
                <w:tcPr>
                  <w:tcW w:w="1083"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烟尘</w:t>
                  </w:r>
                </w:p>
              </w:tc>
              <w:tc>
                <w:tcPr>
                  <w:tcW w:w="859"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SO</w:t>
                  </w:r>
                  <w:r>
                    <w:rPr>
                      <w:rFonts w:ascii="Times New Roman" w:eastAsiaTheme="minorEastAsia"/>
                      <w:b/>
                      <w:szCs w:val="21"/>
                      <w:vertAlign w:val="subscript"/>
                    </w:rPr>
                    <w:t>2</w:t>
                  </w:r>
                </w:p>
              </w:tc>
              <w:tc>
                <w:tcPr>
                  <w:tcW w:w="1625"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NOx（低氮燃烧-国内领先）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产污系数</w:t>
                  </w:r>
                </w:p>
              </w:tc>
              <w:tc>
                <w:tcPr>
                  <w:tcW w:w="797"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107753m</w:t>
                  </w:r>
                  <w:r>
                    <w:rPr>
                      <w:rFonts w:ascii="Times New Roman" w:eastAsiaTheme="minorEastAsia"/>
                      <w:szCs w:val="21"/>
                      <w:vertAlign w:val="superscript"/>
                    </w:rPr>
                    <w:t>3</w:t>
                  </w:r>
                  <w:r>
                    <w:rPr>
                      <w:rFonts w:ascii="Times New Roman" w:eastAsiaTheme="minorEastAsia"/>
                      <w:szCs w:val="21"/>
                    </w:rPr>
                    <w:t>/万m</w:t>
                  </w:r>
                  <w:r>
                    <w:rPr>
                      <w:rFonts w:ascii="Times New Roman" w:eastAsiaTheme="minorEastAsia"/>
                      <w:szCs w:val="21"/>
                      <w:vertAlign w:val="superscript"/>
                    </w:rPr>
                    <w:t>3</w:t>
                  </w:r>
                  <w:r>
                    <w:rPr>
                      <w:rFonts w:ascii="Times New Roman" w:eastAsiaTheme="minorEastAsia"/>
                      <w:szCs w:val="21"/>
                    </w:rPr>
                    <w:t>-原料</w:t>
                  </w:r>
                </w:p>
              </w:tc>
              <w:tc>
                <w:tcPr>
                  <w:tcW w:w="1083"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1.2kg/万m</w:t>
                  </w:r>
                  <w:r>
                    <w:rPr>
                      <w:rFonts w:ascii="Times New Roman" w:eastAsiaTheme="minorEastAsia"/>
                      <w:szCs w:val="21"/>
                      <w:vertAlign w:val="superscript"/>
                    </w:rPr>
                    <w:t>3</w:t>
                  </w:r>
                  <w:r>
                    <w:rPr>
                      <w:rFonts w:ascii="Times New Roman" w:eastAsiaTheme="minorEastAsia"/>
                      <w:szCs w:val="21"/>
                    </w:rPr>
                    <w:t>-原料</w:t>
                  </w:r>
                </w:p>
              </w:tc>
              <w:tc>
                <w:tcPr>
                  <w:tcW w:w="859"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0.02Skg/万m</w:t>
                  </w:r>
                  <w:r>
                    <w:rPr>
                      <w:rFonts w:ascii="Times New Roman" w:eastAsiaTheme="minorEastAsia"/>
                      <w:szCs w:val="21"/>
                      <w:vertAlign w:val="superscript"/>
                    </w:rPr>
                    <w:t>3</w:t>
                  </w:r>
                  <w:r>
                    <w:rPr>
                      <w:rFonts w:ascii="Times New Roman" w:eastAsiaTheme="minorEastAsia"/>
                      <w:szCs w:val="21"/>
                    </w:rPr>
                    <w:t>-原料</w:t>
                  </w:r>
                </w:p>
              </w:tc>
              <w:tc>
                <w:tcPr>
                  <w:tcW w:w="1625"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6.97kg/万m</w:t>
                  </w:r>
                  <w:r>
                    <w:rPr>
                      <w:rFonts w:ascii="Times New Roman" w:eastAsiaTheme="minorEastAsia"/>
                      <w:szCs w:val="21"/>
                      <w:vertAlign w:val="superscript"/>
                    </w:rPr>
                    <w:t>3</w:t>
                  </w:r>
                  <w:r>
                    <w:rPr>
                      <w:rFonts w:ascii="Times New Roman" w:eastAsiaTheme="minorEastAsia"/>
                      <w:szCs w:val="21"/>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产生量</w:t>
                  </w:r>
                </w:p>
              </w:tc>
              <w:tc>
                <w:tcPr>
                  <w:tcW w:w="797"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646.518万m</w:t>
                  </w:r>
                  <w:r>
                    <w:rPr>
                      <w:rFonts w:ascii="Times New Roman" w:eastAsiaTheme="minorEastAsia"/>
                      <w:szCs w:val="21"/>
                      <w:vertAlign w:val="superscript"/>
                    </w:rPr>
                    <w:t>3</w:t>
                  </w:r>
                  <w:r>
                    <w:rPr>
                      <w:rFonts w:ascii="Times New Roman" w:eastAsiaTheme="minorEastAsia"/>
                      <w:szCs w:val="21"/>
                    </w:rPr>
                    <w:t>/a</w:t>
                  </w:r>
                </w:p>
              </w:tc>
              <w:tc>
                <w:tcPr>
                  <w:tcW w:w="1083"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0.072t/a</w:t>
                  </w:r>
                </w:p>
              </w:tc>
              <w:tc>
                <w:tcPr>
                  <w:tcW w:w="859"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0.24t/a</w:t>
                  </w:r>
                </w:p>
              </w:tc>
              <w:tc>
                <w:tcPr>
                  <w:tcW w:w="1625"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产生速率</w:t>
                  </w:r>
                </w:p>
              </w:tc>
              <w:tc>
                <w:tcPr>
                  <w:tcW w:w="797"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w:t>
                  </w:r>
                </w:p>
              </w:tc>
              <w:tc>
                <w:tcPr>
                  <w:tcW w:w="1083"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0.01</w:t>
                  </w:r>
                  <w:r>
                    <w:rPr>
                      <w:rFonts w:ascii="Times New Roman" w:eastAsiaTheme="minorEastAsia"/>
                      <w:kern w:val="2"/>
                      <w:szCs w:val="21"/>
                    </w:rPr>
                    <w:t>kg/h</w:t>
                  </w:r>
                </w:p>
              </w:tc>
              <w:tc>
                <w:tcPr>
                  <w:tcW w:w="859"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0.0333</w:t>
                  </w:r>
                  <w:r>
                    <w:rPr>
                      <w:rFonts w:ascii="Times New Roman" w:eastAsiaTheme="minorEastAsia"/>
                      <w:kern w:val="2"/>
                      <w:szCs w:val="21"/>
                    </w:rPr>
                    <w:t>kg/h</w:t>
                  </w:r>
                </w:p>
              </w:tc>
              <w:tc>
                <w:tcPr>
                  <w:tcW w:w="1625"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0.174</w:t>
                  </w:r>
                  <w:r>
                    <w:rPr>
                      <w:rFonts w:ascii="Times New Roman" w:eastAsiaTheme="minorEastAsia"/>
                      <w:kern w:val="2"/>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产生浓度</w:t>
                  </w:r>
                </w:p>
              </w:tc>
              <w:tc>
                <w:tcPr>
                  <w:tcW w:w="797" w:type="pct"/>
                  <w:vAlign w:val="center"/>
                </w:tcPr>
                <w:p>
                  <w:pPr>
                    <w:pStyle w:val="46"/>
                    <w:spacing w:beforeLines="0" w:afterLines="0" w:line="240" w:lineRule="auto"/>
                    <w:jc w:val="both"/>
                    <w:rPr>
                      <w:rFonts w:ascii="Times New Roman" w:eastAsiaTheme="minorEastAsia"/>
                      <w:b/>
                      <w:bCs/>
                      <w:iCs/>
                      <w:snapToGrid w:val="0"/>
                      <w:spacing w:val="-4"/>
                      <w:szCs w:val="21"/>
                      <w:lang w:bidi="en-US"/>
                    </w:rPr>
                  </w:pPr>
                  <w:r>
                    <w:rPr>
                      <w:rFonts w:ascii="Times New Roman" w:eastAsiaTheme="minorEastAsia"/>
                      <w:szCs w:val="21"/>
                    </w:rPr>
                    <w:t>—</w:t>
                  </w:r>
                </w:p>
              </w:tc>
              <w:tc>
                <w:tcPr>
                  <w:tcW w:w="1083" w:type="pct"/>
                  <w:vAlign w:val="center"/>
                </w:tcPr>
                <w:p>
                  <w:pPr>
                    <w:pStyle w:val="46"/>
                    <w:spacing w:beforeLines="0" w:afterLines="0" w:line="240" w:lineRule="auto"/>
                    <w:jc w:val="both"/>
                    <w:rPr>
                      <w:rFonts w:ascii="Times New Roman" w:eastAsiaTheme="minorEastAsia"/>
                      <w:bCs/>
                      <w:iCs/>
                      <w:snapToGrid w:val="0"/>
                      <w:spacing w:val="-4"/>
                      <w:szCs w:val="21"/>
                      <w:vertAlign w:val="superscript"/>
                      <w:lang w:bidi="en-US"/>
                    </w:rPr>
                  </w:pPr>
                  <w:r>
                    <w:rPr>
                      <w:rFonts w:ascii="Times New Roman" w:eastAsiaTheme="minorEastAsia"/>
                      <w:szCs w:val="21"/>
                    </w:rPr>
                    <w:t>11.13mg/m</w:t>
                  </w:r>
                  <w:r>
                    <w:rPr>
                      <w:rFonts w:ascii="Times New Roman" w:eastAsiaTheme="minorEastAsia"/>
                      <w:szCs w:val="21"/>
                      <w:vertAlign w:val="superscript"/>
                    </w:rPr>
                    <w:t>3</w:t>
                  </w:r>
                </w:p>
              </w:tc>
              <w:tc>
                <w:tcPr>
                  <w:tcW w:w="859"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37.12mg/m</w:t>
                  </w:r>
                  <w:r>
                    <w:rPr>
                      <w:rFonts w:ascii="Times New Roman" w:eastAsiaTheme="minorEastAsia"/>
                      <w:szCs w:val="21"/>
                      <w:vertAlign w:val="superscript"/>
                    </w:rPr>
                    <w:t>3</w:t>
                  </w:r>
                </w:p>
              </w:tc>
              <w:tc>
                <w:tcPr>
                  <w:tcW w:w="1625" w:type="pct"/>
                  <w:vAlign w:val="center"/>
                </w:tcPr>
                <w:p>
                  <w:pPr>
                    <w:pStyle w:val="46"/>
                    <w:spacing w:beforeLines="0" w:afterLines="0" w:line="240" w:lineRule="auto"/>
                    <w:jc w:val="both"/>
                    <w:rPr>
                      <w:rFonts w:ascii="Times New Roman" w:eastAsiaTheme="minorEastAsia"/>
                      <w:bCs/>
                      <w:iCs/>
                      <w:snapToGrid w:val="0"/>
                      <w:spacing w:val="-4"/>
                      <w:szCs w:val="21"/>
                      <w:lang w:bidi="en-US"/>
                    </w:rPr>
                  </w:pPr>
                  <w:r>
                    <w:rPr>
                      <w:rFonts w:ascii="Times New Roman" w:eastAsiaTheme="minorEastAsia"/>
                      <w:szCs w:val="21"/>
                    </w:rPr>
                    <w:t>64.68mg/m</w:t>
                  </w:r>
                  <w:r>
                    <w:rPr>
                      <w:rFonts w:ascii="Times New Roman" w:eastAsiaTheme="minorEastAsia"/>
                      <w:szCs w:val="21"/>
                      <w:vertAlign w:val="superscript"/>
                    </w:rPr>
                    <w:t>3</w:t>
                  </w:r>
                </w:p>
              </w:tc>
            </w:tr>
          </w:tbl>
          <w:p>
            <w:pPr>
              <w:spacing w:before="120" w:beforeLines="50" w:line="360" w:lineRule="auto"/>
              <w:ind w:firstLine="482" w:firstLineChars="200"/>
              <w:rPr>
                <w:rFonts w:eastAsiaTheme="minorEastAsia"/>
                <w:b/>
                <w:bCs/>
                <w:sz w:val="24"/>
              </w:rPr>
            </w:pPr>
            <w:r>
              <w:rPr>
                <w:rFonts w:eastAsiaTheme="minorEastAsia"/>
                <w:b/>
                <w:bCs/>
                <w:sz w:val="24"/>
              </w:rPr>
              <w:t>1.4项目废气排放情况</w:t>
            </w:r>
          </w:p>
          <w:p>
            <w:pPr>
              <w:spacing w:line="360" w:lineRule="auto"/>
              <w:ind w:firstLine="480" w:firstLineChars="200"/>
              <w:rPr>
                <w:rFonts w:eastAsiaTheme="minorEastAsia"/>
                <w:sz w:val="24"/>
              </w:rPr>
            </w:pPr>
            <w:r>
              <w:rPr>
                <w:rFonts w:eastAsiaTheme="minorEastAsia"/>
                <w:sz w:val="24"/>
              </w:rPr>
              <w:t>本项目粉尘产生与排放情况见下表：</w:t>
            </w:r>
          </w:p>
          <w:p>
            <w:pPr>
              <w:adjustRightInd w:val="0"/>
              <w:snapToGrid w:val="0"/>
              <w:spacing w:line="360" w:lineRule="auto"/>
              <w:ind w:firstLine="482" w:firstLineChars="200"/>
              <w:jc w:val="center"/>
              <w:rPr>
                <w:rFonts w:eastAsiaTheme="minorEastAsia"/>
                <w:b/>
                <w:bCs/>
                <w:sz w:val="24"/>
              </w:rPr>
            </w:pPr>
            <w:r>
              <w:rPr>
                <w:rFonts w:eastAsiaTheme="minorEastAsia"/>
                <w:b/>
                <w:bCs/>
                <w:sz w:val="24"/>
              </w:rPr>
              <w:t>表4-2 项目正常工况下生产粉尘排放一览表</w:t>
            </w:r>
          </w:p>
          <w:tbl>
            <w:tblPr>
              <w:tblStyle w:val="25"/>
              <w:tblW w:w="8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900"/>
              <w:gridCol w:w="791"/>
              <w:gridCol w:w="1995"/>
              <w:gridCol w:w="648"/>
              <w:gridCol w:w="752"/>
              <w:gridCol w:w="12"/>
              <w:gridCol w:w="838"/>
              <w:gridCol w:w="12"/>
              <w:gridCol w:w="1122"/>
              <w:gridCol w:w="12"/>
              <w:gridCol w:w="981"/>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163" w:hRule="atLeast"/>
              </w:trPr>
              <w:tc>
                <w:tcPr>
                  <w:tcW w:w="667" w:type="dxa"/>
                  <w:vAlign w:val="center"/>
                </w:tcPr>
                <w:p>
                  <w:pPr>
                    <w:jc w:val="center"/>
                    <w:rPr>
                      <w:b/>
                      <w:bCs/>
                      <w:szCs w:val="21"/>
                    </w:rPr>
                  </w:pPr>
                  <w:r>
                    <w:rPr>
                      <w:b/>
                      <w:bCs/>
                      <w:szCs w:val="21"/>
                    </w:rPr>
                    <w:t>产污</w:t>
                  </w:r>
                </w:p>
                <w:p>
                  <w:pPr>
                    <w:jc w:val="center"/>
                    <w:rPr>
                      <w:b/>
                      <w:bCs/>
                      <w:szCs w:val="21"/>
                    </w:rPr>
                  </w:pPr>
                  <w:r>
                    <w:rPr>
                      <w:b/>
                      <w:bCs/>
                      <w:szCs w:val="21"/>
                    </w:rPr>
                    <w:t>工段</w:t>
                  </w:r>
                </w:p>
              </w:tc>
              <w:tc>
                <w:tcPr>
                  <w:tcW w:w="900" w:type="dxa"/>
                  <w:vAlign w:val="center"/>
                </w:tcPr>
                <w:p>
                  <w:pPr>
                    <w:jc w:val="center"/>
                    <w:rPr>
                      <w:b/>
                      <w:bCs/>
                      <w:szCs w:val="21"/>
                    </w:rPr>
                  </w:pPr>
                  <w:r>
                    <w:rPr>
                      <w:b/>
                      <w:bCs/>
                      <w:szCs w:val="21"/>
                    </w:rPr>
                    <w:t>产生量(t/a)</w:t>
                  </w:r>
                </w:p>
              </w:tc>
              <w:tc>
                <w:tcPr>
                  <w:tcW w:w="791" w:type="dxa"/>
                  <w:vAlign w:val="center"/>
                </w:tcPr>
                <w:p>
                  <w:pPr>
                    <w:jc w:val="center"/>
                    <w:rPr>
                      <w:b/>
                      <w:bCs/>
                      <w:szCs w:val="21"/>
                    </w:rPr>
                  </w:pPr>
                  <w:r>
                    <w:rPr>
                      <w:b/>
                      <w:bCs/>
                      <w:szCs w:val="21"/>
                    </w:rPr>
                    <w:t>最大产生速率(kg/h)</w:t>
                  </w:r>
                </w:p>
              </w:tc>
              <w:tc>
                <w:tcPr>
                  <w:tcW w:w="1995" w:type="dxa"/>
                  <w:vAlign w:val="center"/>
                </w:tcPr>
                <w:p>
                  <w:pPr>
                    <w:jc w:val="center"/>
                    <w:rPr>
                      <w:b/>
                      <w:bCs/>
                      <w:szCs w:val="21"/>
                    </w:rPr>
                  </w:pPr>
                  <w:r>
                    <w:rPr>
                      <w:b/>
                      <w:bCs/>
                      <w:szCs w:val="21"/>
                    </w:rPr>
                    <w:t>治理措施及效率</w:t>
                  </w:r>
                </w:p>
              </w:tc>
              <w:tc>
                <w:tcPr>
                  <w:tcW w:w="648" w:type="dxa"/>
                  <w:vAlign w:val="center"/>
                </w:tcPr>
                <w:p>
                  <w:pPr>
                    <w:jc w:val="center"/>
                    <w:rPr>
                      <w:b/>
                      <w:bCs/>
                      <w:szCs w:val="21"/>
                    </w:rPr>
                  </w:pPr>
                  <w:r>
                    <w:rPr>
                      <w:b/>
                      <w:bCs/>
                      <w:szCs w:val="21"/>
                    </w:rPr>
                    <w:t>是否为可行技术</w:t>
                  </w:r>
                </w:p>
              </w:tc>
              <w:tc>
                <w:tcPr>
                  <w:tcW w:w="752" w:type="dxa"/>
                  <w:vAlign w:val="center"/>
                </w:tcPr>
                <w:p>
                  <w:pPr>
                    <w:jc w:val="center"/>
                    <w:rPr>
                      <w:b/>
                      <w:bCs/>
                      <w:szCs w:val="21"/>
                    </w:rPr>
                  </w:pPr>
                  <w:r>
                    <w:rPr>
                      <w:b/>
                      <w:bCs/>
                      <w:szCs w:val="21"/>
                    </w:rPr>
                    <w:t>排放</w:t>
                  </w:r>
                </w:p>
                <w:p>
                  <w:pPr>
                    <w:jc w:val="center"/>
                    <w:rPr>
                      <w:b/>
                      <w:bCs/>
                      <w:szCs w:val="21"/>
                    </w:rPr>
                  </w:pPr>
                  <w:r>
                    <w:rPr>
                      <w:b/>
                      <w:bCs/>
                      <w:szCs w:val="21"/>
                    </w:rPr>
                    <w:t>方式</w:t>
                  </w:r>
                </w:p>
              </w:tc>
              <w:tc>
                <w:tcPr>
                  <w:tcW w:w="850" w:type="dxa"/>
                  <w:gridSpan w:val="2"/>
                  <w:vAlign w:val="center"/>
                </w:tcPr>
                <w:p>
                  <w:pPr>
                    <w:jc w:val="center"/>
                    <w:rPr>
                      <w:b/>
                      <w:bCs/>
                      <w:szCs w:val="21"/>
                    </w:rPr>
                  </w:pPr>
                  <w:r>
                    <w:rPr>
                      <w:b/>
                      <w:bCs/>
                      <w:szCs w:val="21"/>
                    </w:rPr>
                    <w:t>排放量（t/a）</w:t>
                  </w:r>
                </w:p>
              </w:tc>
              <w:tc>
                <w:tcPr>
                  <w:tcW w:w="1134" w:type="dxa"/>
                  <w:gridSpan w:val="2"/>
                  <w:vAlign w:val="center"/>
                </w:tcPr>
                <w:p>
                  <w:pPr>
                    <w:jc w:val="center"/>
                    <w:rPr>
                      <w:b/>
                      <w:bCs/>
                      <w:szCs w:val="21"/>
                    </w:rPr>
                  </w:pPr>
                  <w:r>
                    <w:rPr>
                      <w:b/>
                      <w:bCs/>
                      <w:szCs w:val="21"/>
                    </w:rPr>
                    <w:t>最大排放速率(kg/h)</w:t>
                  </w:r>
                </w:p>
              </w:tc>
              <w:tc>
                <w:tcPr>
                  <w:tcW w:w="993" w:type="dxa"/>
                  <w:gridSpan w:val="2"/>
                  <w:vAlign w:val="center"/>
                </w:tcPr>
                <w:p>
                  <w:pPr>
                    <w:jc w:val="center"/>
                    <w:rPr>
                      <w:b/>
                      <w:bCs/>
                      <w:szCs w:val="21"/>
                    </w:rPr>
                  </w:pPr>
                  <w:r>
                    <w:rPr>
                      <w:b/>
                      <w:bCs/>
                      <w:szCs w:val="21"/>
                    </w:rPr>
                    <w:t>最大排放浓度（mg/m</w:t>
                  </w:r>
                  <w:r>
                    <w:rPr>
                      <w:b/>
                      <w:bCs/>
                      <w:szCs w:val="21"/>
                      <w:vertAlign w:val="superscript"/>
                    </w:rPr>
                    <w:t>3</w:t>
                  </w:r>
                  <w:r>
                    <w:rPr>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667" w:type="dxa"/>
                  <w:vMerge w:val="restart"/>
                  <w:vAlign w:val="center"/>
                </w:tcPr>
                <w:p>
                  <w:pPr>
                    <w:jc w:val="center"/>
                    <w:rPr>
                      <w:b/>
                      <w:bCs/>
                      <w:szCs w:val="21"/>
                    </w:rPr>
                  </w:pPr>
                  <w:r>
                    <w:rPr>
                      <w:b/>
                      <w:bCs/>
                      <w:szCs w:val="21"/>
                    </w:rPr>
                    <w:t>原料运输</w:t>
                  </w:r>
                </w:p>
              </w:tc>
              <w:tc>
                <w:tcPr>
                  <w:tcW w:w="900" w:type="dxa"/>
                  <w:vMerge w:val="restart"/>
                  <w:vAlign w:val="center"/>
                </w:tcPr>
                <w:p>
                  <w:pPr>
                    <w:jc w:val="center"/>
                    <w:rPr>
                      <w:szCs w:val="21"/>
                    </w:rPr>
                  </w:pPr>
                  <w:r>
                    <w:rPr>
                      <w:szCs w:val="21"/>
                    </w:rPr>
                    <w:t>0.036</w:t>
                  </w:r>
                </w:p>
              </w:tc>
              <w:tc>
                <w:tcPr>
                  <w:tcW w:w="791" w:type="dxa"/>
                  <w:vMerge w:val="restart"/>
                  <w:vAlign w:val="center"/>
                </w:tcPr>
                <w:p>
                  <w:pPr>
                    <w:jc w:val="center"/>
                    <w:rPr>
                      <w:szCs w:val="21"/>
                    </w:rPr>
                  </w:pPr>
                  <w:r>
                    <w:rPr>
                      <w:szCs w:val="21"/>
                    </w:rPr>
                    <w:t>0.04</w:t>
                  </w:r>
                </w:p>
              </w:tc>
              <w:tc>
                <w:tcPr>
                  <w:tcW w:w="1995" w:type="dxa"/>
                  <w:vMerge w:val="restart"/>
                  <w:vAlign w:val="center"/>
                </w:tcPr>
                <w:p>
                  <w:pPr>
                    <w:jc w:val="center"/>
                    <w:rPr>
                      <w:szCs w:val="21"/>
                    </w:rPr>
                  </w:pPr>
                  <w:r>
                    <w:rPr>
                      <w:szCs w:val="21"/>
                    </w:rPr>
                    <w:t>厂区地面硬化，定期清扫，运输道路两侧设置固定式喷雾器若干，厂区大门设置洗车槽，限制车速+洒水降尘</w:t>
                  </w:r>
                  <w:r>
                    <w:rPr>
                      <w:rFonts w:hint="eastAsia"/>
                      <w:szCs w:val="21"/>
                    </w:rPr>
                    <w:t>等</w:t>
                  </w:r>
                  <w:r>
                    <w:rPr>
                      <w:szCs w:val="21"/>
                    </w:rPr>
                    <w:t>，去除率90%</w:t>
                  </w:r>
                </w:p>
              </w:tc>
              <w:tc>
                <w:tcPr>
                  <w:tcW w:w="648" w:type="dxa"/>
                  <w:vMerge w:val="restart"/>
                  <w:vAlign w:val="center"/>
                </w:tcPr>
                <w:p>
                  <w:pPr>
                    <w:jc w:val="center"/>
                    <w:rPr>
                      <w:szCs w:val="21"/>
                    </w:rPr>
                  </w:pPr>
                  <w:r>
                    <w:rPr>
                      <w:szCs w:val="21"/>
                    </w:rPr>
                    <w:t>是</w:t>
                  </w:r>
                </w:p>
              </w:tc>
              <w:tc>
                <w:tcPr>
                  <w:tcW w:w="752" w:type="dxa"/>
                  <w:vAlign w:val="center"/>
                </w:tcPr>
                <w:p>
                  <w:pPr>
                    <w:jc w:val="center"/>
                    <w:rPr>
                      <w:szCs w:val="21"/>
                    </w:rPr>
                  </w:pPr>
                  <w:r>
                    <w:rPr>
                      <w:szCs w:val="21"/>
                    </w:rPr>
                    <w:t>有组织</w:t>
                  </w:r>
                </w:p>
              </w:tc>
              <w:tc>
                <w:tcPr>
                  <w:tcW w:w="850" w:type="dxa"/>
                  <w:gridSpan w:val="2"/>
                  <w:vAlign w:val="center"/>
                </w:tcPr>
                <w:p>
                  <w:pPr>
                    <w:jc w:val="center"/>
                    <w:rPr>
                      <w:szCs w:val="21"/>
                    </w:rPr>
                  </w:pPr>
                  <w:r>
                    <w:rPr>
                      <w:szCs w:val="21"/>
                    </w:rPr>
                    <w:t>-</w:t>
                  </w:r>
                </w:p>
              </w:tc>
              <w:tc>
                <w:tcPr>
                  <w:tcW w:w="1134" w:type="dxa"/>
                  <w:gridSpan w:val="2"/>
                  <w:vAlign w:val="center"/>
                </w:tcPr>
                <w:p>
                  <w:pPr>
                    <w:jc w:val="center"/>
                    <w:rPr>
                      <w:szCs w:val="21"/>
                    </w:rPr>
                  </w:pPr>
                  <w:r>
                    <w:rPr>
                      <w:szCs w:val="21"/>
                    </w:rPr>
                    <w:t>-</w:t>
                  </w:r>
                </w:p>
              </w:tc>
              <w:tc>
                <w:tcPr>
                  <w:tcW w:w="993" w:type="dxa"/>
                  <w:gridSpan w:val="2"/>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667" w:type="dxa"/>
                  <w:vMerge w:val="continue"/>
                  <w:vAlign w:val="center"/>
                </w:tcPr>
                <w:p>
                  <w:pPr>
                    <w:jc w:val="center"/>
                    <w:rPr>
                      <w:b/>
                      <w:bCs/>
                      <w:szCs w:val="21"/>
                    </w:rPr>
                  </w:pPr>
                </w:p>
              </w:tc>
              <w:tc>
                <w:tcPr>
                  <w:tcW w:w="900" w:type="dxa"/>
                  <w:vMerge w:val="continue"/>
                  <w:vAlign w:val="center"/>
                </w:tcPr>
                <w:p>
                  <w:pPr>
                    <w:jc w:val="center"/>
                    <w:rPr>
                      <w:szCs w:val="21"/>
                    </w:rPr>
                  </w:pPr>
                </w:p>
              </w:tc>
              <w:tc>
                <w:tcPr>
                  <w:tcW w:w="791" w:type="dxa"/>
                  <w:vMerge w:val="continue"/>
                  <w:vAlign w:val="center"/>
                </w:tcPr>
                <w:p>
                  <w:pPr>
                    <w:jc w:val="center"/>
                    <w:rPr>
                      <w:szCs w:val="21"/>
                    </w:rPr>
                  </w:pPr>
                </w:p>
              </w:tc>
              <w:tc>
                <w:tcPr>
                  <w:tcW w:w="1995" w:type="dxa"/>
                  <w:vMerge w:val="continue"/>
                  <w:vAlign w:val="center"/>
                </w:tcPr>
                <w:p>
                  <w:pPr>
                    <w:jc w:val="center"/>
                    <w:rPr>
                      <w:szCs w:val="21"/>
                    </w:rPr>
                  </w:pPr>
                </w:p>
              </w:tc>
              <w:tc>
                <w:tcPr>
                  <w:tcW w:w="648" w:type="dxa"/>
                  <w:vMerge w:val="continue"/>
                  <w:vAlign w:val="center"/>
                </w:tcPr>
                <w:p>
                  <w:pPr>
                    <w:jc w:val="center"/>
                    <w:rPr>
                      <w:szCs w:val="21"/>
                    </w:rPr>
                  </w:pPr>
                </w:p>
              </w:tc>
              <w:tc>
                <w:tcPr>
                  <w:tcW w:w="752" w:type="dxa"/>
                  <w:vAlign w:val="center"/>
                </w:tcPr>
                <w:p>
                  <w:pPr>
                    <w:jc w:val="center"/>
                    <w:rPr>
                      <w:szCs w:val="21"/>
                    </w:rPr>
                  </w:pPr>
                  <w:r>
                    <w:rPr>
                      <w:szCs w:val="21"/>
                    </w:rPr>
                    <w:t>无组织</w:t>
                  </w:r>
                </w:p>
              </w:tc>
              <w:tc>
                <w:tcPr>
                  <w:tcW w:w="850" w:type="dxa"/>
                  <w:gridSpan w:val="2"/>
                  <w:vAlign w:val="center"/>
                </w:tcPr>
                <w:p>
                  <w:pPr>
                    <w:jc w:val="center"/>
                    <w:rPr>
                      <w:szCs w:val="21"/>
                    </w:rPr>
                  </w:pPr>
                  <w:r>
                    <w:rPr>
                      <w:szCs w:val="21"/>
                    </w:rPr>
                    <w:t>0.0036</w:t>
                  </w:r>
                </w:p>
              </w:tc>
              <w:tc>
                <w:tcPr>
                  <w:tcW w:w="1134" w:type="dxa"/>
                  <w:gridSpan w:val="2"/>
                  <w:vAlign w:val="center"/>
                </w:tcPr>
                <w:p>
                  <w:pPr>
                    <w:jc w:val="center"/>
                    <w:rPr>
                      <w:szCs w:val="21"/>
                    </w:rPr>
                  </w:pPr>
                  <w:r>
                    <w:rPr>
                      <w:szCs w:val="21"/>
                    </w:rPr>
                    <w:t>0.0040</w:t>
                  </w:r>
                </w:p>
              </w:tc>
              <w:tc>
                <w:tcPr>
                  <w:tcW w:w="993" w:type="dxa"/>
                  <w:gridSpan w:val="2"/>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667" w:type="dxa"/>
                  <w:vMerge w:val="restart"/>
                  <w:vAlign w:val="center"/>
                </w:tcPr>
                <w:p>
                  <w:pPr>
                    <w:jc w:val="center"/>
                    <w:rPr>
                      <w:b/>
                      <w:bCs/>
                      <w:szCs w:val="21"/>
                    </w:rPr>
                  </w:pPr>
                  <w:r>
                    <w:rPr>
                      <w:b/>
                      <w:bCs/>
                      <w:szCs w:val="21"/>
                    </w:rPr>
                    <w:t>原料装卸</w:t>
                  </w:r>
                </w:p>
              </w:tc>
              <w:tc>
                <w:tcPr>
                  <w:tcW w:w="900" w:type="dxa"/>
                  <w:vMerge w:val="restart"/>
                  <w:vAlign w:val="center"/>
                </w:tcPr>
                <w:p>
                  <w:pPr>
                    <w:jc w:val="center"/>
                    <w:rPr>
                      <w:szCs w:val="21"/>
                    </w:rPr>
                  </w:pPr>
                  <w:r>
                    <w:rPr>
                      <w:szCs w:val="21"/>
                    </w:rPr>
                    <w:t>0.18</w:t>
                  </w:r>
                </w:p>
              </w:tc>
              <w:tc>
                <w:tcPr>
                  <w:tcW w:w="791" w:type="dxa"/>
                  <w:vMerge w:val="restart"/>
                  <w:vAlign w:val="center"/>
                </w:tcPr>
                <w:p>
                  <w:pPr>
                    <w:jc w:val="center"/>
                    <w:rPr>
                      <w:szCs w:val="21"/>
                    </w:rPr>
                  </w:pPr>
                  <w:r>
                    <w:rPr>
                      <w:szCs w:val="21"/>
                    </w:rPr>
                    <w:t>0.36</w:t>
                  </w:r>
                </w:p>
              </w:tc>
              <w:tc>
                <w:tcPr>
                  <w:tcW w:w="1995" w:type="dxa"/>
                  <w:vMerge w:val="continue"/>
                  <w:vAlign w:val="center"/>
                </w:tcPr>
                <w:p>
                  <w:pPr>
                    <w:jc w:val="center"/>
                    <w:rPr>
                      <w:szCs w:val="21"/>
                    </w:rPr>
                  </w:pPr>
                </w:p>
              </w:tc>
              <w:tc>
                <w:tcPr>
                  <w:tcW w:w="648" w:type="dxa"/>
                  <w:vMerge w:val="continue"/>
                  <w:vAlign w:val="center"/>
                </w:tcPr>
                <w:p>
                  <w:pPr>
                    <w:jc w:val="center"/>
                    <w:rPr>
                      <w:szCs w:val="21"/>
                    </w:rPr>
                  </w:pPr>
                </w:p>
              </w:tc>
              <w:tc>
                <w:tcPr>
                  <w:tcW w:w="752" w:type="dxa"/>
                  <w:vAlign w:val="center"/>
                </w:tcPr>
                <w:p>
                  <w:pPr>
                    <w:jc w:val="center"/>
                    <w:rPr>
                      <w:szCs w:val="21"/>
                    </w:rPr>
                  </w:pPr>
                  <w:r>
                    <w:rPr>
                      <w:szCs w:val="21"/>
                    </w:rPr>
                    <w:t>有组织</w:t>
                  </w:r>
                </w:p>
              </w:tc>
              <w:tc>
                <w:tcPr>
                  <w:tcW w:w="850" w:type="dxa"/>
                  <w:gridSpan w:val="2"/>
                  <w:vAlign w:val="center"/>
                </w:tcPr>
                <w:p>
                  <w:pPr>
                    <w:jc w:val="center"/>
                    <w:rPr>
                      <w:szCs w:val="21"/>
                    </w:rPr>
                  </w:pPr>
                  <w:r>
                    <w:rPr>
                      <w:szCs w:val="21"/>
                    </w:rPr>
                    <w:t>-</w:t>
                  </w:r>
                </w:p>
              </w:tc>
              <w:tc>
                <w:tcPr>
                  <w:tcW w:w="1134" w:type="dxa"/>
                  <w:gridSpan w:val="2"/>
                  <w:vAlign w:val="center"/>
                </w:tcPr>
                <w:p>
                  <w:pPr>
                    <w:jc w:val="center"/>
                    <w:rPr>
                      <w:szCs w:val="21"/>
                    </w:rPr>
                  </w:pPr>
                  <w:r>
                    <w:rPr>
                      <w:szCs w:val="21"/>
                    </w:rPr>
                    <w:t>-</w:t>
                  </w:r>
                </w:p>
              </w:tc>
              <w:tc>
                <w:tcPr>
                  <w:tcW w:w="993" w:type="dxa"/>
                  <w:gridSpan w:val="2"/>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667" w:type="dxa"/>
                  <w:vMerge w:val="continue"/>
                  <w:vAlign w:val="center"/>
                </w:tcPr>
                <w:p>
                  <w:pPr>
                    <w:jc w:val="center"/>
                    <w:rPr>
                      <w:b/>
                      <w:bCs/>
                      <w:szCs w:val="21"/>
                    </w:rPr>
                  </w:pPr>
                </w:p>
              </w:tc>
              <w:tc>
                <w:tcPr>
                  <w:tcW w:w="900" w:type="dxa"/>
                  <w:vMerge w:val="continue"/>
                  <w:vAlign w:val="center"/>
                </w:tcPr>
                <w:p>
                  <w:pPr>
                    <w:jc w:val="center"/>
                    <w:rPr>
                      <w:szCs w:val="21"/>
                    </w:rPr>
                  </w:pPr>
                </w:p>
              </w:tc>
              <w:tc>
                <w:tcPr>
                  <w:tcW w:w="791" w:type="dxa"/>
                  <w:vMerge w:val="continue"/>
                  <w:vAlign w:val="center"/>
                </w:tcPr>
                <w:p>
                  <w:pPr>
                    <w:jc w:val="center"/>
                    <w:rPr>
                      <w:szCs w:val="21"/>
                    </w:rPr>
                  </w:pPr>
                </w:p>
              </w:tc>
              <w:tc>
                <w:tcPr>
                  <w:tcW w:w="1995" w:type="dxa"/>
                  <w:vMerge w:val="continue"/>
                  <w:vAlign w:val="center"/>
                </w:tcPr>
                <w:p>
                  <w:pPr>
                    <w:jc w:val="center"/>
                    <w:rPr>
                      <w:szCs w:val="21"/>
                    </w:rPr>
                  </w:pPr>
                </w:p>
              </w:tc>
              <w:tc>
                <w:tcPr>
                  <w:tcW w:w="648" w:type="dxa"/>
                  <w:vMerge w:val="continue"/>
                  <w:vAlign w:val="center"/>
                </w:tcPr>
                <w:p>
                  <w:pPr>
                    <w:jc w:val="center"/>
                    <w:rPr>
                      <w:szCs w:val="21"/>
                    </w:rPr>
                  </w:pPr>
                </w:p>
              </w:tc>
              <w:tc>
                <w:tcPr>
                  <w:tcW w:w="752" w:type="dxa"/>
                  <w:vAlign w:val="center"/>
                </w:tcPr>
                <w:p>
                  <w:pPr>
                    <w:jc w:val="center"/>
                    <w:rPr>
                      <w:szCs w:val="21"/>
                    </w:rPr>
                  </w:pPr>
                  <w:r>
                    <w:rPr>
                      <w:szCs w:val="21"/>
                    </w:rPr>
                    <w:t>无组织</w:t>
                  </w:r>
                </w:p>
              </w:tc>
              <w:tc>
                <w:tcPr>
                  <w:tcW w:w="850" w:type="dxa"/>
                  <w:gridSpan w:val="2"/>
                  <w:vAlign w:val="center"/>
                </w:tcPr>
                <w:p>
                  <w:pPr>
                    <w:jc w:val="center"/>
                    <w:rPr>
                      <w:szCs w:val="21"/>
                    </w:rPr>
                  </w:pPr>
                  <w:r>
                    <w:rPr>
                      <w:szCs w:val="21"/>
                    </w:rPr>
                    <w:t>0.0180</w:t>
                  </w:r>
                </w:p>
              </w:tc>
              <w:tc>
                <w:tcPr>
                  <w:tcW w:w="1134" w:type="dxa"/>
                  <w:gridSpan w:val="2"/>
                  <w:vAlign w:val="center"/>
                </w:tcPr>
                <w:p>
                  <w:pPr>
                    <w:jc w:val="center"/>
                    <w:rPr>
                      <w:szCs w:val="21"/>
                    </w:rPr>
                  </w:pPr>
                  <w:r>
                    <w:rPr>
                      <w:szCs w:val="21"/>
                    </w:rPr>
                    <w:t>0.0360</w:t>
                  </w:r>
                </w:p>
              </w:tc>
              <w:tc>
                <w:tcPr>
                  <w:tcW w:w="993" w:type="dxa"/>
                  <w:gridSpan w:val="2"/>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68" w:hRule="atLeast"/>
              </w:trPr>
              <w:tc>
                <w:tcPr>
                  <w:tcW w:w="667" w:type="dxa"/>
                  <w:vAlign w:val="center"/>
                </w:tcPr>
                <w:p>
                  <w:pPr>
                    <w:jc w:val="center"/>
                    <w:rPr>
                      <w:b/>
                      <w:bCs/>
                      <w:szCs w:val="21"/>
                    </w:rPr>
                  </w:pPr>
                  <w:r>
                    <w:rPr>
                      <w:b/>
                      <w:bCs/>
                      <w:szCs w:val="21"/>
                    </w:rPr>
                    <w:t>粉料</w:t>
                  </w:r>
                </w:p>
                <w:p>
                  <w:pPr>
                    <w:jc w:val="center"/>
                    <w:rPr>
                      <w:b/>
                      <w:bCs/>
                      <w:szCs w:val="21"/>
                    </w:rPr>
                  </w:pPr>
                  <w:r>
                    <w:rPr>
                      <w:b/>
                      <w:bCs/>
                      <w:szCs w:val="21"/>
                    </w:rPr>
                    <w:t>筒仓</w:t>
                  </w:r>
                </w:p>
              </w:tc>
              <w:tc>
                <w:tcPr>
                  <w:tcW w:w="900" w:type="dxa"/>
                  <w:vAlign w:val="center"/>
                </w:tcPr>
                <w:p>
                  <w:pPr>
                    <w:jc w:val="center"/>
                    <w:rPr>
                      <w:szCs w:val="21"/>
                    </w:rPr>
                  </w:pPr>
                  <w:r>
                    <w:rPr>
                      <w:szCs w:val="21"/>
                    </w:rPr>
                    <w:t>12.1596</w:t>
                  </w:r>
                </w:p>
              </w:tc>
              <w:tc>
                <w:tcPr>
                  <w:tcW w:w="791" w:type="dxa"/>
                  <w:vAlign w:val="center"/>
                </w:tcPr>
                <w:p>
                  <w:pPr>
                    <w:jc w:val="center"/>
                    <w:rPr>
                      <w:szCs w:val="21"/>
                    </w:rPr>
                  </w:pPr>
                  <w:r>
                    <w:rPr>
                      <w:szCs w:val="21"/>
                    </w:rPr>
                    <w:t>12</w:t>
                  </w:r>
                </w:p>
              </w:tc>
              <w:tc>
                <w:tcPr>
                  <w:tcW w:w="1995" w:type="dxa"/>
                  <w:vMerge w:val="restart"/>
                  <w:vAlign w:val="center"/>
                </w:tcPr>
                <w:p>
                  <w:pPr>
                    <w:jc w:val="center"/>
                    <w:rPr>
                      <w:szCs w:val="21"/>
                    </w:rPr>
                  </w:pPr>
                  <w:r>
                    <w:rPr>
                      <w:szCs w:val="21"/>
                    </w:rPr>
                    <w:t>集气系统（收集率98%）+布袋除尘器（去除99.7%）+1根排气筒</w:t>
                  </w:r>
                  <w:r>
                    <w:rPr>
                      <w:rFonts w:hint="eastAsia"/>
                      <w:szCs w:val="21"/>
                    </w:rPr>
                    <w:t>+车间喷雾降尘等</w:t>
                  </w:r>
                </w:p>
              </w:tc>
              <w:tc>
                <w:tcPr>
                  <w:tcW w:w="648" w:type="dxa"/>
                  <w:vMerge w:val="restart"/>
                  <w:vAlign w:val="center"/>
                </w:tcPr>
                <w:p>
                  <w:pPr>
                    <w:jc w:val="center"/>
                    <w:rPr>
                      <w:szCs w:val="21"/>
                    </w:rPr>
                  </w:pPr>
                  <w:r>
                    <w:rPr>
                      <w:szCs w:val="21"/>
                    </w:rPr>
                    <w:t>是</w:t>
                  </w:r>
                </w:p>
              </w:tc>
              <w:tc>
                <w:tcPr>
                  <w:tcW w:w="752" w:type="dxa"/>
                  <w:vAlign w:val="center"/>
                </w:tcPr>
                <w:p>
                  <w:pPr>
                    <w:jc w:val="center"/>
                    <w:rPr>
                      <w:szCs w:val="21"/>
                    </w:rPr>
                  </w:pPr>
                  <w:r>
                    <w:rPr>
                      <w:szCs w:val="21"/>
                    </w:rPr>
                    <w:t>有组织</w:t>
                  </w:r>
                </w:p>
              </w:tc>
              <w:tc>
                <w:tcPr>
                  <w:tcW w:w="850" w:type="dxa"/>
                  <w:gridSpan w:val="2"/>
                  <w:vAlign w:val="center"/>
                </w:tcPr>
                <w:p>
                  <w:pPr>
                    <w:jc w:val="center"/>
                    <w:rPr>
                      <w:szCs w:val="21"/>
                    </w:rPr>
                  </w:pPr>
                  <w:r>
                    <w:rPr>
                      <w:szCs w:val="21"/>
                    </w:rPr>
                    <w:t>0.0483 3</w:t>
                  </w:r>
                </w:p>
              </w:tc>
              <w:tc>
                <w:tcPr>
                  <w:tcW w:w="1134" w:type="dxa"/>
                  <w:gridSpan w:val="2"/>
                  <w:vAlign w:val="center"/>
                </w:tcPr>
                <w:p>
                  <w:pPr>
                    <w:jc w:val="center"/>
                    <w:rPr>
                      <w:szCs w:val="21"/>
                    </w:rPr>
                  </w:pPr>
                  <w:r>
                    <w:rPr>
                      <w:szCs w:val="21"/>
                    </w:rPr>
                    <w:t xml:space="preserve">0.0402 </w:t>
                  </w:r>
                </w:p>
              </w:tc>
              <w:tc>
                <w:tcPr>
                  <w:tcW w:w="993" w:type="dxa"/>
                  <w:gridSpan w:val="2"/>
                  <w:vAlign w:val="center"/>
                </w:tcPr>
                <w:p>
                  <w:pPr>
                    <w:jc w:val="center"/>
                    <w:rPr>
                      <w:szCs w:val="21"/>
                    </w:rPr>
                  </w:pPr>
                  <w:r>
                    <w:rPr>
                      <w:szCs w:val="21"/>
                    </w:rPr>
                    <w:t xml:space="preserve">2.6832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98" w:hRule="atLeast"/>
              </w:trPr>
              <w:tc>
                <w:tcPr>
                  <w:tcW w:w="667" w:type="dxa"/>
                  <w:vAlign w:val="center"/>
                </w:tcPr>
                <w:p>
                  <w:pPr>
                    <w:jc w:val="center"/>
                    <w:rPr>
                      <w:b/>
                      <w:bCs/>
                      <w:szCs w:val="21"/>
                    </w:rPr>
                  </w:pPr>
                  <w:r>
                    <w:rPr>
                      <w:b/>
                      <w:bCs/>
                      <w:szCs w:val="21"/>
                    </w:rPr>
                    <w:t>配料搅拌</w:t>
                  </w:r>
                </w:p>
              </w:tc>
              <w:tc>
                <w:tcPr>
                  <w:tcW w:w="900" w:type="dxa"/>
                  <w:vAlign w:val="center"/>
                </w:tcPr>
                <w:p>
                  <w:pPr>
                    <w:jc w:val="center"/>
                    <w:rPr>
                      <w:szCs w:val="21"/>
                    </w:rPr>
                  </w:pPr>
                  <w:r>
                    <w:rPr>
                      <w:szCs w:val="21"/>
                    </w:rPr>
                    <w:t>1.1933</w:t>
                  </w:r>
                </w:p>
              </w:tc>
              <w:tc>
                <w:tcPr>
                  <w:tcW w:w="791" w:type="dxa"/>
                  <w:vAlign w:val="center"/>
                </w:tcPr>
                <w:p>
                  <w:pPr>
                    <w:jc w:val="center"/>
                    <w:rPr>
                      <w:szCs w:val="21"/>
                    </w:rPr>
                  </w:pPr>
                  <w:r>
                    <w:rPr>
                      <w:szCs w:val="21"/>
                    </w:rPr>
                    <w:t>1.325</w:t>
                  </w:r>
                </w:p>
              </w:tc>
              <w:tc>
                <w:tcPr>
                  <w:tcW w:w="1995" w:type="dxa"/>
                  <w:vMerge w:val="continue"/>
                  <w:vAlign w:val="center"/>
                </w:tcPr>
                <w:p>
                  <w:pPr>
                    <w:jc w:val="center"/>
                    <w:rPr>
                      <w:szCs w:val="21"/>
                    </w:rPr>
                  </w:pPr>
                </w:p>
              </w:tc>
              <w:tc>
                <w:tcPr>
                  <w:tcW w:w="648" w:type="dxa"/>
                  <w:vMerge w:val="continue"/>
                  <w:vAlign w:val="center"/>
                </w:tcPr>
                <w:p>
                  <w:pPr>
                    <w:jc w:val="center"/>
                    <w:rPr>
                      <w:szCs w:val="21"/>
                    </w:rPr>
                  </w:pPr>
                </w:p>
              </w:tc>
              <w:tc>
                <w:tcPr>
                  <w:tcW w:w="752" w:type="dxa"/>
                  <w:vMerge w:val="restart"/>
                  <w:vAlign w:val="center"/>
                </w:tcPr>
                <w:p>
                  <w:pPr>
                    <w:jc w:val="center"/>
                    <w:rPr>
                      <w:szCs w:val="21"/>
                    </w:rPr>
                  </w:pPr>
                  <w:r>
                    <w:rPr>
                      <w:szCs w:val="21"/>
                    </w:rPr>
                    <w:t>无组织</w:t>
                  </w:r>
                </w:p>
              </w:tc>
              <w:tc>
                <w:tcPr>
                  <w:tcW w:w="850" w:type="dxa"/>
                  <w:gridSpan w:val="2"/>
                  <w:vMerge w:val="restart"/>
                  <w:vAlign w:val="center"/>
                </w:tcPr>
                <w:p>
                  <w:pPr>
                    <w:widowControl/>
                    <w:jc w:val="center"/>
                    <w:rPr>
                      <w:kern w:val="0"/>
                      <w:sz w:val="22"/>
                      <w:szCs w:val="22"/>
                    </w:rPr>
                  </w:pPr>
                  <w:r>
                    <w:rPr>
                      <w:rFonts w:hint="eastAsia"/>
                      <w:sz w:val="22"/>
                      <w:szCs w:val="22"/>
                    </w:rPr>
                    <w:t xml:space="preserve">0.0854 </w:t>
                  </w:r>
                </w:p>
                <w:p>
                  <w:pPr>
                    <w:jc w:val="center"/>
                    <w:rPr>
                      <w:szCs w:val="21"/>
                    </w:rPr>
                  </w:pPr>
                </w:p>
              </w:tc>
              <w:tc>
                <w:tcPr>
                  <w:tcW w:w="1134" w:type="dxa"/>
                  <w:gridSpan w:val="2"/>
                  <w:vMerge w:val="restart"/>
                  <w:vAlign w:val="center"/>
                </w:tcPr>
                <w:p>
                  <w:pPr>
                    <w:jc w:val="center"/>
                    <w:rPr>
                      <w:szCs w:val="21"/>
                    </w:rPr>
                  </w:pPr>
                  <w:r>
                    <w:rPr>
                      <w:szCs w:val="21"/>
                    </w:rPr>
                    <w:t xml:space="preserve">0.0712 </w:t>
                  </w:r>
                </w:p>
              </w:tc>
              <w:tc>
                <w:tcPr>
                  <w:tcW w:w="993" w:type="dxa"/>
                  <w:gridSpan w:val="2"/>
                  <w:vMerge w:val="restar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98" w:hRule="atLeast"/>
              </w:trPr>
              <w:tc>
                <w:tcPr>
                  <w:tcW w:w="667" w:type="dxa"/>
                  <w:vAlign w:val="center"/>
                </w:tcPr>
                <w:p>
                  <w:pPr>
                    <w:jc w:val="center"/>
                    <w:rPr>
                      <w:b/>
                      <w:bCs/>
                      <w:szCs w:val="21"/>
                    </w:rPr>
                  </w:pPr>
                  <w:r>
                    <w:rPr>
                      <w:rFonts w:hint="eastAsia"/>
                      <w:b/>
                      <w:bCs/>
                      <w:szCs w:val="21"/>
                    </w:rPr>
                    <w:t>破碎筛分粉尘</w:t>
                  </w:r>
                </w:p>
              </w:tc>
              <w:tc>
                <w:tcPr>
                  <w:tcW w:w="900" w:type="dxa"/>
                  <w:vAlign w:val="center"/>
                </w:tcPr>
                <w:p>
                  <w:pPr>
                    <w:jc w:val="center"/>
                    <w:rPr>
                      <w:szCs w:val="21"/>
                    </w:rPr>
                  </w:pPr>
                  <w:r>
                    <w:rPr>
                      <w:rFonts w:hint="eastAsia"/>
                      <w:szCs w:val="21"/>
                    </w:rPr>
                    <w:t>3</w:t>
                  </w:r>
                  <w:r>
                    <w:rPr>
                      <w:szCs w:val="21"/>
                    </w:rPr>
                    <w:t>.075</w:t>
                  </w:r>
                </w:p>
              </w:tc>
              <w:tc>
                <w:tcPr>
                  <w:tcW w:w="791" w:type="dxa"/>
                  <w:vAlign w:val="center"/>
                </w:tcPr>
                <w:p>
                  <w:pPr>
                    <w:jc w:val="center"/>
                    <w:rPr>
                      <w:szCs w:val="21"/>
                    </w:rPr>
                  </w:pPr>
                  <w:r>
                    <w:rPr>
                      <w:rFonts w:hint="eastAsia"/>
                      <w:szCs w:val="21"/>
                    </w:rPr>
                    <w:t>2</w:t>
                  </w:r>
                  <w:r>
                    <w:rPr>
                      <w:szCs w:val="21"/>
                    </w:rPr>
                    <w:t>.56</w:t>
                  </w:r>
                </w:p>
              </w:tc>
              <w:tc>
                <w:tcPr>
                  <w:tcW w:w="1995" w:type="dxa"/>
                  <w:vMerge w:val="continue"/>
                  <w:vAlign w:val="center"/>
                </w:tcPr>
                <w:p>
                  <w:pPr>
                    <w:jc w:val="center"/>
                    <w:rPr>
                      <w:szCs w:val="21"/>
                    </w:rPr>
                  </w:pPr>
                </w:p>
              </w:tc>
              <w:tc>
                <w:tcPr>
                  <w:tcW w:w="648" w:type="dxa"/>
                  <w:vMerge w:val="continue"/>
                  <w:vAlign w:val="center"/>
                </w:tcPr>
                <w:p>
                  <w:pPr>
                    <w:jc w:val="center"/>
                    <w:rPr>
                      <w:szCs w:val="21"/>
                    </w:rPr>
                  </w:pPr>
                </w:p>
              </w:tc>
              <w:tc>
                <w:tcPr>
                  <w:tcW w:w="752" w:type="dxa"/>
                  <w:vMerge w:val="continue"/>
                  <w:vAlign w:val="center"/>
                </w:tcPr>
                <w:p>
                  <w:pPr>
                    <w:jc w:val="center"/>
                    <w:rPr>
                      <w:szCs w:val="21"/>
                    </w:rPr>
                  </w:pPr>
                </w:p>
              </w:tc>
              <w:tc>
                <w:tcPr>
                  <w:tcW w:w="850" w:type="dxa"/>
                  <w:gridSpan w:val="2"/>
                  <w:vMerge w:val="continue"/>
                  <w:vAlign w:val="center"/>
                </w:tcPr>
                <w:p>
                  <w:pPr>
                    <w:jc w:val="center"/>
                    <w:rPr>
                      <w:szCs w:val="21"/>
                    </w:rPr>
                  </w:pPr>
                </w:p>
              </w:tc>
              <w:tc>
                <w:tcPr>
                  <w:tcW w:w="1134" w:type="dxa"/>
                  <w:gridSpan w:val="2"/>
                  <w:vMerge w:val="continue"/>
                  <w:vAlign w:val="center"/>
                </w:tcPr>
                <w:p>
                  <w:pPr>
                    <w:jc w:val="center"/>
                    <w:rPr>
                      <w:szCs w:val="21"/>
                    </w:rPr>
                  </w:pPr>
                </w:p>
              </w:tc>
              <w:tc>
                <w:tcPr>
                  <w:tcW w:w="993" w:type="dxa"/>
                  <w:gridSpan w:val="2"/>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65" w:type="dxa"/>
                  <w:gridSpan w:val="7"/>
                  <w:vAlign w:val="center"/>
                </w:tcPr>
                <w:p>
                  <w:pPr>
                    <w:jc w:val="center"/>
                    <w:rPr>
                      <w:szCs w:val="21"/>
                    </w:rPr>
                  </w:pPr>
                  <w:r>
                    <w:rPr>
                      <w:szCs w:val="21"/>
                    </w:rPr>
                    <w:t>《四川省水泥工业大气污染物排放标准》（DB51/2864-2021）散装水泥中转站及水泥制品生产标准限值</w:t>
                  </w:r>
                </w:p>
              </w:tc>
              <w:tc>
                <w:tcPr>
                  <w:tcW w:w="850" w:type="dxa"/>
                  <w:gridSpan w:val="2"/>
                  <w:vAlign w:val="center"/>
                </w:tcPr>
                <w:p>
                  <w:pPr>
                    <w:jc w:val="center"/>
                    <w:rPr>
                      <w:szCs w:val="21"/>
                    </w:rPr>
                  </w:pPr>
                  <w:r>
                    <w:rPr>
                      <w:szCs w:val="21"/>
                    </w:rPr>
                    <w:t>-</w:t>
                  </w:r>
                </w:p>
              </w:tc>
              <w:tc>
                <w:tcPr>
                  <w:tcW w:w="1134" w:type="dxa"/>
                  <w:gridSpan w:val="2"/>
                  <w:vAlign w:val="center"/>
                </w:tcPr>
                <w:p>
                  <w:pPr>
                    <w:jc w:val="center"/>
                    <w:rPr>
                      <w:szCs w:val="21"/>
                    </w:rPr>
                  </w:pPr>
                  <w:r>
                    <w:rPr>
                      <w:szCs w:val="21"/>
                    </w:rPr>
                    <w:t>-</w:t>
                  </w:r>
                </w:p>
              </w:tc>
              <w:tc>
                <w:tcPr>
                  <w:tcW w:w="993" w:type="dxa"/>
                  <w:gridSpan w:val="2"/>
                  <w:vAlign w:val="center"/>
                </w:tcPr>
                <w:p>
                  <w:pPr>
                    <w:jc w:val="center"/>
                    <w:rPr>
                      <w:szCs w:val="21"/>
                    </w:rPr>
                  </w:pPr>
                  <w:r>
                    <w:rPr>
                      <w:szCs w:val="21"/>
                    </w:rPr>
                    <w:t>10</w:t>
                  </w:r>
                </w:p>
              </w:tc>
            </w:tr>
          </w:tbl>
          <w:p>
            <w:pPr>
              <w:spacing w:before="120" w:beforeLines="50" w:line="360" w:lineRule="auto"/>
              <w:ind w:firstLine="480" w:firstLineChars="200"/>
              <w:rPr>
                <w:rFonts w:eastAsiaTheme="minorEastAsia"/>
                <w:sz w:val="24"/>
              </w:rPr>
            </w:pPr>
          </w:p>
          <w:p>
            <w:pPr>
              <w:spacing w:before="120" w:beforeLines="50" w:line="360" w:lineRule="auto"/>
              <w:ind w:firstLine="480" w:firstLineChars="200"/>
              <w:rPr>
                <w:rFonts w:eastAsiaTheme="minorEastAsia"/>
                <w:sz w:val="24"/>
              </w:rPr>
            </w:pPr>
            <w:r>
              <w:rPr>
                <w:rFonts w:eastAsiaTheme="minorEastAsia"/>
                <w:sz w:val="24"/>
              </w:rPr>
              <w:t>本项目锅炉废气产生与排放：</w:t>
            </w:r>
          </w:p>
          <w:p>
            <w:pPr>
              <w:adjustRightInd w:val="0"/>
              <w:snapToGrid w:val="0"/>
              <w:spacing w:line="360" w:lineRule="auto"/>
              <w:ind w:firstLine="482" w:firstLineChars="200"/>
              <w:jc w:val="center"/>
              <w:rPr>
                <w:rFonts w:eastAsiaTheme="minorEastAsia"/>
                <w:b/>
                <w:bCs/>
                <w:sz w:val="24"/>
              </w:rPr>
            </w:pPr>
            <w:r>
              <w:rPr>
                <w:rFonts w:eastAsiaTheme="minorEastAsia"/>
                <w:b/>
                <w:bCs/>
                <w:sz w:val="24"/>
              </w:rPr>
              <w:t>表4-3 锅炉废气排放一览表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1653"/>
              <w:gridCol w:w="1571"/>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1984"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项目</w:t>
                  </w:r>
                </w:p>
              </w:tc>
              <w:tc>
                <w:tcPr>
                  <w:tcW w:w="943"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烟尘</w:t>
                  </w:r>
                </w:p>
              </w:tc>
              <w:tc>
                <w:tcPr>
                  <w:tcW w:w="897" w:type="pct"/>
                  <w:vAlign w:val="center"/>
                </w:tcPr>
                <w:p>
                  <w:pPr>
                    <w:pStyle w:val="46"/>
                    <w:spacing w:beforeLines="0" w:afterLines="0" w:line="240" w:lineRule="auto"/>
                    <w:rPr>
                      <w:rFonts w:ascii="Times New Roman" w:eastAsiaTheme="minorEastAsia"/>
                      <w:b/>
                      <w:szCs w:val="21"/>
                    </w:rPr>
                  </w:pPr>
                  <w:r>
                    <w:rPr>
                      <w:rFonts w:ascii="Times New Roman" w:eastAsiaTheme="minorEastAsia"/>
                      <w:b/>
                      <w:szCs w:val="21"/>
                    </w:rPr>
                    <w:t>SO</w:t>
                  </w:r>
                  <w:r>
                    <w:rPr>
                      <w:rFonts w:ascii="Times New Roman" w:eastAsiaTheme="minorEastAsia"/>
                      <w:b/>
                      <w:szCs w:val="21"/>
                      <w:vertAlign w:val="subscript"/>
                    </w:rPr>
                    <w:t>2</w:t>
                  </w:r>
                </w:p>
              </w:tc>
              <w:tc>
                <w:tcPr>
                  <w:tcW w:w="1175" w:type="pct"/>
                  <w:vAlign w:val="center"/>
                </w:tcPr>
                <w:p>
                  <w:pPr>
                    <w:pStyle w:val="46"/>
                    <w:spacing w:beforeLines="0" w:afterLines="0" w:line="240" w:lineRule="auto"/>
                    <w:jc w:val="both"/>
                    <w:rPr>
                      <w:rFonts w:ascii="Times New Roman" w:eastAsiaTheme="minorEastAsia"/>
                      <w:b/>
                      <w:szCs w:val="21"/>
                    </w:rPr>
                  </w:pPr>
                  <w:r>
                    <w:rPr>
                      <w:rFonts w:ascii="Times New Roman" w:eastAsiaTheme="minorEastAsia"/>
                      <w:b/>
                      <w:szCs w:val="21"/>
                    </w:rPr>
                    <w:t>NOx（低氮燃烧-国内领先）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84" w:type="pct"/>
                  <w:vAlign w:val="center"/>
                </w:tcPr>
                <w:p>
                  <w:pPr>
                    <w:pStyle w:val="46"/>
                    <w:spacing w:beforeLines="0" w:afterLines="0" w:line="240" w:lineRule="auto"/>
                    <w:rPr>
                      <w:rFonts w:ascii="Times New Roman" w:eastAsiaTheme="minorEastAsia"/>
                      <w:b/>
                      <w:bCs/>
                      <w:iCs/>
                      <w:snapToGrid w:val="0"/>
                      <w:spacing w:val="-4"/>
                      <w:szCs w:val="21"/>
                      <w:lang w:bidi="en-US"/>
                    </w:rPr>
                  </w:pPr>
                  <w:r>
                    <w:rPr>
                      <w:rFonts w:ascii="Times New Roman" w:eastAsiaTheme="minorEastAsia"/>
                      <w:szCs w:val="21"/>
                    </w:rPr>
                    <w:t>产生量</w:t>
                  </w:r>
                </w:p>
              </w:tc>
              <w:tc>
                <w:tcPr>
                  <w:tcW w:w="943" w:type="pct"/>
                  <w:vAlign w:val="center"/>
                </w:tcPr>
                <w:p>
                  <w:pPr>
                    <w:pStyle w:val="46"/>
                    <w:spacing w:beforeLines="0" w:afterLines="0" w:line="240" w:lineRule="auto"/>
                    <w:rPr>
                      <w:rFonts w:ascii="Times New Roman" w:eastAsiaTheme="minorEastAsia"/>
                      <w:b/>
                      <w:bCs/>
                      <w:iCs/>
                      <w:snapToGrid w:val="0"/>
                      <w:spacing w:val="-4"/>
                      <w:szCs w:val="21"/>
                      <w:lang w:bidi="en-US"/>
                    </w:rPr>
                  </w:pPr>
                  <w:r>
                    <w:rPr>
                      <w:rFonts w:ascii="Times New Roman" w:eastAsiaTheme="minorEastAsia"/>
                      <w:szCs w:val="21"/>
                    </w:rPr>
                    <w:t>0.072t/a</w:t>
                  </w:r>
                </w:p>
              </w:tc>
              <w:tc>
                <w:tcPr>
                  <w:tcW w:w="897"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0.24t/a</w:t>
                  </w:r>
                </w:p>
              </w:tc>
              <w:tc>
                <w:tcPr>
                  <w:tcW w:w="1175" w:type="pct"/>
                  <w:vAlign w:val="center"/>
                </w:tcPr>
                <w:p>
                  <w:pPr>
                    <w:pStyle w:val="46"/>
                    <w:spacing w:beforeLines="0" w:afterLines="0" w:line="240" w:lineRule="auto"/>
                    <w:rPr>
                      <w:rFonts w:ascii="Times New Roman" w:eastAsiaTheme="minorEastAsia"/>
                      <w:b/>
                      <w:bCs/>
                      <w:iCs/>
                      <w:snapToGrid w:val="0"/>
                      <w:spacing w:val="-4"/>
                      <w:szCs w:val="21"/>
                      <w:lang w:bidi="en-US"/>
                    </w:rPr>
                  </w:pPr>
                  <w:r>
                    <w:rPr>
                      <w:rFonts w:ascii="Times New Roman" w:eastAsiaTheme="minorEastAsia"/>
                      <w:szCs w:val="21"/>
                    </w:rPr>
                    <w:t>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84"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产生速率</w:t>
                  </w:r>
                </w:p>
              </w:tc>
              <w:tc>
                <w:tcPr>
                  <w:tcW w:w="943"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0.01</w:t>
                  </w:r>
                  <w:r>
                    <w:rPr>
                      <w:rFonts w:ascii="Times New Roman" w:eastAsiaTheme="minorEastAsia"/>
                      <w:kern w:val="2"/>
                      <w:szCs w:val="21"/>
                    </w:rPr>
                    <w:t>kg/h</w:t>
                  </w:r>
                </w:p>
              </w:tc>
              <w:tc>
                <w:tcPr>
                  <w:tcW w:w="897"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0.0333</w:t>
                  </w:r>
                  <w:r>
                    <w:rPr>
                      <w:rFonts w:ascii="Times New Roman" w:eastAsiaTheme="minorEastAsia"/>
                      <w:kern w:val="2"/>
                      <w:szCs w:val="21"/>
                    </w:rPr>
                    <w:t>kg/h</w:t>
                  </w:r>
                </w:p>
              </w:tc>
              <w:tc>
                <w:tcPr>
                  <w:tcW w:w="1175"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0.0583</w:t>
                  </w:r>
                  <w:r>
                    <w:rPr>
                      <w:rFonts w:ascii="Times New Roman" w:eastAsiaTheme="minorEastAsia"/>
                      <w:kern w:val="2"/>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84" w:type="pct"/>
                  <w:vAlign w:val="center"/>
                </w:tcPr>
                <w:p>
                  <w:pPr>
                    <w:pStyle w:val="46"/>
                    <w:spacing w:beforeLines="0" w:afterLines="0" w:line="240" w:lineRule="auto"/>
                    <w:rPr>
                      <w:rFonts w:ascii="Times New Roman" w:eastAsiaTheme="minorEastAsia"/>
                      <w:b/>
                      <w:bCs/>
                      <w:iCs/>
                      <w:snapToGrid w:val="0"/>
                      <w:spacing w:val="-4"/>
                      <w:szCs w:val="21"/>
                      <w:lang w:bidi="en-US"/>
                    </w:rPr>
                  </w:pPr>
                  <w:r>
                    <w:rPr>
                      <w:rFonts w:ascii="Times New Roman" w:eastAsiaTheme="minorEastAsia"/>
                      <w:szCs w:val="21"/>
                    </w:rPr>
                    <w:t>产生浓度</w:t>
                  </w:r>
                </w:p>
              </w:tc>
              <w:tc>
                <w:tcPr>
                  <w:tcW w:w="943" w:type="pct"/>
                  <w:vAlign w:val="center"/>
                </w:tcPr>
                <w:p>
                  <w:pPr>
                    <w:pStyle w:val="46"/>
                    <w:spacing w:beforeLines="0" w:afterLines="0" w:line="240" w:lineRule="auto"/>
                    <w:rPr>
                      <w:rFonts w:ascii="Times New Roman" w:eastAsiaTheme="minorEastAsia"/>
                      <w:bCs/>
                      <w:iCs/>
                      <w:snapToGrid w:val="0"/>
                      <w:spacing w:val="-4"/>
                      <w:szCs w:val="21"/>
                      <w:vertAlign w:val="superscript"/>
                      <w:lang w:bidi="en-US"/>
                    </w:rPr>
                  </w:pPr>
                  <w:r>
                    <w:rPr>
                      <w:rFonts w:ascii="Times New Roman" w:eastAsiaTheme="minorEastAsia"/>
                      <w:szCs w:val="21"/>
                    </w:rPr>
                    <w:t>11.13mg/m</w:t>
                  </w:r>
                  <w:r>
                    <w:rPr>
                      <w:rFonts w:ascii="Times New Roman" w:eastAsiaTheme="minorEastAsia"/>
                      <w:szCs w:val="21"/>
                      <w:vertAlign w:val="superscript"/>
                    </w:rPr>
                    <w:t>3</w:t>
                  </w:r>
                </w:p>
              </w:tc>
              <w:tc>
                <w:tcPr>
                  <w:tcW w:w="897"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37.12mg/m</w:t>
                  </w:r>
                  <w:r>
                    <w:rPr>
                      <w:rFonts w:ascii="Times New Roman" w:eastAsiaTheme="minorEastAsia"/>
                      <w:szCs w:val="21"/>
                      <w:vertAlign w:val="superscript"/>
                    </w:rPr>
                    <w:t>3</w:t>
                  </w:r>
                </w:p>
              </w:tc>
              <w:tc>
                <w:tcPr>
                  <w:tcW w:w="1175" w:type="pct"/>
                  <w:vAlign w:val="center"/>
                </w:tcPr>
                <w:p>
                  <w:pPr>
                    <w:pStyle w:val="46"/>
                    <w:spacing w:beforeLines="0" w:afterLines="0" w:line="240" w:lineRule="auto"/>
                    <w:rPr>
                      <w:rFonts w:ascii="Times New Roman" w:eastAsiaTheme="minorEastAsia"/>
                      <w:bCs/>
                      <w:iCs/>
                      <w:snapToGrid w:val="0"/>
                      <w:spacing w:val="-4"/>
                      <w:szCs w:val="21"/>
                      <w:lang w:bidi="en-US"/>
                    </w:rPr>
                  </w:pPr>
                  <w:r>
                    <w:rPr>
                      <w:rFonts w:ascii="Times New Roman" w:eastAsiaTheme="minorEastAsia"/>
                      <w:szCs w:val="21"/>
                    </w:rPr>
                    <w:t>64.96mg/m</w:t>
                  </w:r>
                  <w:r>
                    <w:rPr>
                      <w:rFonts w:ascii="Times New Roman" w:eastAsiaTheme="minor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1984" w:type="pct"/>
                  <w:vAlign w:val="center"/>
                </w:tcPr>
                <w:p>
                  <w:pPr>
                    <w:pStyle w:val="46"/>
                    <w:spacing w:beforeLines="0" w:afterLines="0" w:line="240" w:lineRule="auto"/>
                    <w:jc w:val="both"/>
                    <w:rPr>
                      <w:rFonts w:ascii="Times New Roman" w:eastAsiaTheme="minorEastAsia"/>
                      <w:szCs w:val="21"/>
                    </w:rPr>
                  </w:pPr>
                  <w:r>
                    <w:rPr>
                      <w:rFonts w:ascii="Times New Roman" w:eastAsiaTheme="minorEastAsia"/>
                      <w:szCs w:val="21"/>
                    </w:rPr>
                    <w:t>《锅炉大气污染物排放标准》（GB13271-2014）表3 燃气标准</w:t>
                  </w:r>
                </w:p>
              </w:tc>
              <w:tc>
                <w:tcPr>
                  <w:tcW w:w="943" w:type="pct"/>
                  <w:vAlign w:val="center"/>
                </w:tcPr>
                <w:p>
                  <w:pPr>
                    <w:pStyle w:val="46"/>
                    <w:spacing w:beforeLines="0" w:afterLines="0" w:line="240" w:lineRule="auto"/>
                    <w:rPr>
                      <w:rFonts w:ascii="Times New Roman" w:eastAsiaTheme="minorEastAsia"/>
                      <w:szCs w:val="21"/>
                    </w:rPr>
                  </w:pPr>
                  <w:r>
                    <w:rPr>
                      <w:rFonts w:ascii="Times New Roman" w:eastAsiaTheme="minorEastAsia"/>
                      <w:szCs w:val="21"/>
                    </w:rPr>
                    <w:t>20</w:t>
                  </w:r>
                </w:p>
              </w:tc>
              <w:tc>
                <w:tcPr>
                  <w:tcW w:w="897" w:type="pct"/>
                  <w:vAlign w:val="center"/>
                </w:tcPr>
                <w:p>
                  <w:pPr>
                    <w:pStyle w:val="46"/>
                    <w:spacing w:beforeLines="0" w:afterLines="0" w:line="240" w:lineRule="auto"/>
                    <w:rPr>
                      <w:rFonts w:ascii="Times New Roman" w:eastAsiaTheme="minorEastAsia"/>
                      <w:szCs w:val="21"/>
                    </w:rPr>
                  </w:pPr>
                  <w:r>
                    <w:rPr>
                      <w:rFonts w:ascii="Times New Roman" w:eastAsiaTheme="minorEastAsia"/>
                      <w:szCs w:val="21"/>
                    </w:rPr>
                    <w:t>50</w:t>
                  </w:r>
                </w:p>
              </w:tc>
              <w:tc>
                <w:tcPr>
                  <w:tcW w:w="1175" w:type="pct"/>
                  <w:vAlign w:val="center"/>
                </w:tcPr>
                <w:p>
                  <w:pPr>
                    <w:pStyle w:val="46"/>
                    <w:spacing w:beforeLines="0" w:afterLines="0" w:line="240" w:lineRule="auto"/>
                    <w:rPr>
                      <w:rFonts w:ascii="Times New Roman" w:eastAsiaTheme="minorEastAsia"/>
                      <w:szCs w:val="21"/>
                    </w:rPr>
                  </w:pPr>
                  <w:r>
                    <w:rPr>
                      <w:rFonts w:ascii="Times New Roman" w:eastAsiaTheme="minorEastAsia"/>
                      <w:szCs w:val="21"/>
                    </w:rPr>
                    <w:t>150</w:t>
                  </w:r>
                </w:p>
              </w:tc>
            </w:tr>
          </w:tbl>
          <w:p>
            <w:pPr>
              <w:spacing w:before="120" w:beforeLines="50" w:line="360" w:lineRule="auto"/>
              <w:ind w:firstLine="480" w:firstLineChars="200"/>
              <w:rPr>
                <w:rFonts w:eastAsiaTheme="minorEastAsia"/>
                <w:sz w:val="24"/>
              </w:rPr>
            </w:pPr>
            <w:r>
              <w:rPr>
                <w:rFonts w:eastAsiaTheme="minorEastAsia"/>
                <w:sz w:val="24"/>
              </w:rPr>
              <w:t>本项目全程废气排放一览表：</w:t>
            </w:r>
          </w:p>
          <w:p>
            <w:pPr>
              <w:adjustRightInd w:val="0"/>
              <w:snapToGrid w:val="0"/>
              <w:spacing w:line="360" w:lineRule="auto"/>
              <w:ind w:firstLine="482" w:firstLineChars="200"/>
              <w:jc w:val="center"/>
              <w:rPr>
                <w:rFonts w:eastAsiaTheme="minorEastAsia"/>
                <w:b/>
                <w:bCs/>
                <w:sz w:val="24"/>
              </w:rPr>
            </w:pPr>
            <w:r>
              <w:rPr>
                <w:rFonts w:eastAsiaTheme="minorEastAsia"/>
                <w:b/>
                <w:bCs/>
                <w:sz w:val="24"/>
              </w:rPr>
              <w:t>表4-4 项目废气排放一览表   单位：</w:t>
            </w:r>
            <w:r>
              <w:rPr>
                <w:rFonts w:eastAsiaTheme="minorEastAsia"/>
                <w:sz w:val="24"/>
              </w:rPr>
              <w:t>t/a</w:t>
            </w:r>
          </w:p>
          <w:tbl>
            <w:tblPr>
              <w:tblStyle w:val="26"/>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426"/>
              <w:gridCol w:w="1764"/>
              <w:gridCol w:w="1762"/>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Align w:val="center"/>
                </w:tcPr>
                <w:p>
                  <w:pPr>
                    <w:pStyle w:val="2"/>
                    <w:ind w:left="0" w:leftChars="0" w:firstLine="0" w:firstLineChars="0"/>
                    <w:jc w:val="center"/>
                    <w:rPr>
                      <w:b/>
                      <w:bCs/>
                      <w:szCs w:val="21"/>
                    </w:rPr>
                  </w:pPr>
                  <w:r>
                    <w:rPr>
                      <w:b/>
                      <w:bCs/>
                      <w:szCs w:val="21"/>
                    </w:rPr>
                    <w:t>序号</w:t>
                  </w:r>
                </w:p>
              </w:tc>
              <w:tc>
                <w:tcPr>
                  <w:tcW w:w="1403" w:type="pct"/>
                  <w:vAlign w:val="center"/>
                </w:tcPr>
                <w:p>
                  <w:pPr>
                    <w:pStyle w:val="2"/>
                    <w:ind w:left="0" w:leftChars="0" w:firstLine="0" w:firstLineChars="0"/>
                    <w:jc w:val="center"/>
                    <w:rPr>
                      <w:b/>
                      <w:bCs/>
                      <w:szCs w:val="21"/>
                    </w:rPr>
                  </w:pPr>
                  <w:r>
                    <w:rPr>
                      <w:b/>
                      <w:bCs/>
                      <w:szCs w:val="21"/>
                    </w:rPr>
                    <w:t>废气</w:t>
                  </w:r>
                </w:p>
              </w:tc>
              <w:tc>
                <w:tcPr>
                  <w:tcW w:w="1020" w:type="pct"/>
                  <w:vAlign w:val="center"/>
                </w:tcPr>
                <w:p>
                  <w:pPr>
                    <w:pStyle w:val="2"/>
                    <w:ind w:left="0" w:leftChars="0" w:firstLine="0" w:firstLineChars="0"/>
                    <w:jc w:val="center"/>
                    <w:rPr>
                      <w:b/>
                      <w:bCs/>
                      <w:szCs w:val="21"/>
                    </w:rPr>
                  </w:pPr>
                  <w:r>
                    <w:rPr>
                      <w:b/>
                      <w:bCs/>
                      <w:szCs w:val="21"/>
                    </w:rPr>
                    <w:t>有组织</w:t>
                  </w:r>
                </w:p>
              </w:tc>
              <w:tc>
                <w:tcPr>
                  <w:tcW w:w="1019" w:type="pct"/>
                  <w:vAlign w:val="center"/>
                </w:tcPr>
                <w:p>
                  <w:pPr>
                    <w:pStyle w:val="2"/>
                    <w:ind w:left="0" w:leftChars="0" w:firstLine="0" w:firstLineChars="0"/>
                    <w:jc w:val="center"/>
                    <w:rPr>
                      <w:b/>
                      <w:bCs/>
                      <w:szCs w:val="21"/>
                    </w:rPr>
                  </w:pPr>
                  <w:r>
                    <w:rPr>
                      <w:b/>
                      <w:bCs/>
                      <w:szCs w:val="21"/>
                    </w:rPr>
                    <w:t>无组织</w:t>
                  </w:r>
                </w:p>
              </w:tc>
              <w:tc>
                <w:tcPr>
                  <w:tcW w:w="1020" w:type="pct"/>
                  <w:vAlign w:val="center"/>
                </w:tcPr>
                <w:p>
                  <w:pPr>
                    <w:pStyle w:val="2"/>
                    <w:ind w:left="0" w:leftChars="0" w:firstLine="0" w:firstLineChars="0"/>
                    <w:jc w:val="center"/>
                    <w:rPr>
                      <w:b/>
                      <w:bCs/>
                      <w:szCs w:val="21"/>
                    </w:rPr>
                  </w:pPr>
                  <w:r>
                    <w:rPr>
                      <w:b/>
                      <w:bCs/>
                      <w:szCs w:val="21"/>
                    </w:rPr>
                    <w:t>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Align w:val="center"/>
                </w:tcPr>
                <w:p>
                  <w:pPr>
                    <w:pStyle w:val="2"/>
                    <w:ind w:left="0" w:leftChars="0" w:firstLine="0" w:firstLineChars="0"/>
                    <w:jc w:val="center"/>
                    <w:rPr>
                      <w:szCs w:val="21"/>
                    </w:rPr>
                  </w:pPr>
                  <w:r>
                    <w:rPr>
                      <w:szCs w:val="21"/>
                    </w:rPr>
                    <w:t>1</w:t>
                  </w:r>
                </w:p>
              </w:tc>
              <w:tc>
                <w:tcPr>
                  <w:tcW w:w="1403" w:type="pct"/>
                  <w:vAlign w:val="center"/>
                </w:tcPr>
                <w:p>
                  <w:pPr>
                    <w:pStyle w:val="2"/>
                    <w:ind w:left="0" w:leftChars="0" w:firstLine="0" w:firstLineChars="0"/>
                    <w:jc w:val="center"/>
                    <w:rPr>
                      <w:szCs w:val="21"/>
                    </w:rPr>
                  </w:pPr>
                  <w:r>
                    <w:rPr>
                      <w:szCs w:val="21"/>
                    </w:rPr>
                    <w:t>颗粒物</w:t>
                  </w:r>
                </w:p>
              </w:tc>
              <w:tc>
                <w:tcPr>
                  <w:tcW w:w="1020" w:type="pct"/>
                  <w:vAlign w:val="center"/>
                </w:tcPr>
                <w:p>
                  <w:pPr>
                    <w:widowControl/>
                    <w:jc w:val="center"/>
                    <w:rPr>
                      <w:kern w:val="0"/>
                      <w:szCs w:val="21"/>
                    </w:rPr>
                  </w:pPr>
                  <w:r>
                    <w:rPr>
                      <w:szCs w:val="21"/>
                    </w:rPr>
                    <w:t xml:space="preserve">0.1203 </w:t>
                  </w:r>
                </w:p>
              </w:tc>
              <w:tc>
                <w:tcPr>
                  <w:tcW w:w="1019" w:type="pct"/>
                  <w:vAlign w:val="center"/>
                </w:tcPr>
                <w:p>
                  <w:pPr>
                    <w:widowControl/>
                    <w:jc w:val="center"/>
                    <w:rPr>
                      <w:kern w:val="0"/>
                      <w:szCs w:val="21"/>
                    </w:rPr>
                  </w:pPr>
                  <w:r>
                    <w:rPr>
                      <w:szCs w:val="21"/>
                    </w:rPr>
                    <w:t xml:space="preserve">0.1142  </w:t>
                  </w:r>
                </w:p>
              </w:tc>
              <w:tc>
                <w:tcPr>
                  <w:tcW w:w="1020" w:type="pct"/>
                  <w:vAlign w:val="center"/>
                </w:tcPr>
                <w:p>
                  <w:pPr>
                    <w:widowControl/>
                    <w:jc w:val="center"/>
                    <w:rPr>
                      <w:kern w:val="0"/>
                      <w:szCs w:val="21"/>
                    </w:rPr>
                  </w:pPr>
                  <w:r>
                    <w:rPr>
                      <w:szCs w:val="21"/>
                    </w:rPr>
                    <w:t xml:space="preserve">0.2345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Align w:val="center"/>
                </w:tcPr>
                <w:p>
                  <w:pPr>
                    <w:pStyle w:val="2"/>
                    <w:ind w:left="0" w:leftChars="0" w:firstLine="0" w:firstLineChars="0"/>
                    <w:jc w:val="center"/>
                    <w:rPr>
                      <w:szCs w:val="21"/>
                    </w:rPr>
                  </w:pPr>
                  <w:r>
                    <w:rPr>
                      <w:szCs w:val="21"/>
                    </w:rPr>
                    <w:t>2</w:t>
                  </w:r>
                </w:p>
              </w:tc>
              <w:tc>
                <w:tcPr>
                  <w:tcW w:w="1403" w:type="pct"/>
                  <w:vAlign w:val="center"/>
                </w:tcPr>
                <w:p>
                  <w:pPr>
                    <w:pStyle w:val="2"/>
                    <w:ind w:left="0" w:leftChars="0" w:firstLine="0" w:firstLineChars="0"/>
                    <w:jc w:val="center"/>
                    <w:rPr>
                      <w:bCs/>
                      <w:szCs w:val="21"/>
                    </w:rPr>
                  </w:pPr>
                  <w:r>
                    <w:rPr>
                      <w:rFonts w:eastAsiaTheme="minorEastAsia"/>
                      <w:bCs/>
                      <w:szCs w:val="21"/>
                    </w:rPr>
                    <w:t>SO</w:t>
                  </w:r>
                  <w:r>
                    <w:rPr>
                      <w:rFonts w:eastAsiaTheme="minorEastAsia"/>
                      <w:bCs/>
                      <w:szCs w:val="21"/>
                      <w:vertAlign w:val="subscript"/>
                    </w:rPr>
                    <w:t>2</w:t>
                  </w:r>
                </w:p>
              </w:tc>
              <w:tc>
                <w:tcPr>
                  <w:tcW w:w="1020" w:type="pct"/>
                  <w:vAlign w:val="center"/>
                </w:tcPr>
                <w:p>
                  <w:pPr>
                    <w:pStyle w:val="2"/>
                    <w:ind w:left="0" w:leftChars="0" w:firstLine="0" w:firstLineChars="0"/>
                    <w:jc w:val="center"/>
                    <w:rPr>
                      <w:szCs w:val="21"/>
                    </w:rPr>
                  </w:pPr>
                  <w:r>
                    <w:rPr>
                      <w:rFonts w:eastAsiaTheme="minorEastAsia"/>
                      <w:szCs w:val="21"/>
                    </w:rPr>
                    <w:t>0.24</w:t>
                  </w:r>
                </w:p>
              </w:tc>
              <w:tc>
                <w:tcPr>
                  <w:tcW w:w="1019" w:type="pct"/>
                  <w:vAlign w:val="center"/>
                </w:tcPr>
                <w:p>
                  <w:pPr>
                    <w:pStyle w:val="2"/>
                    <w:ind w:left="0" w:leftChars="0" w:firstLine="0" w:firstLineChars="0"/>
                    <w:jc w:val="center"/>
                    <w:rPr>
                      <w:szCs w:val="21"/>
                    </w:rPr>
                  </w:pPr>
                  <w:r>
                    <w:rPr>
                      <w:szCs w:val="21"/>
                    </w:rPr>
                    <w:t>/</w:t>
                  </w:r>
                </w:p>
              </w:tc>
              <w:tc>
                <w:tcPr>
                  <w:tcW w:w="1020" w:type="pct"/>
                  <w:vAlign w:val="center"/>
                </w:tcPr>
                <w:p>
                  <w:pPr>
                    <w:pStyle w:val="2"/>
                    <w:ind w:left="0" w:leftChars="0" w:firstLine="0" w:firstLineChars="0"/>
                    <w:jc w:val="center"/>
                    <w:rPr>
                      <w:szCs w:val="21"/>
                    </w:rPr>
                  </w:pPr>
                  <w:r>
                    <w:rPr>
                      <w:rFonts w:eastAsiaTheme="minorEastAsia"/>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Align w:val="center"/>
                </w:tcPr>
                <w:p>
                  <w:pPr>
                    <w:pStyle w:val="2"/>
                    <w:ind w:left="0" w:leftChars="0" w:firstLine="0" w:firstLineChars="0"/>
                    <w:jc w:val="center"/>
                    <w:rPr>
                      <w:szCs w:val="21"/>
                    </w:rPr>
                  </w:pPr>
                  <w:r>
                    <w:rPr>
                      <w:szCs w:val="21"/>
                    </w:rPr>
                    <w:t>3</w:t>
                  </w:r>
                </w:p>
              </w:tc>
              <w:tc>
                <w:tcPr>
                  <w:tcW w:w="1403" w:type="pct"/>
                  <w:vAlign w:val="center"/>
                </w:tcPr>
                <w:p>
                  <w:pPr>
                    <w:pStyle w:val="2"/>
                    <w:ind w:left="0" w:leftChars="0" w:firstLine="0" w:firstLineChars="0"/>
                    <w:jc w:val="center"/>
                    <w:rPr>
                      <w:bCs/>
                      <w:szCs w:val="21"/>
                    </w:rPr>
                  </w:pPr>
                  <w:r>
                    <w:rPr>
                      <w:rFonts w:eastAsiaTheme="minorEastAsia"/>
                      <w:bCs/>
                      <w:szCs w:val="21"/>
                    </w:rPr>
                    <w:t>NOx</w:t>
                  </w:r>
                </w:p>
              </w:tc>
              <w:tc>
                <w:tcPr>
                  <w:tcW w:w="1020" w:type="pct"/>
                  <w:vAlign w:val="center"/>
                </w:tcPr>
                <w:p>
                  <w:pPr>
                    <w:pStyle w:val="2"/>
                    <w:ind w:left="0" w:leftChars="0" w:firstLine="0" w:firstLineChars="0"/>
                    <w:jc w:val="center"/>
                    <w:rPr>
                      <w:szCs w:val="21"/>
                    </w:rPr>
                  </w:pPr>
                  <w:r>
                    <w:rPr>
                      <w:rFonts w:eastAsiaTheme="minorEastAsia"/>
                      <w:szCs w:val="21"/>
                    </w:rPr>
                    <w:t>0.42</w:t>
                  </w:r>
                </w:p>
              </w:tc>
              <w:tc>
                <w:tcPr>
                  <w:tcW w:w="1019" w:type="pct"/>
                  <w:vAlign w:val="center"/>
                </w:tcPr>
                <w:p>
                  <w:pPr>
                    <w:pStyle w:val="2"/>
                    <w:ind w:left="0" w:leftChars="0" w:firstLine="0" w:firstLineChars="0"/>
                    <w:jc w:val="center"/>
                    <w:rPr>
                      <w:szCs w:val="21"/>
                    </w:rPr>
                  </w:pPr>
                  <w:r>
                    <w:rPr>
                      <w:szCs w:val="21"/>
                    </w:rPr>
                    <w:t>/</w:t>
                  </w:r>
                </w:p>
              </w:tc>
              <w:tc>
                <w:tcPr>
                  <w:tcW w:w="1020" w:type="pct"/>
                  <w:vAlign w:val="center"/>
                </w:tcPr>
                <w:p>
                  <w:pPr>
                    <w:pStyle w:val="2"/>
                    <w:ind w:left="0" w:leftChars="0" w:firstLine="0" w:firstLineChars="0"/>
                    <w:jc w:val="center"/>
                    <w:rPr>
                      <w:szCs w:val="21"/>
                    </w:rPr>
                  </w:pPr>
                  <w:r>
                    <w:rPr>
                      <w:rFonts w:eastAsiaTheme="minorEastAsia"/>
                      <w:szCs w:val="21"/>
                    </w:rPr>
                    <w:t>0.42</w:t>
                  </w:r>
                </w:p>
              </w:tc>
            </w:tr>
          </w:tbl>
          <w:p>
            <w:pPr>
              <w:pStyle w:val="104"/>
              <w:spacing w:before="120" w:beforeLines="50" w:line="360" w:lineRule="auto"/>
              <w:ind w:firstLine="480" w:firstLineChars="200"/>
              <w:rPr>
                <w:b/>
                <w:bCs/>
                <w:spacing w:val="0"/>
                <w:sz w:val="24"/>
              </w:rPr>
            </w:pPr>
            <w:r>
              <w:rPr>
                <w:rFonts w:eastAsia="TimesNewRomanPS-BoldMT"/>
                <w:b/>
                <w:bCs/>
                <w:spacing w:val="0"/>
                <w:sz w:val="24"/>
                <w:szCs w:val="24"/>
              </w:rPr>
              <w:t>1.5</w:t>
            </w:r>
            <w:r>
              <w:rPr>
                <w:b/>
                <w:bCs/>
                <w:sz w:val="24"/>
                <w:szCs w:val="24"/>
              </w:rPr>
              <w:t>生产设施</w:t>
            </w:r>
            <w:r>
              <w:rPr>
                <w:b/>
                <w:bCs/>
                <w:sz w:val="24"/>
                <w:szCs w:val="24"/>
                <w:lang w:bidi="ar"/>
              </w:rPr>
              <w:t>非正常情况分析</w:t>
            </w:r>
          </w:p>
          <w:p>
            <w:pPr>
              <w:autoSpaceDE w:val="0"/>
              <w:autoSpaceDN w:val="0"/>
              <w:spacing w:line="360" w:lineRule="auto"/>
              <w:ind w:firstLine="480" w:firstLineChars="200"/>
              <w:rPr>
                <w:sz w:val="24"/>
              </w:rPr>
            </w:pPr>
            <w:r>
              <w:rPr>
                <w:kern w:val="0"/>
                <w:sz w:val="24"/>
              </w:rPr>
              <w:t>根据工程分析，在事故状态下，主要为废气处理设施发生故障不能正常运行的情况下，根据建设单位提供资料，废气处理设施发生后故障10分钟内，生产线设备能全部</w:t>
            </w:r>
            <w:r>
              <w:rPr>
                <w:sz w:val="24"/>
              </w:rPr>
              <w:t>停机停止生产。废</w:t>
            </w:r>
            <w:r>
              <w:rPr>
                <w:kern w:val="0"/>
                <w:sz w:val="24"/>
              </w:rPr>
              <w:t>气直接排入大气环境会对大气环境产生一定的影响。非正常情况下，</w:t>
            </w:r>
            <w:r>
              <w:rPr>
                <w:sz w:val="24"/>
              </w:rPr>
              <w:t>本项目10分钟内，颗粒物产生情况见下表。</w:t>
            </w:r>
          </w:p>
          <w:p>
            <w:pPr>
              <w:autoSpaceDE w:val="0"/>
              <w:autoSpaceDN w:val="0"/>
              <w:spacing w:line="276" w:lineRule="auto"/>
              <w:jc w:val="center"/>
              <w:rPr>
                <w:b/>
                <w:bCs/>
                <w:kern w:val="0"/>
                <w:sz w:val="24"/>
              </w:rPr>
            </w:pPr>
            <w:r>
              <w:rPr>
                <w:b/>
                <w:bCs/>
                <w:kern w:val="0"/>
                <w:sz w:val="24"/>
              </w:rPr>
              <w:t>表4-5  非正常工况下废气排放情况及采取措施一览表</w:t>
            </w:r>
          </w:p>
          <w:tbl>
            <w:tblPr>
              <w:tblStyle w:val="26"/>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684"/>
              <w:gridCol w:w="478"/>
              <w:gridCol w:w="721"/>
              <w:gridCol w:w="1137"/>
              <w:gridCol w:w="1313"/>
              <w:gridCol w:w="945"/>
              <w:gridCol w:w="171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 w:type="dxa"/>
                  <w:vAlign w:val="center"/>
                </w:tcPr>
                <w:p>
                  <w:pPr>
                    <w:autoSpaceDE w:val="0"/>
                    <w:autoSpaceDN w:val="0"/>
                    <w:spacing w:line="280" w:lineRule="exact"/>
                    <w:jc w:val="center"/>
                    <w:rPr>
                      <w:b/>
                      <w:bCs/>
                      <w:kern w:val="0"/>
                      <w:szCs w:val="21"/>
                    </w:rPr>
                  </w:pPr>
                  <w:r>
                    <w:rPr>
                      <w:b/>
                      <w:bCs/>
                      <w:kern w:val="0"/>
                      <w:szCs w:val="21"/>
                    </w:rPr>
                    <w:t>非正常工况</w:t>
                  </w:r>
                </w:p>
              </w:tc>
              <w:tc>
                <w:tcPr>
                  <w:tcW w:w="1162" w:type="dxa"/>
                  <w:gridSpan w:val="2"/>
                  <w:vAlign w:val="center"/>
                </w:tcPr>
                <w:p>
                  <w:pPr>
                    <w:autoSpaceDE w:val="0"/>
                    <w:autoSpaceDN w:val="0"/>
                    <w:spacing w:line="280" w:lineRule="exact"/>
                    <w:jc w:val="center"/>
                    <w:rPr>
                      <w:b/>
                      <w:bCs/>
                      <w:kern w:val="0"/>
                      <w:szCs w:val="21"/>
                    </w:rPr>
                  </w:pPr>
                  <w:r>
                    <w:rPr>
                      <w:b/>
                      <w:bCs/>
                      <w:kern w:val="0"/>
                      <w:szCs w:val="21"/>
                    </w:rPr>
                    <w:t>污染物</w:t>
                  </w:r>
                </w:p>
              </w:tc>
              <w:tc>
                <w:tcPr>
                  <w:tcW w:w="721" w:type="dxa"/>
                  <w:vAlign w:val="center"/>
                </w:tcPr>
                <w:p>
                  <w:pPr>
                    <w:autoSpaceDE w:val="0"/>
                    <w:autoSpaceDN w:val="0"/>
                    <w:spacing w:line="280" w:lineRule="exact"/>
                    <w:jc w:val="center"/>
                    <w:rPr>
                      <w:b/>
                      <w:bCs/>
                      <w:kern w:val="0"/>
                      <w:szCs w:val="21"/>
                    </w:rPr>
                  </w:pPr>
                  <w:r>
                    <w:rPr>
                      <w:b/>
                      <w:bCs/>
                      <w:kern w:val="0"/>
                      <w:szCs w:val="21"/>
                    </w:rPr>
                    <w:t>排放形式</w:t>
                  </w:r>
                </w:p>
              </w:tc>
              <w:tc>
                <w:tcPr>
                  <w:tcW w:w="1137" w:type="dxa"/>
                  <w:vAlign w:val="center"/>
                </w:tcPr>
                <w:p>
                  <w:pPr>
                    <w:autoSpaceDE w:val="0"/>
                    <w:autoSpaceDN w:val="0"/>
                    <w:spacing w:line="280" w:lineRule="exact"/>
                    <w:jc w:val="center"/>
                    <w:rPr>
                      <w:b/>
                      <w:bCs/>
                      <w:kern w:val="0"/>
                      <w:szCs w:val="21"/>
                    </w:rPr>
                  </w:pPr>
                  <w:r>
                    <w:rPr>
                      <w:b/>
                      <w:bCs/>
                      <w:kern w:val="0"/>
                      <w:szCs w:val="21"/>
                    </w:rPr>
                    <w:t>持续时间</w:t>
                  </w:r>
                </w:p>
              </w:tc>
              <w:tc>
                <w:tcPr>
                  <w:tcW w:w="1313" w:type="dxa"/>
                  <w:vAlign w:val="center"/>
                </w:tcPr>
                <w:p>
                  <w:pPr>
                    <w:autoSpaceDE w:val="0"/>
                    <w:autoSpaceDN w:val="0"/>
                    <w:spacing w:line="280" w:lineRule="exact"/>
                    <w:jc w:val="center"/>
                    <w:rPr>
                      <w:b/>
                      <w:bCs/>
                      <w:kern w:val="0"/>
                      <w:szCs w:val="21"/>
                    </w:rPr>
                  </w:pPr>
                  <w:r>
                    <w:rPr>
                      <w:b/>
                      <w:bCs/>
                      <w:kern w:val="0"/>
                      <w:szCs w:val="21"/>
                    </w:rPr>
                    <w:t>排放速率（</w:t>
                  </w:r>
                  <w:r>
                    <w:rPr>
                      <w:b/>
                      <w:bCs/>
                      <w:szCs w:val="21"/>
                    </w:rPr>
                    <w:t>kg/min</w:t>
                  </w:r>
                  <w:r>
                    <w:rPr>
                      <w:b/>
                      <w:bCs/>
                      <w:kern w:val="0"/>
                      <w:szCs w:val="21"/>
                    </w:rPr>
                    <w:t>）</w:t>
                  </w:r>
                </w:p>
              </w:tc>
              <w:tc>
                <w:tcPr>
                  <w:tcW w:w="945" w:type="dxa"/>
                  <w:vAlign w:val="center"/>
                </w:tcPr>
                <w:p>
                  <w:pPr>
                    <w:autoSpaceDE w:val="0"/>
                    <w:autoSpaceDN w:val="0"/>
                    <w:spacing w:line="280" w:lineRule="exact"/>
                    <w:jc w:val="center"/>
                    <w:rPr>
                      <w:b/>
                      <w:bCs/>
                      <w:kern w:val="0"/>
                      <w:szCs w:val="21"/>
                    </w:rPr>
                  </w:pPr>
                  <w:r>
                    <w:rPr>
                      <w:b/>
                      <w:bCs/>
                      <w:kern w:val="0"/>
                      <w:szCs w:val="21"/>
                    </w:rPr>
                    <w:t>排放量（</w:t>
                  </w:r>
                  <w:r>
                    <w:rPr>
                      <w:b/>
                      <w:bCs/>
                      <w:szCs w:val="21"/>
                    </w:rPr>
                    <w:t>kg</w:t>
                  </w:r>
                  <w:r>
                    <w:rPr>
                      <w:b/>
                      <w:bCs/>
                      <w:kern w:val="0"/>
                      <w:szCs w:val="21"/>
                    </w:rPr>
                    <w:t>）</w:t>
                  </w:r>
                </w:p>
              </w:tc>
              <w:tc>
                <w:tcPr>
                  <w:tcW w:w="1714" w:type="dxa"/>
                  <w:vAlign w:val="center"/>
                </w:tcPr>
                <w:p>
                  <w:pPr>
                    <w:autoSpaceDE w:val="0"/>
                    <w:autoSpaceDN w:val="0"/>
                    <w:spacing w:line="280" w:lineRule="exact"/>
                    <w:jc w:val="center"/>
                    <w:rPr>
                      <w:b/>
                      <w:bCs/>
                      <w:kern w:val="0"/>
                      <w:szCs w:val="21"/>
                    </w:rPr>
                  </w:pPr>
                  <w:r>
                    <w:rPr>
                      <w:b/>
                      <w:bCs/>
                      <w:kern w:val="0"/>
                      <w:szCs w:val="21"/>
                    </w:rPr>
                    <w:t>采取措施</w:t>
                  </w:r>
                </w:p>
              </w:tc>
              <w:tc>
                <w:tcPr>
                  <w:tcW w:w="858" w:type="dxa"/>
                  <w:vAlign w:val="center"/>
                </w:tcPr>
                <w:p>
                  <w:pPr>
                    <w:autoSpaceDE w:val="0"/>
                    <w:autoSpaceDN w:val="0"/>
                    <w:spacing w:line="280" w:lineRule="exact"/>
                    <w:jc w:val="center"/>
                    <w:rPr>
                      <w:b/>
                      <w:bCs/>
                      <w:kern w:val="0"/>
                      <w:szCs w:val="21"/>
                    </w:rPr>
                  </w:pPr>
                  <w:r>
                    <w:rPr>
                      <w:b/>
                      <w:bCs/>
                      <w:kern w:val="0"/>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pPr>
                    <w:autoSpaceDE w:val="0"/>
                    <w:autoSpaceDN w:val="0"/>
                    <w:spacing w:line="280" w:lineRule="exact"/>
                    <w:jc w:val="center"/>
                    <w:rPr>
                      <w:kern w:val="0"/>
                      <w:szCs w:val="21"/>
                    </w:rPr>
                  </w:pPr>
                  <w:r>
                    <w:rPr>
                      <w:kern w:val="0"/>
                      <w:szCs w:val="21"/>
                    </w:rPr>
                    <w:t>废气处理设施发生故障</w:t>
                  </w:r>
                </w:p>
              </w:tc>
              <w:tc>
                <w:tcPr>
                  <w:tcW w:w="684" w:type="dxa"/>
                  <w:vAlign w:val="center"/>
                </w:tcPr>
                <w:p>
                  <w:pPr>
                    <w:autoSpaceDE w:val="0"/>
                    <w:autoSpaceDN w:val="0"/>
                    <w:spacing w:line="280" w:lineRule="exact"/>
                    <w:jc w:val="center"/>
                    <w:rPr>
                      <w:kern w:val="0"/>
                      <w:szCs w:val="21"/>
                    </w:rPr>
                  </w:pPr>
                  <w:r>
                    <w:rPr>
                      <w:szCs w:val="21"/>
                    </w:rPr>
                    <w:t>粉仓</w:t>
                  </w:r>
                  <w:r>
                    <w:rPr>
                      <w:rFonts w:hint="eastAsia"/>
                      <w:szCs w:val="21"/>
                    </w:rPr>
                    <w:t>，</w:t>
                  </w:r>
                  <w:r>
                    <w:rPr>
                      <w:szCs w:val="21"/>
                    </w:rPr>
                    <w:t>搅拌</w:t>
                  </w:r>
                  <w:r>
                    <w:rPr>
                      <w:rFonts w:hint="eastAsia"/>
                      <w:szCs w:val="21"/>
                    </w:rPr>
                    <w:t>等</w:t>
                  </w:r>
                  <w:r>
                    <w:rPr>
                      <w:szCs w:val="21"/>
                    </w:rPr>
                    <w:t>工序</w:t>
                  </w:r>
                  <w:r>
                    <w:rPr>
                      <w:kern w:val="0"/>
                      <w:szCs w:val="21"/>
                    </w:rPr>
                    <w:t xml:space="preserve"> </w:t>
                  </w:r>
                </w:p>
              </w:tc>
              <w:tc>
                <w:tcPr>
                  <w:tcW w:w="478" w:type="dxa"/>
                  <w:vAlign w:val="center"/>
                </w:tcPr>
                <w:p>
                  <w:pPr>
                    <w:autoSpaceDE w:val="0"/>
                    <w:autoSpaceDN w:val="0"/>
                    <w:spacing w:line="280" w:lineRule="exact"/>
                    <w:jc w:val="center"/>
                    <w:rPr>
                      <w:kern w:val="0"/>
                      <w:szCs w:val="21"/>
                    </w:rPr>
                  </w:pPr>
                  <w:r>
                    <w:rPr>
                      <w:szCs w:val="21"/>
                    </w:rPr>
                    <w:t>颗粒物</w:t>
                  </w:r>
                </w:p>
              </w:tc>
              <w:tc>
                <w:tcPr>
                  <w:tcW w:w="721" w:type="dxa"/>
                  <w:vAlign w:val="center"/>
                </w:tcPr>
                <w:p>
                  <w:pPr>
                    <w:autoSpaceDE w:val="0"/>
                    <w:autoSpaceDN w:val="0"/>
                    <w:spacing w:line="280" w:lineRule="exact"/>
                    <w:jc w:val="center"/>
                    <w:rPr>
                      <w:kern w:val="0"/>
                      <w:szCs w:val="21"/>
                    </w:rPr>
                  </w:pPr>
                  <w:r>
                    <w:rPr>
                      <w:kern w:val="0"/>
                      <w:szCs w:val="21"/>
                    </w:rPr>
                    <w:t>无组织</w:t>
                  </w:r>
                </w:p>
              </w:tc>
              <w:tc>
                <w:tcPr>
                  <w:tcW w:w="1137" w:type="dxa"/>
                  <w:vAlign w:val="center"/>
                </w:tcPr>
                <w:p>
                  <w:pPr>
                    <w:autoSpaceDE w:val="0"/>
                    <w:autoSpaceDN w:val="0"/>
                    <w:spacing w:line="280" w:lineRule="exact"/>
                    <w:jc w:val="center"/>
                    <w:rPr>
                      <w:kern w:val="0"/>
                      <w:szCs w:val="21"/>
                    </w:rPr>
                  </w:pPr>
                  <w:r>
                    <w:rPr>
                      <w:kern w:val="0"/>
                      <w:szCs w:val="21"/>
                    </w:rPr>
                    <w:t>10</w:t>
                  </w:r>
                  <w:r>
                    <w:rPr>
                      <w:rFonts w:hint="eastAsia"/>
                      <w:kern w:val="0"/>
                      <w:szCs w:val="21"/>
                    </w:rPr>
                    <w:t>分钟</w:t>
                  </w:r>
                  <w:r>
                    <w:rPr>
                      <w:kern w:val="0"/>
                      <w:szCs w:val="21"/>
                    </w:rPr>
                    <w:t>/次</w:t>
                  </w:r>
                </w:p>
              </w:tc>
              <w:tc>
                <w:tcPr>
                  <w:tcW w:w="1313" w:type="dxa"/>
                  <w:vAlign w:val="center"/>
                </w:tcPr>
                <w:p>
                  <w:pPr>
                    <w:autoSpaceDE w:val="0"/>
                    <w:autoSpaceDN w:val="0"/>
                    <w:spacing w:line="280" w:lineRule="exact"/>
                    <w:jc w:val="center"/>
                    <w:rPr>
                      <w:szCs w:val="21"/>
                    </w:rPr>
                  </w:pPr>
                  <w:r>
                    <w:rPr>
                      <w:kern w:val="0"/>
                      <w:szCs w:val="21"/>
                    </w:rPr>
                    <w:t>0.2282</w:t>
                  </w:r>
                </w:p>
              </w:tc>
              <w:tc>
                <w:tcPr>
                  <w:tcW w:w="945" w:type="dxa"/>
                  <w:vAlign w:val="center"/>
                </w:tcPr>
                <w:p>
                  <w:pPr>
                    <w:autoSpaceDE w:val="0"/>
                    <w:autoSpaceDN w:val="0"/>
                    <w:spacing w:line="280" w:lineRule="exact"/>
                    <w:jc w:val="center"/>
                    <w:rPr>
                      <w:kern w:val="0"/>
                      <w:szCs w:val="21"/>
                    </w:rPr>
                  </w:pPr>
                  <w:r>
                    <w:rPr>
                      <w:kern w:val="0"/>
                      <w:szCs w:val="21"/>
                    </w:rPr>
                    <w:t>6.8450</w:t>
                  </w:r>
                </w:p>
              </w:tc>
              <w:tc>
                <w:tcPr>
                  <w:tcW w:w="1714" w:type="dxa"/>
                  <w:vAlign w:val="center"/>
                </w:tcPr>
                <w:p>
                  <w:pPr>
                    <w:autoSpaceDE w:val="0"/>
                    <w:autoSpaceDN w:val="0"/>
                    <w:spacing w:line="280" w:lineRule="exact"/>
                    <w:jc w:val="center"/>
                    <w:rPr>
                      <w:kern w:val="0"/>
                      <w:szCs w:val="21"/>
                    </w:rPr>
                  </w:pPr>
                  <w:r>
                    <w:rPr>
                      <w:kern w:val="0"/>
                      <w:szCs w:val="21"/>
                    </w:rPr>
                    <w:t>当发现环保设施故障时，立即停机生产，及时检查维修废气处理设施</w:t>
                  </w:r>
                </w:p>
              </w:tc>
              <w:tc>
                <w:tcPr>
                  <w:tcW w:w="858" w:type="dxa"/>
                  <w:vAlign w:val="center"/>
                </w:tcPr>
                <w:p>
                  <w:pPr>
                    <w:autoSpaceDE w:val="0"/>
                    <w:autoSpaceDN w:val="0"/>
                    <w:spacing w:line="280" w:lineRule="exact"/>
                    <w:jc w:val="center"/>
                    <w:rPr>
                      <w:kern w:val="0"/>
                      <w:szCs w:val="21"/>
                    </w:rPr>
                  </w:pPr>
                  <w:r>
                    <w:rPr>
                      <w:kern w:val="0"/>
                      <w:szCs w:val="21"/>
                    </w:rPr>
                    <w:t>3次/</w:t>
                  </w:r>
                  <w:r>
                    <w:rPr>
                      <w:rFonts w:hint="eastAsia"/>
                      <w:kern w:val="0"/>
                      <w:szCs w:val="21"/>
                    </w:rPr>
                    <w:t>年</w:t>
                  </w:r>
                </w:p>
              </w:tc>
            </w:tr>
          </w:tbl>
          <w:p>
            <w:pPr>
              <w:autoSpaceDE w:val="0"/>
              <w:autoSpaceDN w:val="0"/>
              <w:spacing w:before="120" w:beforeLines="50" w:line="360" w:lineRule="auto"/>
              <w:ind w:firstLine="480" w:firstLineChars="200"/>
              <w:rPr>
                <w:b/>
                <w:bCs/>
                <w:sz w:val="24"/>
              </w:rPr>
            </w:pPr>
            <w:r>
              <w:rPr>
                <w:kern w:val="0"/>
                <w:sz w:val="24"/>
              </w:rPr>
              <w:t>为避免项目在生产过程中有不达标情况或不正常工况，造成废气直接排入大气环境，应采取以下措施：</w:t>
            </w:r>
            <w:r>
              <w:rPr>
                <w:rFonts w:hint="eastAsia" w:ascii="宋体" w:hAnsi="宋体" w:cs="宋体"/>
                <w:kern w:val="0"/>
                <w:sz w:val="24"/>
              </w:rPr>
              <w:t>①</w:t>
            </w:r>
            <w:r>
              <w:rPr>
                <w:kern w:val="0"/>
                <w:sz w:val="24"/>
              </w:rPr>
              <w:t>加强各类废气治理设备及管道阀门等的维护，发现问题及时解决；</w:t>
            </w:r>
            <w:r>
              <w:rPr>
                <w:rFonts w:hint="eastAsia" w:ascii="宋体" w:hAnsi="宋体" w:cs="宋体"/>
                <w:kern w:val="0"/>
                <w:sz w:val="24"/>
              </w:rPr>
              <w:t>②</w:t>
            </w:r>
            <w:r>
              <w:rPr>
                <w:kern w:val="0"/>
                <w:sz w:val="24"/>
              </w:rPr>
              <w:t>事故状态时暂停生产，封闭管道设备，待环保设施恢复后才能生产</w:t>
            </w:r>
            <w:r>
              <w:rPr>
                <w:kern w:val="0"/>
                <w:sz w:val="24"/>
                <w:lang w:bidi="ar"/>
              </w:rPr>
              <w:t>。</w:t>
            </w:r>
          </w:p>
          <w:p>
            <w:pPr>
              <w:pStyle w:val="61"/>
              <w:spacing w:before="120" w:beforeLines="50" w:line="360" w:lineRule="auto"/>
              <w:ind w:firstLine="482" w:firstLineChars="200"/>
              <w:rPr>
                <w:rFonts w:eastAsiaTheme="minorEastAsia"/>
              </w:rPr>
            </w:pPr>
            <w:r>
              <w:rPr>
                <w:rFonts w:eastAsiaTheme="minorEastAsia"/>
              </w:rPr>
              <w:t>表4-6 排放口基本情况一览表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132"/>
              <w:gridCol w:w="960"/>
              <w:gridCol w:w="1683"/>
              <w:gridCol w:w="1044"/>
              <w:gridCol w:w="748"/>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2" w:type="pct"/>
                  <w:vAlign w:val="center"/>
                </w:tcPr>
                <w:p>
                  <w:pPr>
                    <w:rPr>
                      <w:b/>
                      <w:bCs/>
                    </w:rPr>
                  </w:pPr>
                  <w:r>
                    <w:rPr>
                      <w:b/>
                      <w:bCs/>
                    </w:rPr>
                    <w:t>编号</w:t>
                  </w:r>
                </w:p>
              </w:tc>
              <w:tc>
                <w:tcPr>
                  <w:tcW w:w="646" w:type="pct"/>
                  <w:vAlign w:val="center"/>
                </w:tcPr>
                <w:p>
                  <w:pPr>
                    <w:rPr>
                      <w:b/>
                      <w:bCs/>
                    </w:rPr>
                  </w:pPr>
                  <w:r>
                    <w:rPr>
                      <w:b/>
                      <w:bCs/>
                    </w:rPr>
                    <w:t>名称</w:t>
                  </w:r>
                </w:p>
              </w:tc>
              <w:tc>
                <w:tcPr>
                  <w:tcW w:w="548" w:type="pct"/>
                  <w:vAlign w:val="center"/>
                </w:tcPr>
                <w:p>
                  <w:pPr>
                    <w:rPr>
                      <w:b/>
                      <w:bCs/>
                    </w:rPr>
                  </w:pPr>
                  <w:r>
                    <w:rPr>
                      <w:b/>
                      <w:bCs/>
                    </w:rPr>
                    <w:t>高度（m）</w:t>
                  </w:r>
                </w:p>
              </w:tc>
              <w:tc>
                <w:tcPr>
                  <w:tcW w:w="961" w:type="pct"/>
                  <w:vAlign w:val="center"/>
                </w:tcPr>
                <w:p>
                  <w:pPr>
                    <w:rPr>
                      <w:b/>
                      <w:bCs/>
                    </w:rPr>
                  </w:pPr>
                  <w:r>
                    <w:rPr>
                      <w:b/>
                      <w:bCs/>
                    </w:rPr>
                    <w:t>排气筒内径（m）</w:t>
                  </w:r>
                </w:p>
              </w:tc>
              <w:tc>
                <w:tcPr>
                  <w:tcW w:w="596" w:type="pct"/>
                  <w:vAlign w:val="center"/>
                </w:tcPr>
                <w:p>
                  <w:pPr>
                    <w:rPr>
                      <w:b/>
                      <w:bCs/>
                    </w:rPr>
                  </w:pPr>
                  <w:r>
                    <w:rPr>
                      <w:b/>
                      <w:bCs/>
                    </w:rPr>
                    <w:t>温度（℃）</w:t>
                  </w:r>
                </w:p>
              </w:tc>
              <w:tc>
                <w:tcPr>
                  <w:tcW w:w="427" w:type="pct"/>
                  <w:vAlign w:val="center"/>
                </w:tcPr>
                <w:p>
                  <w:pPr>
                    <w:rPr>
                      <w:b/>
                      <w:bCs/>
                    </w:rPr>
                  </w:pPr>
                  <w:r>
                    <w:rPr>
                      <w:b/>
                      <w:bCs/>
                    </w:rPr>
                    <w:t>类型</w:t>
                  </w:r>
                </w:p>
              </w:tc>
              <w:tc>
                <w:tcPr>
                  <w:tcW w:w="1320" w:type="pct"/>
                  <w:vAlign w:val="center"/>
                </w:tcPr>
                <w:p>
                  <w:pPr>
                    <w:rPr>
                      <w:b/>
                      <w:bCs/>
                    </w:rPr>
                  </w:pPr>
                  <w:r>
                    <w:rPr>
                      <w:b/>
                      <w:bCs/>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2" w:type="pct"/>
                  <w:vAlign w:val="center"/>
                </w:tcPr>
                <w:p>
                  <w:pPr>
                    <w:jc w:val="center"/>
                  </w:pPr>
                  <w:r>
                    <w:t>DA001</w:t>
                  </w:r>
                </w:p>
              </w:tc>
              <w:tc>
                <w:tcPr>
                  <w:tcW w:w="646" w:type="pct"/>
                  <w:vAlign w:val="center"/>
                </w:tcPr>
                <w:p>
                  <w:pPr>
                    <w:jc w:val="center"/>
                  </w:pPr>
                  <w:r>
                    <w:t>布袋除尘器排气筒</w:t>
                  </w:r>
                </w:p>
              </w:tc>
              <w:tc>
                <w:tcPr>
                  <w:tcW w:w="548" w:type="pct"/>
                  <w:vAlign w:val="center"/>
                </w:tcPr>
                <w:p>
                  <w:pPr>
                    <w:jc w:val="center"/>
                  </w:pPr>
                  <w:r>
                    <w:t>15</w:t>
                  </w:r>
                </w:p>
              </w:tc>
              <w:tc>
                <w:tcPr>
                  <w:tcW w:w="961" w:type="pct"/>
                  <w:vAlign w:val="center"/>
                </w:tcPr>
                <w:p>
                  <w:pPr>
                    <w:jc w:val="center"/>
                  </w:pPr>
                  <w:r>
                    <w:t>0.4</w:t>
                  </w:r>
                </w:p>
              </w:tc>
              <w:tc>
                <w:tcPr>
                  <w:tcW w:w="596" w:type="pct"/>
                  <w:vAlign w:val="center"/>
                </w:tcPr>
                <w:p>
                  <w:pPr>
                    <w:jc w:val="center"/>
                  </w:pPr>
                  <w:r>
                    <w:t>20</w:t>
                  </w:r>
                </w:p>
              </w:tc>
              <w:tc>
                <w:tcPr>
                  <w:tcW w:w="427" w:type="pct"/>
                  <w:vAlign w:val="center"/>
                </w:tcPr>
                <w:p>
                  <w:pPr>
                    <w:jc w:val="center"/>
                  </w:pPr>
                  <w:r>
                    <w:t>点源</w:t>
                  </w:r>
                </w:p>
              </w:tc>
              <w:tc>
                <w:tcPr>
                  <w:tcW w:w="1320" w:type="pct"/>
                  <w:vAlign w:val="center"/>
                </w:tcPr>
                <w:p>
                  <w:pPr>
                    <w:jc w:val="center"/>
                  </w:pPr>
                  <w:r>
                    <w:t>105°15′53.37724″E，</w:t>
                  </w:r>
                </w:p>
                <w:p>
                  <w:pPr>
                    <w:jc w:val="center"/>
                  </w:pPr>
                  <w:r>
                    <w:t>30°36′57.98851″N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2" w:type="pct"/>
                  <w:vAlign w:val="center"/>
                </w:tcPr>
                <w:p>
                  <w:pPr>
                    <w:jc w:val="center"/>
                  </w:pPr>
                  <w:r>
                    <w:t>DA002</w:t>
                  </w:r>
                </w:p>
              </w:tc>
              <w:tc>
                <w:tcPr>
                  <w:tcW w:w="646" w:type="pct"/>
                  <w:vAlign w:val="center"/>
                </w:tcPr>
                <w:p>
                  <w:pPr>
                    <w:jc w:val="center"/>
                  </w:pPr>
                  <w:r>
                    <w:t>锅炉排气筒</w:t>
                  </w:r>
                </w:p>
              </w:tc>
              <w:tc>
                <w:tcPr>
                  <w:tcW w:w="548" w:type="pct"/>
                  <w:vAlign w:val="center"/>
                </w:tcPr>
                <w:p>
                  <w:pPr>
                    <w:jc w:val="center"/>
                  </w:pPr>
                  <w:r>
                    <w:t>15</w:t>
                  </w:r>
                </w:p>
              </w:tc>
              <w:tc>
                <w:tcPr>
                  <w:tcW w:w="961" w:type="pct"/>
                  <w:vAlign w:val="center"/>
                </w:tcPr>
                <w:p>
                  <w:pPr>
                    <w:jc w:val="center"/>
                  </w:pPr>
                  <w:r>
                    <w:t>0.2</w:t>
                  </w:r>
                </w:p>
              </w:tc>
              <w:tc>
                <w:tcPr>
                  <w:tcW w:w="596" w:type="pct"/>
                  <w:vAlign w:val="center"/>
                </w:tcPr>
                <w:p>
                  <w:pPr>
                    <w:jc w:val="center"/>
                  </w:pPr>
                  <w:r>
                    <w:t>100</w:t>
                  </w:r>
                </w:p>
              </w:tc>
              <w:tc>
                <w:tcPr>
                  <w:tcW w:w="427" w:type="pct"/>
                  <w:vAlign w:val="center"/>
                </w:tcPr>
                <w:p>
                  <w:pPr>
                    <w:jc w:val="center"/>
                  </w:pPr>
                  <w:r>
                    <w:t>点源</w:t>
                  </w:r>
                </w:p>
              </w:tc>
              <w:tc>
                <w:tcPr>
                  <w:tcW w:w="1320" w:type="pct"/>
                  <w:vAlign w:val="center"/>
                </w:tcPr>
                <w:p>
                  <w:pPr>
                    <w:jc w:val="center"/>
                  </w:pPr>
                  <w:r>
                    <w:t>105°15′42.19323″E，</w:t>
                  </w:r>
                </w:p>
                <w:p>
                  <w:pPr>
                    <w:jc w:val="center"/>
                  </w:pPr>
                  <w:r>
                    <w:t>30°37′9.63023″N</w:t>
                  </w:r>
                </w:p>
              </w:tc>
            </w:tr>
          </w:tbl>
          <w:p>
            <w:pPr>
              <w:spacing w:before="120" w:beforeLines="50" w:line="360" w:lineRule="auto"/>
              <w:ind w:firstLine="482" w:firstLineChars="200"/>
              <w:rPr>
                <w:rFonts w:eastAsiaTheme="minorEastAsia"/>
                <w:b/>
                <w:bCs/>
                <w:sz w:val="24"/>
              </w:rPr>
            </w:pPr>
            <w:r>
              <w:rPr>
                <w:rFonts w:eastAsiaTheme="minorEastAsia"/>
                <w:b/>
                <w:bCs/>
                <w:sz w:val="24"/>
              </w:rPr>
              <w:t>1.6废气处理措施可行性分析</w:t>
            </w:r>
          </w:p>
          <w:p>
            <w:pPr>
              <w:spacing w:line="360" w:lineRule="auto"/>
              <w:ind w:firstLine="480" w:firstLineChars="200"/>
              <w:rPr>
                <w:rFonts w:eastAsiaTheme="minorEastAsia"/>
                <w:sz w:val="24"/>
              </w:rPr>
            </w:pPr>
            <w:r>
              <w:rPr>
                <w:rFonts w:eastAsiaTheme="minorEastAsia"/>
                <w:sz w:val="24"/>
              </w:rPr>
              <w:t>布袋除尘器的工作原理：布袋除尘器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布袋除尘器是目前常用的除尘效率高，运行可靠的除尘设备，除尘效率可达99.7%，属于</w:t>
            </w:r>
            <w:r>
              <w:rPr>
                <w:rFonts w:eastAsiaTheme="minorEastAsia"/>
                <w:kern w:val="0"/>
                <w:sz w:val="24"/>
              </w:rPr>
              <w:t>《排污许可证申请与核发技术规范陶瓷砖瓦行业》（HJ954-2018）中</w:t>
            </w:r>
            <w:r>
              <w:rPr>
                <w:rFonts w:eastAsiaTheme="minorEastAsia"/>
                <w:sz w:val="24"/>
              </w:rPr>
              <w:t>表29-砖瓦工业排污单位废气污染防治可行技术中的可行技术。</w:t>
            </w:r>
          </w:p>
          <w:p>
            <w:pPr>
              <w:pStyle w:val="2"/>
              <w:spacing w:after="0" w:line="360" w:lineRule="auto"/>
              <w:ind w:left="0" w:leftChars="0" w:firstLine="480"/>
              <w:rPr>
                <w:rFonts w:eastAsiaTheme="minorEastAsia"/>
                <w:sz w:val="24"/>
              </w:rPr>
            </w:pPr>
            <w:r>
              <w:rPr>
                <w:rFonts w:eastAsiaTheme="minorEastAsia"/>
                <w:sz w:val="24"/>
              </w:rPr>
              <w:t>项目粉料通过与相应料筒管道封闭直连，以压缩空气吹入形式进入相应料筒，筒仓与配料机之间采取密闭</w:t>
            </w:r>
            <w:r>
              <w:rPr>
                <w:rFonts w:hint="eastAsia" w:eastAsiaTheme="minorEastAsia"/>
                <w:sz w:val="24"/>
              </w:rPr>
              <w:t>螺旋</w:t>
            </w:r>
            <w:r>
              <w:rPr>
                <w:rFonts w:eastAsiaTheme="minorEastAsia"/>
                <w:sz w:val="24"/>
              </w:rPr>
              <w:t>输送</w:t>
            </w:r>
            <w:r>
              <w:rPr>
                <w:rFonts w:hint="eastAsia" w:eastAsiaTheme="minorEastAsia"/>
                <w:sz w:val="24"/>
              </w:rPr>
              <w:t>机</w:t>
            </w:r>
            <w:r>
              <w:rPr>
                <w:rFonts w:eastAsiaTheme="minorEastAsia"/>
                <w:sz w:val="24"/>
              </w:rPr>
              <w:t>带相连，配料机运行时为密闭状态，集气系统直接对粉料筒仓以及配料机进行粉尘收集，</w:t>
            </w:r>
            <w:r>
              <w:rPr>
                <w:rFonts w:hint="eastAsia" w:eastAsiaTheme="minorEastAsia"/>
                <w:sz w:val="24"/>
              </w:rPr>
              <w:t>破碎筛分搅拌在封闭车间的密闭设备内进行，</w:t>
            </w:r>
            <w:r>
              <w:rPr>
                <w:rFonts w:eastAsiaTheme="minorEastAsia"/>
                <w:sz w:val="24"/>
              </w:rPr>
              <w:t>收集效率可达98%。根据表4-2可知处理后的粉尘满足《四川省水泥工业大气污染物排放标准》（DB51/2864-2021）散装水泥中转站及水泥制品生产标准限值。</w:t>
            </w:r>
          </w:p>
          <w:p>
            <w:pPr>
              <w:spacing w:line="360" w:lineRule="auto"/>
              <w:ind w:firstLine="482" w:firstLineChars="200"/>
              <w:rPr>
                <w:rFonts w:eastAsiaTheme="minorEastAsia"/>
                <w:b/>
                <w:sz w:val="24"/>
              </w:rPr>
            </w:pPr>
            <w:r>
              <w:rPr>
                <w:rFonts w:eastAsiaTheme="minorEastAsia"/>
                <w:b/>
                <w:sz w:val="24"/>
              </w:rPr>
              <w:t>1.7废气监测要求</w:t>
            </w:r>
          </w:p>
          <w:p>
            <w:pPr>
              <w:spacing w:line="360" w:lineRule="auto"/>
              <w:ind w:firstLine="480" w:firstLineChars="200"/>
              <w:rPr>
                <w:rFonts w:eastAsiaTheme="minorEastAsia"/>
                <w:sz w:val="24"/>
              </w:rPr>
            </w:pPr>
            <w:r>
              <w:rPr>
                <w:rFonts w:eastAsiaTheme="minorEastAsia"/>
                <w:sz w:val="24"/>
              </w:rPr>
              <w:t>根据《排污单位自行监测技术指南总则》（HJ819-2017）和《排污单位自行监测技术指南 砖瓦工业》（HJ 1254—2022），</w:t>
            </w:r>
            <w:r>
              <w:rPr>
                <w:rFonts w:hint="eastAsia" w:eastAsiaTheme="minorEastAsia"/>
                <w:sz w:val="24"/>
              </w:rPr>
              <w:t>《</w:t>
            </w:r>
            <w:r>
              <w:fldChar w:fldCharType="begin"/>
            </w:r>
            <w:r>
              <w:instrText xml:space="preserve"> HYPERLINK "https://www.mee.gov.cn/ywgz/fgbz/bz/bzwb/shjbh/xgbzh/201705/W020170511330877890199.pdf" </w:instrText>
            </w:r>
            <w:r>
              <w:fldChar w:fldCharType="separate"/>
            </w:r>
            <w:r>
              <w:rPr>
                <w:rStyle w:val="29"/>
                <w:rFonts w:eastAsiaTheme="minorEastAsia"/>
                <w:color w:val="auto"/>
                <w:sz w:val="24"/>
                <w:u w:val="none"/>
              </w:rPr>
              <w:t>排污单位自行监测技术指南 火力发电及锅炉</w:t>
            </w:r>
            <w:r>
              <w:rPr>
                <w:rFonts w:hint="eastAsia" w:eastAsiaTheme="minorEastAsia"/>
                <w:sz w:val="24"/>
              </w:rPr>
              <w:t>》</w:t>
            </w:r>
            <w:r>
              <w:rPr>
                <w:rStyle w:val="29"/>
                <w:rFonts w:eastAsiaTheme="minorEastAsia"/>
                <w:color w:val="auto"/>
                <w:sz w:val="24"/>
                <w:u w:val="none"/>
              </w:rPr>
              <w:t>(HJ 820-2017)</w:t>
            </w:r>
            <w:r>
              <w:rPr>
                <w:rStyle w:val="29"/>
                <w:rFonts w:eastAsiaTheme="minorEastAsia"/>
                <w:color w:val="auto"/>
                <w:sz w:val="24"/>
                <w:u w:val="none"/>
              </w:rPr>
              <w:fldChar w:fldCharType="end"/>
            </w:r>
            <w:r>
              <w:rPr>
                <w:rFonts w:eastAsiaTheme="minorEastAsia"/>
                <w:sz w:val="24"/>
              </w:rPr>
              <w:t>等自行监测技术指南，确定本项目废气监测要求如下表。</w:t>
            </w:r>
          </w:p>
          <w:p>
            <w:pPr>
              <w:pStyle w:val="61"/>
              <w:spacing w:line="360" w:lineRule="auto"/>
              <w:rPr>
                <w:rFonts w:eastAsiaTheme="minorEastAsia"/>
              </w:rPr>
            </w:pPr>
            <w:r>
              <w:rPr>
                <w:rFonts w:eastAsiaTheme="minorEastAsia"/>
              </w:rPr>
              <w:t>表4-7 废气监测要求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134"/>
              <w:gridCol w:w="1275"/>
              <w:gridCol w:w="1690"/>
              <w:gridCol w:w="1275"/>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监测点位</w:t>
                  </w:r>
                </w:p>
              </w:tc>
              <w:tc>
                <w:tcPr>
                  <w:tcW w:w="647"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监测形式</w:t>
                  </w:r>
                </w:p>
              </w:tc>
              <w:tc>
                <w:tcPr>
                  <w:tcW w:w="728"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监测内容</w:t>
                  </w:r>
                </w:p>
              </w:tc>
              <w:tc>
                <w:tcPr>
                  <w:tcW w:w="965"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监测因子</w:t>
                  </w:r>
                </w:p>
              </w:tc>
              <w:tc>
                <w:tcPr>
                  <w:tcW w:w="728"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监测频次</w:t>
                  </w:r>
                </w:p>
              </w:tc>
              <w:tc>
                <w:tcPr>
                  <w:tcW w:w="1144" w:type="pct"/>
                  <w:vAlign w:val="center"/>
                </w:tcPr>
                <w:p>
                  <w:pPr>
                    <w:pStyle w:val="80"/>
                    <w:rPr>
                      <w:rFonts w:ascii="Times New Roman" w:hAnsi="Times New Roman" w:eastAsiaTheme="minorEastAsia"/>
                      <w:szCs w:val="21"/>
                    </w:rPr>
                  </w:pPr>
                  <w:r>
                    <w:rPr>
                      <w:rFonts w:hint="eastAsia" w:ascii="Times New Roman" w:hAnsi="Times New Roman" w:eastAsiaTheme="minor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Align w:val="center"/>
                </w:tcPr>
                <w:p>
                  <w:pPr>
                    <w:pStyle w:val="79"/>
                    <w:jc w:val="both"/>
                    <w:rPr>
                      <w:rFonts w:ascii="Times New Roman" w:hAnsi="Times New Roman" w:eastAsiaTheme="minorEastAsia"/>
                    </w:rPr>
                  </w:pPr>
                  <w:r>
                    <w:rPr>
                      <w:rFonts w:ascii="Times New Roman" w:hAnsi="Times New Roman" w:eastAsiaTheme="minorEastAsia"/>
                    </w:rPr>
                    <w:t>布袋除尘器排气筒（DA001）</w:t>
                  </w:r>
                </w:p>
              </w:tc>
              <w:tc>
                <w:tcPr>
                  <w:tcW w:w="647" w:type="pct"/>
                  <w:vAlign w:val="center"/>
                </w:tcPr>
                <w:p>
                  <w:pPr>
                    <w:pStyle w:val="79"/>
                    <w:jc w:val="both"/>
                    <w:rPr>
                      <w:rFonts w:ascii="Times New Roman" w:hAnsi="Times New Roman" w:eastAsiaTheme="minorEastAsia"/>
                    </w:rPr>
                  </w:pPr>
                  <w:r>
                    <w:rPr>
                      <w:rFonts w:ascii="Times New Roman" w:hAnsi="Times New Roman" w:eastAsiaTheme="minorEastAsia"/>
                    </w:rPr>
                    <w:t>有组织</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烟气流速、烟气温度、烟气压力</w:t>
                  </w:r>
                </w:p>
              </w:tc>
              <w:tc>
                <w:tcPr>
                  <w:tcW w:w="965" w:type="pct"/>
                  <w:vAlign w:val="center"/>
                </w:tcPr>
                <w:p>
                  <w:pPr>
                    <w:pStyle w:val="79"/>
                    <w:jc w:val="both"/>
                    <w:rPr>
                      <w:rFonts w:ascii="Times New Roman" w:hAnsi="Times New Roman" w:eastAsiaTheme="minorEastAsia"/>
                    </w:rPr>
                  </w:pPr>
                  <w:r>
                    <w:rPr>
                      <w:rFonts w:ascii="Times New Roman" w:hAnsi="Times New Roman" w:eastAsiaTheme="minorEastAsia"/>
                    </w:rPr>
                    <w:t>颗粒物</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1次/年</w:t>
                  </w:r>
                </w:p>
              </w:tc>
              <w:tc>
                <w:tcPr>
                  <w:tcW w:w="1144" w:type="pct"/>
                  <w:vMerge w:val="restart"/>
                  <w:vAlign w:val="center"/>
                </w:tcPr>
                <w:p>
                  <w:pPr>
                    <w:pStyle w:val="79"/>
                    <w:jc w:val="both"/>
                    <w:rPr>
                      <w:rFonts w:ascii="Times New Roman" w:hAnsi="Times New Roman" w:eastAsiaTheme="minorEastAsia"/>
                    </w:rPr>
                  </w:pPr>
                  <w:r>
                    <w:t>《四川省水泥工业大气污染物排放标准》（</w:t>
                  </w:r>
                  <w:r>
                    <w:rPr>
                      <w:rFonts w:ascii="Times New Roman" w:hAnsi="Times New Roman"/>
                    </w:rPr>
                    <w:t>DB51</w:t>
                  </w:r>
                  <w:r>
                    <w:t>/</w:t>
                  </w:r>
                  <w:r>
                    <w:rPr>
                      <w:rFonts w:ascii="Times New Roman" w:hAnsi="Times New Roman"/>
                    </w:rPr>
                    <w:t>2864</w:t>
                  </w:r>
                  <w:r>
                    <w:t>-</w:t>
                  </w:r>
                  <w:r>
                    <w:rPr>
                      <w:rFonts w:ascii="Times New Roman" w:hAnsi="Times New Roman"/>
                    </w:rPr>
                    <w:t>2021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Align w:val="center"/>
                </w:tcPr>
                <w:p>
                  <w:pPr>
                    <w:pStyle w:val="79"/>
                    <w:jc w:val="both"/>
                    <w:rPr>
                      <w:rFonts w:ascii="Times New Roman" w:hAnsi="Times New Roman" w:eastAsiaTheme="minorEastAsia"/>
                    </w:rPr>
                  </w:pPr>
                  <w:r>
                    <w:rPr>
                      <w:rFonts w:ascii="Times New Roman" w:hAnsi="Times New Roman" w:eastAsiaTheme="minorEastAsia"/>
                    </w:rPr>
                    <w:t>厂界</w:t>
                  </w:r>
                </w:p>
              </w:tc>
              <w:tc>
                <w:tcPr>
                  <w:tcW w:w="647" w:type="pct"/>
                  <w:vAlign w:val="center"/>
                </w:tcPr>
                <w:p>
                  <w:pPr>
                    <w:pStyle w:val="79"/>
                    <w:jc w:val="both"/>
                    <w:rPr>
                      <w:rFonts w:ascii="Times New Roman" w:hAnsi="Times New Roman" w:eastAsiaTheme="minorEastAsia"/>
                    </w:rPr>
                  </w:pPr>
                  <w:r>
                    <w:rPr>
                      <w:rFonts w:ascii="Times New Roman" w:hAnsi="Times New Roman" w:eastAsiaTheme="minorEastAsia"/>
                    </w:rPr>
                    <w:t>无组织</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风速、风向</w:t>
                  </w:r>
                </w:p>
              </w:tc>
              <w:tc>
                <w:tcPr>
                  <w:tcW w:w="965" w:type="pct"/>
                  <w:vAlign w:val="center"/>
                </w:tcPr>
                <w:p>
                  <w:pPr>
                    <w:pStyle w:val="79"/>
                    <w:jc w:val="both"/>
                    <w:rPr>
                      <w:rFonts w:ascii="Times New Roman" w:hAnsi="Times New Roman" w:eastAsiaTheme="minorEastAsia"/>
                    </w:rPr>
                  </w:pPr>
                  <w:r>
                    <w:rPr>
                      <w:rFonts w:ascii="Times New Roman" w:hAnsi="Times New Roman" w:eastAsiaTheme="minorEastAsia"/>
                    </w:rPr>
                    <w:t>颗粒物</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1次/年</w:t>
                  </w:r>
                </w:p>
              </w:tc>
              <w:tc>
                <w:tcPr>
                  <w:tcW w:w="1144" w:type="pct"/>
                  <w:vMerge w:val="continue"/>
                  <w:vAlign w:val="center"/>
                </w:tcPr>
                <w:p>
                  <w:pPr>
                    <w:pStyle w:val="79"/>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Merge w:val="restart"/>
                  <w:vAlign w:val="center"/>
                </w:tcPr>
                <w:p>
                  <w:pPr>
                    <w:pStyle w:val="79"/>
                    <w:jc w:val="both"/>
                    <w:rPr>
                      <w:rFonts w:ascii="Times New Roman" w:hAnsi="Times New Roman" w:eastAsiaTheme="minorEastAsia"/>
                    </w:rPr>
                  </w:pPr>
                  <w:r>
                    <w:rPr>
                      <w:rFonts w:ascii="Times New Roman" w:hAnsi="Times New Roman" w:eastAsiaTheme="minorEastAsia"/>
                    </w:rPr>
                    <w:t>锅炉排气筒（DA002）</w:t>
                  </w:r>
                </w:p>
              </w:tc>
              <w:tc>
                <w:tcPr>
                  <w:tcW w:w="647" w:type="pct"/>
                  <w:vMerge w:val="restart"/>
                  <w:vAlign w:val="center"/>
                </w:tcPr>
                <w:p>
                  <w:pPr>
                    <w:pStyle w:val="79"/>
                    <w:jc w:val="both"/>
                    <w:rPr>
                      <w:rFonts w:ascii="Times New Roman" w:hAnsi="Times New Roman" w:eastAsiaTheme="minorEastAsia"/>
                    </w:rPr>
                  </w:pPr>
                  <w:r>
                    <w:rPr>
                      <w:rFonts w:ascii="Times New Roman" w:hAnsi="Times New Roman" w:eastAsiaTheme="minorEastAsia"/>
                    </w:rPr>
                    <w:t>有组织</w:t>
                  </w:r>
                </w:p>
              </w:tc>
              <w:tc>
                <w:tcPr>
                  <w:tcW w:w="728" w:type="pct"/>
                  <w:vMerge w:val="restart"/>
                  <w:vAlign w:val="center"/>
                </w:tcPr>
                <w:p>
                  <w:pPr>
                    <w:pStyle w:val="79"/>
                    <w:jc w:val="both"/>
                    <w:rPr>
                      <w:rFonts w:ascii="Times New Roman" w:hAnsi="Times New Roman" w:eastAsiaTheme="minorEastAsia"/>
                    </w:rPr>
                  </w:pPr>
                  <w:r>
                    <w:rPr>
                      <w:rFonts w:ascii="Times New Roman" w:hAnsi="Times New Roman" w:eastAsiaTheme="minorEastAsia"/>
                    </w:rPr>
                    <w:t>烟气流速、烟气温度、烟气压力</w:t>
                  </w:r>
                </w:p>
              </w:tc>
              <w:tc>
                <w:tcPr>
                  <w:tcW w:w="965" w:type="pct"/>
                  <w:vAlign w:val="center"/>
                </w:tcPr>
                <w:p>
                  <w:pPr>
                    <w:pStyle w:val="79"/>
                    <w:jc w:val="both"/>
                    <w:rPr>
                      <w:rFonts w:ascii="Times New Roman" w:hAnsi="Times New Roman" w:eastAsiaTheme="minorEastAsia"/>
                    </w:rPr>
                  </w:pPr>
                  <w:r>
                    <w:rPr>
                      <w:rFonts w:ascii="Times New Roman" w:hAnsi="Times New Roman" w:eastAsiaTheme="minorEastAsia"/>
                    </w:rPr>
                    <w:t>NO</w:t>
                  </w:r>
                  <w:r>
                    <w:rPr>
                      <w:rFonts w:ascii="Times New Roman" w:hAnsi="Times New Roman" w:eastAsiaTheme="minorEastAsia"/>
                      <w:vertAlign w:val="subscript"/>
                    </w:rPr>
                    <w:t>x</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1次/月</w:t>
                  </w:r>
                </w:p>
              </w:tc>
              <w:tc>
                <w:tcPr>
                  <w:tcW w:w="1144" w:type="pct"/>
                  <w:vMerge w:val="restart"/>
                  <w:vAlign w:val="center"/>
                </w:tcPr>
                <w:p>
                  <w:pPr>
                    <w:pStyle w:val="79"/>
                    <w:jc w:val="both"/>
                    <w:rPr>
                      <w:rFonts w:ascii="Times New Roman" w:hAnsi="Times New Roman" w:eastAsiaTheme="minorEastAsia"/>
                    </w:rPr>
                  </w:pPr>
                  <w:r>
                    <w:rPr>
                      <w:rFonts w:ascii="Times New Roman" w:hAnsi="Times New Roman" w:eastAsiaTheme="minorEastAsia"/>
                    </w:rPr>
                    <w:t>《锅炉大气污染物排放标准》（GB13271-2014）表3 燃气标准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Merge w:val="continue"/>
                  <w:vAlign w:val="center"/>
                </w:tcPr>
                <w:p>
                  <w:pPr>
                    <w:pStyle w:val="79"/>
                    <w:jc w:val="both"/>
                    <w:rPr>
                      <w:rFonts w:ascii="Times New Roman" w:hAnsi="Times New Roman" w:eastAsiaTheme="minorEastAsia"/>
                    </w:rPr>
                  </w:pPr>
                </w:p>
              </w:tc>
              <w:tc>
                <w:tcPr>
                  <w:tcW w:w="647" w:type="pct"/>
                  <w:vMerge w:val="continue"/>
                  <w:vAlign w:val="center"/>
                </w:tcPr>
                <w:p>
                  <w:pPr>
                    <w:pStyle w:val="79"/>
                    <w:jc w:val="both"/>
                    <w:rPr>
                      <w:rFonts w:ascii="Times New Roman" w:hAnsi="Times New Roman" w:eastAsiaTheme="minorEastAsia"/>
                    </w:rPr>
                  </w:pPr>
                </w:p>
              </w:tc>
              <w:tc>
                <w:tcPr>
                  <w:tcW w:w="728" w:type="pct"/>
                  <w:vMerge w:val="continue"/>
                  <w:vAlign w:val="center"/>
                </w:tcPr>
                <w:p>
                  <w:pPr>
                    <w:pStyle w:val="79"/>
                    <w:jc w:val="both"/>
                    <w:rPr>
                      <w:rFonts w:ascii="Times New Roman" w:hAnsi="Times New Roman" w:eastAsiaTheme="minorEastAsia"/>
                    </w:rPr>
                  </w:pPr>
                </w:p>
              </w:tc>
              <w:tc>
                <w:tcPr>
                  <w:tcW w:w="965" w:type="pct"/>
                  <w:vAlign w:val="center"/>
                </w:tcPr>
                <w:p>
                  <w:pPr>
                    <w:pStyle w:val="79"/>
                    <w:jc w:val="both"/>
                    <w:rPr>
                      <w:rFonts w:ascii="Times New Roman" w:hAnsi="Times New Roman" w:eastAsiaTheme="minorEastAsia"/>
                    </w:rPr>
                  </w:pPr>
                  <w:r>
                    <w:rPr>
                      <w:rFonts w:ascii="Times New Roman" w:hAnsi="Times New Roman" w:eastAsiaTheme="minorEastAsia"/>
                    </w:rPr>
                    <w:t>SO</w:t>
                  </w:r>
                  <w:r>
                    <w:rPr>
                      <w:rFonts w:ascii="Times New Roman" w:hAnsi="Times New Roman" w:eastAsiaTheme="minorEastAsia"/>
                      <w:vertAlign w:val="subscript"/>
                    </w:rPr>
                    <w:t>2</w:t>
                  </w:r>
                  <w:r>
                    <w:rPr>
                      <w:rFonts w:ascii="Times New Roman" w:hAnsi="Times New Roman" w:eastAsiaTheme="minorEastAsia"/>
                    </w:rPr>
                    <w:t>、颗粒物、林格曼黑度</w:t>
                  </w:r>
                </w:p>
              </w:tc>
              <w:tc>
                <w:tcPr>
                  <w:tcW w:w="728" w:type="pct"/>
                  <w:vAlign w:val="center"/>
                </w:tcPr>
                <w:p>
                  <w:pPr>
                    <w:pStyle w:val="79"/>
                    <w:jc w:val="both"/>
                    <w:rPr>
                      <w:rFonts w:ascii="Times New Roman" w:hAnsi="Times New Roman" w:eastAsiaTheme="minorEastAsia"/>
                    </w:rPr>
                  </w:pPr>
                  <w:r>
                    <w:rPr>
                      <w:rFonts w:ascii="Times New Roman" w:hAnsi="Times New Roman" w:eastAsiaTheme="minorEastAsia"/>
                    </w:rPr>
                    <w:t>1次/年</w:t>
                  </w:r>
                </w:p>
              </w:tc>
              <w:tc>
                <w:tcPr>
                  <w:tcW w:w="1144" w:type="pct"/>
                  <w:vMerge w:val="continue"/>
                  <w:vAlign w:val="center"/>
                </w:tcPr>
                <w:p>
                  <w:pPr>
                    <w:pStyle w:val="79"/>
                    <w:jc w:val="both"/>
                    <w:rPr>
                      <w:rFonts w:ascii="Times New Roman" w:hAnsi="Times New Roman" w:eastAsiaTheme="minorEastAsia"/>
                    </w:rPr>
                  </w:pPr>
                </w:p>
              </w:tc>
            </w:tr>
          </w:tbl>
          <w:p>
            <w:pPr>
              <w:spacing w:before="120" w:beforeLines="50" w:line="360" w:lineRule="auto"/>
              <w:ind w:firstLine="482" w:firstLineChars="200"/>
              <w:rPr>
                <w:rFonts w:eastAsiaTheme="minorEastAsia"/>
                <w:sz w:val="24"/>
              </w:rPr>
            </w:pPr>
            <w:r>
              <w:rPr>
                <w:rFonts w:eastAsiaTheme="minorEastAsia"/>
                <w:b/>
                <w:sz w:val="24"/>
              </w:rPr>
              <w:t>1.8卫生防护距离</w:t>
            </w:r>
          </w:p>
          <w:p>
            <w:pPr>
              <w:spacing w:line="360" w:lineRule="auto"/>
              <w:ind w:firstLine="480" w:firstLineChars="200"/>
              <w:rPr>
                <w:rFonts w:eastAsiaTheme="minorEastAsia"/>
                <w:sz w:val="24"/>
              </w:rPr>
            </w:pPr>
            <w:r>
              <w:rPr>
                <w:rFonts w:eastAsiaTheme="minorEastAsia"/>
                <w:sz w:val="24"/>
              </w:rPr>
              <w:t>为有效减轻废气无组织排放对外环境造成的不利影响，本次环评对无组织排放的颗粒物设置卫生防护距离。卫生防护距离的计算方法采用《大气有害物质无组织排放卫生防护距离推导技术导则》（GB/T39499-2020）所指定的方法：</w:t>
            </w:r>
          </w:p>
          <w:p>
            <w:pPr>
              <w:tabs>
                <w:tab w:val="left" w:pos="7740"/>
              </w:tabs>
              <w:snapToGrid w:val="0"/>
              <w:spacing w:line="360" w:lineRule="auto"/>
              <w:ind w:firstLine="480" w:firstLineChars="200"/>
              <w:rPr>
                <w:rFonts w:eastAsiaTheme="minorEastAsia"/>
                <w:sz w:val="24"/>
              </w:rPr>
            </w:pPr>
            <w:r>
              <w:rPr>
                <w:rFonts w:eastAsiaTheme="minorEastAsia"/>
                <w:position w:val="-30"/>
                <w:sz w:val="24"/>
              </w:rPr>
              <w:object>
                <v:shape id="_x0000_i1028" o:spt="75" type="#_x0000_t75" style="height:34.35pt;width:120.5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pPr>
              <w:spacing w:line="360" w:lineRule="auto"/>
              <w:ind w:firstLine="480" w:firstLineChars="200"/>
              <w:rPr>
                <w:rFonts w:eastAsiaTheme="minorEastAsia"/>
                <w:sz w:val="24"/>
              </w:rPr>
            </w:pPr>
            <w:r>
              <w:rPr>
                <w:rFonts w:eastAsiaTheme="minorEastAsia"/>
                <w:sz w:val="24"/>
              </w:rPr>
              <w:t>式中：Q</w:t>
            </w:r>
            <w:r>
              <w:rPr>
                <w:rFonts w:eastAsiaTheme="minorEastAsia"/>
                <w:sz w:val="24"/>
              </w:rPr>
              <w:softHyphen/>
            </w:r>
            <w:r>
              <w:rPr>
                <w:rFonts w:eastAsiaTheme="minorEastAsia"/>
                <w:sz w:val="24"/>
              </w:rPr>
              <w:softHyphen/>
            </w:r>
            <w:r>
              <w:rPr>
                <w:rFonts w:eastAsiaTheme="minorEastAsia"/>
                <w:sz w:val="24"/>
              </w:rPr>
              <w:t>C</w:t>
            </w:r>
            <w:r>
              <w:rPr>
                <w:rFonts w:eastAsiaTheme="minorEastAsia"/>
                <w:sz w:val="24"/>
              </w:rPr>
              <w:softHyphen/>
            </w:r>
            <w:r>
              <w:rPr>
                <w:rFonts w:eastAsiaTheme="minorEastAsia"/>
                <w:sz w:val="24"/>
              </w:rPr>
              <w:softHyphen/>
            </w:r>
            <w:r>
              <w:rPr>
                <w:rFonts w:eastAsiaTheme="minorEastAsia"/>
                <w:sz w:val="24"/>
              </w:rPr>
              <w:t>—工业企业有害气体无组织排放量，kg/h；</w:t>
            </w:r>
          </w:p>
          <w:p>
            <w:pPr>
              <w:spacing w:line="360" w:lineRule="auto"/>
              <w:ind w:firstLine="480" w:firstLineChars="200"/>
              <w:rPr>
                <w:rFonts w:eastAsiaTheme="minorEastAsia"/>
                <w:sz w:val="24"/>
              </w:rPr>
            </w:pPr>
            <w:r>
              <w:rPr>
                <w:rFonts w:eastAsiaTheme="minorEastAsia"/>
                <w:sz w:val="24"/>
              </w:rPr>
              <w:t xml:space="preserve">      Cm —污染物标准浓度限值，mg/m3；L—卫生防护距离，m；</w:t>
            </w:r>
          </w:p>
          <w:p>
            <w:pPr>
              <w:spacing w:line="360" w:lineRule="auto"/>
              <w:ind w:firstLine="480" w:firstLineChars="200"/>
              <w:rPr>
                <w:rFonts w:eastAsiaTheme="minorEastAsia"/>
                <w:sz w:val="24"/>
              </w:rPr>
            </w:pPr>
            <w:r>
              <w:rPr>
                <w:rFonts w:eastAsiaTheme="minorEastAsia"/>
                <w:sz w:val="24"/>
              </w:rPr>
              <w:t xml:space="preserve">      r —生产单元的等效半径；A、B、C、D—计算系数。</w:t>
            </w:r>
          </w:p>
          <w:p>
            <w:pPr>
              <w:pStyle w:val="61"/>
              <w:spacing w:line="360" w:lineRule="auto"/>
              <w:ind w:firstLine="482" w:firstLineChars="200"/>
              <w:rPr>
                <w:rFonts w:eastAsiaTheme="minorEastAsia"/>
              </w:rPr>
            </w:pPr>
            <w:r>
              <w:rPr>
                <w:rFonts w:eastAsiaTheme="minorEastAsia"/>
              </w:rPr>
              <w:t>表4-8 卫生防护距离的计算结果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907"/>
              <w:gridCol w:w="909"/>
              <w:gridCol w:w="1210"/>
              <w:gridCol w:w="979"/>
              <w:gridCol w:w="1210"/>
              <w:gridCol w:w="1482"/>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源项</w:t>
                  </w:r>
                </w:p>
              </w:tc>
              <w:tc>
                <w:tcPr>
                  <w:tcW w:w="518"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污染</w:t>
                  </w:r>
                </w:p>
                <w:p>
                  <w:pPr>
                    <w:pStyle w:val="80"/>
                    <w:jc w:val="both"/>
                    <w:rPr>
                      <w:rFonts w:ascii="Times New Roman" w:hAnsi="Times New Roman" w:eastAsiaTheme="minorEastAsia"/>
                      <w:szCs w:val="21"/>
                    </w:rPr>
                  </w:pPr>
                  <w:r>
                    <w:rPr>
                      <w:rFonts w:ascii="Times New Roman" w:hAnsi="Times New Roman" w:eastAsiaTheme="minorEastAsia"/>
                      <w:szCs w:val="21"/>
                    </w:rPr>
                    <w:t>因子</w:t>
                  </w:r>
                </w:p>
              </w:tc>
              <w:tc>
                <w:tcPr>
                  <w:tcW w:w="519"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面源高度m</w:t>
                  </w:r>
                </w:p>
              </w:tc>
              <w:tc>
                <w:tcPr>
                  <w:tcW w:w="691"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无组织排放面积m</w:t>
                  </w:r>
                  <w:r>
                    <w:rPr>
                      <w:rFonts w:ascii="Times New Roman" w:hAnsi="Times New Roman" w:eastAsiaTheme="minorEastAsia"/>
                      <w:szCs w:val="21"/>
                      <w:vertAlign w:val="superscript"/>
                    </w:rPr>
                    <w:t>2</w:t>
                  </w:r>
                </w:p>
              </w:tc>
              <w:tc>
                <w:tcPr>
                  <w:tcW w:w="559"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标准值</w:t>
                  </w:r>
                </w:p>
                <w:p>
                  <w:pPr>
                    <w:pStyle w:val="80"/>
                    <w:jc w:val="both"/>
                    <w:rPr>
                      <w:rFonts w:ascii="Times New Roman" w:hAnsi="Times New Roman" w:eastAsiaTheme="minorEastAsia"/>
                      <w:szCs w:val="21"/>
                    </w:rPr>
                  </w:pPr>
                  <w:r>
                    <w:rPr>
                      <w:rFonts w:ascii="Times New Roman" w:hAnsi="Times New Roman" w:eastAsiaTheme="minorEastAsia"/>
                      <w:szCs w:val="21"/>
                    </w:rPr>
                    <w:t>mg/m</w:t>
                  </w:r>
                  <w:r>
                    <w:rPr>
                      <w:rFonts w:ascii="Times New Roman" w:hAnsi="Times New Roman" w:eastAsiaTheme="minorEastAsia"/>
                      <w:szCs w:val="21"/>
                      <w:vertAlign w:val="superscript"/>
                    </w:rPr>
                    <w:t>3</w:t>
                  </w:r>
                </w:p>
              </w:tc>
              <w:tc>
                <w:tcPr>
                  <w:tcW w:w="691" w:type="pct"/>
                  <w:vAlign w:val="center"/>
                </w:tcPr>
                <w:p>
                  <w:pPr>
                    <w:pStyle w:val="80"/>
                    <w:jc w:val="both"/>
                    <w:rPr>
                      <w:rFonts w:ascii="Times New Roman" w:hAnsi="Times New Roman" w:eastAsiaTheme="minorEastAsia"/>
                      <w:szCs w:val="21"/>
                    </w:rPr>
                  </w:pPr>
                  <w:r>
                    <w:rPr>
                      <w:rFonts w:ascii="Times New Roman" w:hAnsi="Times New Roman" w:eastAsiaTheme="minorEastAsia"/>
                      <w:szCs w:val="21"/>
                    </w:rPr>
                    <w:t>无组织排放量kg/h</w:t>
                  </w:r>
                </w:p>
              </w:tc>
              <w:tc>
                <w:tcPr>
                  <w:tcW w:w="846" w:type="pct"/>
                  <w:vAlign w:val="center"/>
                </w:tcPr>
                <w:p>
                  <w:pPr>
                    <w:pStyle w:val="79"/>
                    <w:jc w:val="both"/>
                    <w:rPr>
                      <w:rFonts w:ascii="Times New Roman" w:hAnsi="Times New Roman" w:eastAsiaTheme="minorEastAsia"/>
                    </w:rPr>
                  </w:pPr>
                  <w:r>
                    <w:rPr>
                      <w:rFonts w:ascii="Times New Roman" w:hAnsi="Times New Roman" w:eastAsiaTheme="minorEastAsia"/>
                      <w:b/>
                      <w:bCs/>
                    </w:rPr>
                    <w:t>卫生防护距离计算值m</w:t>
                  </w:r>
                </w:p>
              </w:tc>
              <w:tc>
                <w:tcPr>
                  <w:tcW w:w="708" w:type="pct"/>
                  <w:vAlign w:val="center"/>
                </w:tcPr>
                <w:p>
                  <w:pPr>
                    <w:pStyle w:val="79"/>
                    <w:jc w:val="both"/>
                    <w:rPr>
                      <w:rFonts w:ascii="Times New Roman" w:hAnsi="Times New Roman" w:eastAsiaTheme="minorEastAsia"/>
                      <w:b/>
                      <w:bCs/>
                    </w:rPr>
                  </w:pPr>
                  <w:r>
                    <w:rPr>
                      <w:rFonts w:ascii="Times New Roman" w:hAnsi="Times New Roman" w:eastAsiaTheme="minorEastAsia"/>
                      <w:b/>
                      <w:bCs/>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Align w:val="center"/>
                </w:tcPr>
                <w:p>
                  <w:pPr>
                    <w:pStyle w:val="79"/>
                    <w:rPr>
                      <w:rFonts w:ascii="Times New Roman" w:hAnsi="Times New Roman" w:eastAsiaTheme="minorEastAsia"/>
                    </w:rPr>
                  </w:pPr>
                  <w:r>
                    <w:rPr>
                      <w:rFonts w:ascii="Times New Roman" w:hAnsi="Times New Roman" w:eastAsiaTheme="minorEastAsia"/>
                    </w:rPr>
                    <w:t>生产车间</w:t>
                  </w:r>
                </w:p>
              </w:tc>
              <w:tc>
                <w:tcPr>
                  <w:tcW w:w="518" w:type="pct"/>
                  <w:vAlign w:val="center"/>
                </w:tcPr>
                <w:p>
                  <w:pPr>
                    <w:pStyle w:val="79"/>
                    <w:rPr>
                      <w:rFonts w:ascii="Times New Roman" w:hAnsi="Times New Roman" w:eastAsiaTheme="minorEastAsia"/>
                    </w:rPr>
                  </w:pPr>
                  <w:r>
                    <w:rPr>
                      <w:rFonts w:ascii="Times New Roman" w:hAnsi="Times New Roman" w:eastAsiaTheme="minorEastAsia"/>
                    </w:rPr>
                    <w:t>颗粒物</w:t>
                  </w:r>
                </w:p>
              </w:tc>
              <w:tc>
                <w:tcPr>
                  <w:tcW w:w="519" w:type="pct"/>
                  <w:vAlign w:val="center"/>
                </w:tcPr>
                <w:p>
                  <w:pPr>
                    <w:pStyle w:val="79"/>
                    <w:rPr>
                      <w:rFonts w:ascii="Times New Roman" w:hAnsi="Times New Roman" w:eastAsiaTheme="minorEastAsia"/>
                    </w:rPr>
                  </w:pPr>
                  <w:r>
                    <w:rPr>
                      <w:rFonts w:ascii="Times New Roman" w:hAnsi="Times New Roman" w:eastAsiaTheme="minorEastAsia"/>
                    </w:rPr>
                    <w:t>12</w:t>
                  </w:r>
                </w:p>
              </w:tc>
              <w:tc>
                <w:tcPr>
                  <w:tcW w:w="691" w:type="pct"/>
                  <w:vAlign w:val="center"/>
                </w:tcPr>
                <w:p>
                  <w:pPr>
                    <w:pStyle w:val="79"/>
                    <w:rPr>
                      <w:rFonts w:ascii="Times New Roman" w:hAnsi="Times New Roman" w:eastAsiaTheme="minorEastAsia"/>
                    </w:rPr>
                  </w:pPr>
                  <w:r>
                    <w:rPr>
                      <w:rFonts w:ascii="Times New Roman" w:hAnsi="Times New Roman" w:eastAsiaTheme="minorEastAsia"/>
                    </w:rPr>
                    <w:t>186</w:t>
                  </w:r>
                </w:p>
              </w:tc>
              <w:tc>
                <w:tcPr>
                  <w:tcW w:w="559" w:type="pct"/>
                  <w:vAlign w:val="center"/>
                </w:tcPr>
                <w:p>
                  <w:pPr>
                    <w:pStyle w:val="79"/>
                    <w:rPr>
                      <w:rFonts w:ascii="Times New Roman" w:hAnsi="Times New Roman" w:eastAsiaTheme="minorEastAsia"/>
                    </w:rPr>
                  </w:pPr>
                  <w:r>
                    <w:rPr>
                      <w:rFonts w:ascii="Times New Roman" w:hAnsi="Times New Roman" w:eastAsiaTheme="minorEastAsia"/>
                    </w:rPr>
                    <w:t>0.9</w:t>
                  </w:r>
                </w:p>
              </w:tc>
              <w:tc>
                <w:tcPr>
                  <w:tcW w:w="691" w:type="pct"/>
                  <w:vAlign w:val="center"/>
                </w:tcPr>
                <w:p>
                  <w:pPr>
                    <w:pStyle w:val="79"/>
                    <w:rPr>
                      <w:rFonts w:ascii="Times New Roman" w:hAnsi="Times New Roman" w:eastAsiaTheme="minorEastAsia"/>
                    </w:rPr>
                  </w:pPr>
                  <w:r>
                    <w:rPr>
                      <w:rFonts w:ascii="Times New Roman" w:hAnsi="Times New Roman" w:eastAsiaTheme="minorEastAsia"/>
                    </w:rPr>
                    <w:t>0.132</w:t>
                  </w:r>
                </w:p>
              </w:tc>
              <w:tc>
                <w:tcPr>
                  <w:tcW w:w="846" w:type="pct"/>
                  <w:vAlign w:val="center"/>
                </w:tcPr>
                <w:p>
                  <w:pPr>
                    <w:pStyle w:val="79"/>
                    <w:rPr>
                      <w:rFonts w:ascii="Times New Roman" w:hAnsi="Times New Roman" w:eastAsiaTheme="minorEastAsia"/>
                    </w:rPr>
                  </w:pPr>
                  <w:r>
                    <w:rPr>
                      <w:rFonts w:ascii="Times New Roman" w:hAnsi="Times New Roman" w:eastAsiaTheme="minorEastAsia"/>
                    </w:rPr>
                    <w:t>28.6</w:t>
                  </w:r>
                </w:p>
              </w:tc>
              <w:tc>
                <w:tcPr>
                  <w:tcW w:w="708" w:type="pct"/>
                  <w:vAlign w:val="center"/>
                </w:tcPr>
                <w:p>
                  <w:pPr>
                    <w:pStyle w:val="79"/>
                    <w:rPr>
                      <w:rFonts w:ascii="Times New Roman" w:hAnsi="Times New Roman" w:eastAsiaTheme="minorEastAsia"/>
                    </w:rPr>
                  </w:pPr>
                  <w:r>
                    <w:rPr>
                      <w:rFonts w:ascii="Times New Roman" w:hAnsi="Times New Roman" w:eastAsiaTheme="minorEastAsia"/>
                    </w:rPr>
                    <w:t>50</w:t>
                  </w:r>
                </w:p>
              </w:tc>
            </w:tr>
          </w:tbl>
          <w:p>
            <w:pPr>
              <w:spacing w:before="120" w:beforeLines="50" w:line="360" w:lineRule="auto"/>
              <w:ind w:firstLine="480" w:firstLineChars="200"/>
              <w:rPr>
                <w:rFonts w:eastAsiaTheme="minorEastAsia"/>
                <w:sz w:val="24"/>
              </w:rPr>
            </w:pPr>
            <w:r>
              <w:rPr>
                <w:rFonts w:eastAsiaTheme="minorEastAsia"/>
                <w:sz w:val="24"/>
              </w:rPr>
              <w:t>根据计算结果，本项目要求以生产车间为边界划定50m的卫生防护距离。根据现场调查，卫生防护距离内有2户农户（北侧，东侧48m处各有1户）。</w:t>
            </w:r>
            <w:r>
              <w:rPr>
                <w:rFonts w:eastAsiaTheme="minorEastAsia"/>
                <w:b/>
                <w:sz w:val="24"/>
              </w:rPr>
              <w:t>环评要求：就近聘用周边农户作为本项目工作人员，同时租用附近农户民房作为本项目的办公、生活用房。</w:t>
            </w:r>
            <w:r>
              <w:rPr>
                <w:rFonts w:eastAsiaTheme="minorEastAsia"/>
                <w:sz w:val="24"/>
              </w:rPr>
              <w:t>因此，本项目划定的卫生防护距离内无居民等特殊敏感目标。</w:t>
            </w:r>
          </w:p>
          <w:p>
            <w:pPr>
              <w:spacing w:line="360" w:lineRule="auto"/>
              <w:ind w:firstLine="480" w:firstLineChars="200"/>
              <w:rPr>
                <w:rFonts w:eastAsiaTheme="minorEastAsia"/>
                <w:sz w:val="24"/>
              </w:rPr>
            </w:pPr>
            <w:r>
              <w:rPr>
                <w:rFonts w:eastAsiaTheme="minorEastAsia"/>
                <w:sz w:val="24"/>
              </w:rPr>
              <w:t>经建设单位对卫生防护距离内2户农户征求公众意见表明，农户均同意项目建设。</w:t>
            </w:r>
          </w:p>
          <w:p>
            <w:pPr>
              <w:spacing w:line="360" w:lineRule="auto"/>
              <w:ind w:firstLine="480" w:firstLineChars="200"/>
              <w:rPr>
                <w:rFonts w:eastAsiaTheme="minorEastAsia"/>
                <w:sz w:val="24"/>
              </w:rPr>
            </w:pPr>
            <w:r>
              <w:rPr>
                <w:rFonts w:eastAsiaTheme="minorEastAsia"/>
                <w:sz w:val="24"/>
              </w:rPr>
              <w:t>由于卫生防护距离内不得设置经常居住的房屋，环评建议有关部门对项目周围发展做出规划时，禁止在项目卫生防护距离50m范围内新建居民点、医院、学校等环境敏感点，也不得引入对环境较为敏感的食品、医药等企业。</w:t>
            </w:r>
          </w:p>
          <w:p>
            <w:pPr>
              <w:spacing w:line="360" w:lineRule="auto"/>
              <w:ind w:firstLine="482" w:firstLineChars="200"/>
              <w:rPr>
                <w:rFonts w:eastAsiaTheme="minorEastAsia"/>
                <w:b/>
                <w:sz w:val="24"/>
              </w:rPr>
            </w:pPr>
            <w:r>
              <w:rPr>
                <w:rFonts w:eastAsiaTheme="minorEastAsia"/>
                <w:b/>
                <w:sz w:val="24"/>
              </w:rPr>
              <w:t>1.9废气排放环境影响分析</w:t>
            </w:r>
          </w:p>
          <w:p>
            <w:pPr>
              <w:spacing w:line="360" w:lineRule="auto"/>
              <w:ind w:firstLine="480" w:firstLineChars="200"/>
              <w:rPr>
                <w:rFonts w:eastAsiaTheme="minorEastAsia"/>
                <w:sz w:val="24"/>
              </w:rPr>
            </w:pPr>
            <w:r>
              <w:rPr>
                <w:rFonts w:eastAsiaTheme="minorEastAsia"/>
                <w:sz w:val="24"/>
              </w:rPr>
              <w:t>项目所在区域TSP满足环境质量要求，项目生产车间密闭，最近敏感点位于项目厂界约东面48m；项目生产过程中产生的粉尘经收集后通过布袋除尘器处理后通过15m排气筒（DA001）实现有组织达标排放。为了减少粉尘无组织排放对项目生产车间周边的农户的影响，环评要求以生产车间为边界划定50m卫生防护距离，并将卫生防护距离内的农户民房租用为项目办公生活用房。因此，项目产生的粉尘排放对环境影响较小。</w:t>
            </w:r>
          </w:p>
          <w:p>
            <w:pPr>
              <w:pStyle w:val="7"/>
              <w:ind w:firstLine="0" w:firstLineChars="0"/>
              <w:jc w:val="both"/>
              <w:rPr>
                <w:rFonts w:ascii="Times New Roman" w:hAnsi="Times New Roman" w:cs="Times New Roman" w:eastAsiaTheme="minorEastAsia"/>
              </w:rPr>
            </w:pPr>
            <w:r>
              <w:rPr>
                <w:rFonts w:ascii="Times New Roman" w:hAnsi="Times New Roman" w:cs="Times New Roman" w:eastAsiaTheme="minorEastAsia"/>
              </w:rPr>
              <w:t>2</w:t>
            </w:r>
            <w:r>
              <w:rPr>
                <w:rFonts w:ascii="Times New Roman" w:hAnsi="Times New Roman" w:cs="Times New Roman"/>
                <w:b w:val="0"/>
              </w:rPr>
              <w:t>、</w:t>
            </w:r>
            <w:r>
              <w:rPr>
                <w:rFonts w:ascii="Times New Roman" w:hAnsi="Times New Roman" w:cs="Times New Roman" w:eastAsiaTheme="minorEastAsia"/>
              </w:rPr>
              <w:t>废水</w:t>
            </w:r>
          </w:p>
          <w:p>
            <w:pPr>
              <w:spacing w:line="360" w:lineRule="auto"/>
              <w:ind w:firstLine="482" w:firstLineChars="200"/>
              <w:rPr>
                <w:rFonts w:eastAsiaTheme="minorEastAsia"/>
                <w:b/>
                <w:sz w:val="24"/>
              </w:rPr>
            </w:pPr>
            <w:r>
              <w:rPr>
                <w:rFonts w:eastAsiaTheme="minorEastAsia"/>
                <w:b/>
                <w:sz w:val="24"/>
              </w:rPr>
              <w:t>2.1.废水污染物排放及治理措施</w:t>
            </w:r>
          </w:p>
          <w:p>
            <w:pPr>
              <w:spacing w:line="360" w:lineRule="auto"/>
              <w:ind w:firstLine="480" w:firstLineChars="200"/>
              <w:rPr>
                <w:rFonts w:eastAsiaTheme="minorEastAsia"/>
                <w:sz w:val="24"/>
              </w:rPr>
            </w:pPr>
            <w:r>
              <w:rPr>
                <w:rFonts w:eastAsiaTheme="minorEastAsia"/>
                <w:sz w:val="24"/>
              </w:rPr>
              <w:t>（1）生活污水</w:t>
            </w:r>
          </w:p>
          <w:p>
            <w:pPr>
              <w:spacing w:line="360" w:lineRule="auto"/>
              <w:ind w:firstLine="480" w:firstLineChars="200"/>
              <w:rPr>
                <w:rFonts w:eastAsiaTheme="minorEastAsia"/>
                <w:sz w:val="24"/>
              </w:rPr>
            </w:pPr>
            <w:r>
              <w:rPr>
                <w:rFonts w:eastAsiaTheme="minorEastAsia"/>
                <w:sz w:val="24"/>
              </w:rPr>
              <w:t>项目营运期工作人员28人，不设食堂与宿舍，员工用水量按50L/人·d计算，生活污水产污系数按85%计，则生活污水量为1.19m</w:t>
            </w:r>
            <w:r>
              <w:rPr>
                <w:rFonts w:eastAsiaTheme="minorEastAsia"/>
                <w:sz w:val="24"/>
                <w:vertAlign w:val="superscript"/>
              </w:rPr>
              <w:t>3</w:t>
            </w:r>
            <w:r>
              <w:rPr>
                <w:rFonts w:eastAsiaTheme="minorEastAsia"/>
                <w:sz w:val="24"/>
              </w:rPr>
              <w:t>/d（357m</w:t>
            </w:r>
            <w:r>
              <w:rPr>
                <w:rFonts w:eastAsiaTheme="minorEastAsia"/>
                <w:sz w:val="24"/>
                <w:vertAlign w:val="superscript"/>
              </w:rPr>
              <w:t>3</w:t>
            </w:r>
            <w:r>
              <w:rPr>
                <w:rFonts w:eastAsiaTheme="minorEastAsia"/>
                <w:sz w:val="24"/>
              </w:rPr>
              <w:t>/a）。生活污水</w:t>
            </w:r>
            <w:r>
              <w:rPr>
                <w:rFonts w:hint="eastAsia" w:eastAsiaTheme="minorEastAsia"/>
                <w:sz w:val="24"/>
              </w:rPr>
              <w:t>依托</w:t>
            </w:r>
            <w:r>
              <w:rPr>
                <w:rFonts w:eastAsiaTheme="minorEastAsia"/>
                <w:sz w:val="24"/>
              </w:rPr>
              <w:t>大英县火井建材有限公司虎林砖厂已有的预处理池处理后</w:t>
            </w:r>
            <w:r>
              <w:rPr>
                <w:rFonts w:hint="eastAsia" w:eastAsiaTheme="minorEastAsia"/>
                <w:sz w:val="24"/>
              </w:rPr>
              <w:t>交由大英县洁达环保科技有限公司收集处理后达标排放</w:t>
            </w:r>
            <w:r>
              <w:rPr>
                <w:rFonts w:eastAsiaTheme="minorEastAsia"/>
                <w:sz w:val="24"/>
              </w:rPr>
              <w:t>。</w:t>
            </w:r>
          </w:p>
          <w:p>
            <w:pPr>
              <w:spacing w:line="360" w:lineRule="auto"/>
              <w:ind w:firstLine="480" w:firstLineChars="200"/>
              <w:rPr>
                <w:rFonts w:eastAsiaTheme="minorEastAsia"/>
                <w:sz w:val="24"/>
              </w:rPr>
            </w:pPr>
            <w:r>
              <w:rPr>
                <w:rFonts w:eastAsiaTheme="minorEastAsia"/>
                <w:sz w:val="24"/>
              </w:rPr>
              <w:t>（2）锅炉蒸汽废水</w:t>
            </w:r>
            <w:bookmarkStart w:id="27" w:name="_GoBack"/>
            <w:bookmarkEnd w:id="27"/>
          </w:p>
          <w:p>
            <w:pPr>
              <w:spacing w:line="360" w:lineRule="auto"/>
              <w:ind w:firstLine="480" w:firstLineChars="200"/>
              <w:rPr>
                <w:rFonts w:eastAsiaTheme="minorEastAsia"/>
                <w:sz w:val="24"/>
              </w:rPr>
            </w:pPr>
            <w:r>
              <w:rPr>
                <w:rFonts w:eastAsiaTheme="minorEastAsia"/>
                <w:sz w:val="24"/>
              </w:rPr>
              <w:t>项目锅炉的用水量为5 m</w:t>
            </w:r>
            <w:r>
              <w:rPr>
                <w:rFonts w:eastAsiaTheme="minorEastAsia"/>
                <w:sz w:val="24"/>
                <w:vertAlign w:val="superscript"/>
              </w:rPr>
              <w:t>3</w:t>
            </w:r>
            <w:r>
              <w:rPr>
                <w:rFonts w:eastAsiaTheme="minorEastAsia"/>
                <w:sz w:val="24"/>
              </w:rPr>
              <w:t>/d，全部用于制蒸汽用于产品养护，其中30%的蒸汽在养护的过程中损耗，剩余70%的蒸汽冷凝后通过导流沟进入沉淀池，该部分废水量约为3.5m</w:t>
            </w:r>
            <w:r>
              <w:rPr>
                <w:rFonts w:eastAsiaTheme="minorEastAsia"/>
                <w:sz w:val="24"/>
                <w:vertAlign w:val="superscript"/>
              </w:rPr>
              <w:t>3</w:t>
            </w:r>
            <w:r>
              <w:rPr>
                <w:rFonts w:eastAsiaTheme="minorEastAsia"/>
                <w:sz w:val="24"/>
              </w:rPr>
              <w:t>/d，回用于建筑垃圾与碎石的湿式球磨工序，不外排。</w:t>
            </w:r>
          </w:p>
          <w:p>
            <w:pPr>
              <w:spacing w:line="360" w:lineRule="auto"/>
              <w:ind w:firstLine="480" w:firstLineChars="200"/>
              <w:rPr>
                <w:rFonts w:eastAsiaTheme="minorEastAsia"/>
                <w:sz w:val="24"/>
              </w:rPr>
            </w:pPr>
            <w:r>
              <w:rPr>
                <w:rFonts w:eastAsiaTheme="minorEastAsia"/>
                <w:sz w:val="24"/>
              </w:rPr>
              <w:t>（3）切割边角料冲洗废水</w:t>
            </w:r>
          </w:p>
          <w:p>
            <w:pPr>
              <w:spacing w:line="360" w:lineRule="auto"/>
              <w:ind w:firstLine="480" w:firstLineChars="200"/>
              <w:rPr>
                <w:rFonts w:eastAsiaTheme="minorEastAsia"/>
                <w:sz w:val="24"/>
              </w:rPr>
            </w:pPr>
            <w:r>
              <w:rPr>
                <w:rFonts w:eastAsiaTheme="minorEastAsia"/>
                <w:sz w:val="24"/>
              </w:rPr>
              <w:t>项目轻质材料在静停养护完成后，将通过切割机分割成特定尺寸的产品，此时产品还未完全固化，切割产生的边角料采用水冲洗方式进入沉淀池，根据建设单位提供资料，切割冲洗用水量约为3 m</w:t>
            </w:r>
            <w:r>
              <w:rPr>
                <w:rFonts w:eastAsiaTheme="minorEastAsia"/>
                <w:sz w:val="24"/>
                <w:vertAlign w:val="superscript"/>
              </w:rPr>
              <w:t>3</w:t>
            </w:r>
            <w:r>
              <w:rPr>
                <w:rFonts w:eastAsiaTheme="minorEastAsia"/>
                <w:sz w:val="24"/>
              </w:rPr>
              <w:t>/d，废水产生量按85%计，则切割边角料冲洗废水量为2.55 m</w:t>
            </w:r>
            <w:r>
              <w:rPr>
                <w:rFonts w:eastAsiaTheme="minorEastAsia"/>
                <w:sz w:val="24"/>
                <w:vertAlign w:val="superscript"/>
              </w:rPr>
              <w:t>3</w:t>
            </w:r>
            <w:r>
              <w:rPr>
                <w:rFonts w:eastAsiaTheme="minorEastAsia"/>
                <w:sz w:val="24"/>
              </w:rPr>
              <w:t>/d，该部分废水经导流沟进入沉淀池</w:t>
            </w:r>
            <w:r>
              <w:rPr>
                <w:rFonts w:hint="eastAsia" w:eastAsiaTheme="minorEastAsia"/>
                <w:sz w:val="24"/>
              </w:rPr>
              <w:t>（1个容积约3</w:t>
            </w:r>
            <w:r>
              <w:rPr>
                <w:rFonts w:eastAsiaTheme="minorEastAsia"/>
                <w:sz w:val="24"/>
              </w:rPr>
              <w:t>0</w:t>
            </w:r>
            <w:r>
              <w:rPr>
                <w:rFonts w:hint="eastAsia" w:eastAsiaTheme="minorEastAsia"/>
                <w:sz w:val="24"/>
              </w:rPr>
              <w:t>m</w:t>
            </w:r>
            <w:r>
              <w:rPr>
                <w:rFonts w:eastAsiaTheme="minorEastAsia"/>
                <w:sz w:val="24"/>
                <w:vertAlign w:val="superscript"/>
              </w:rPr>
              <w:t>3</w:t>
            </w:r>
            <w:r>
              <w:rPr>
                <w:rFonts w:hint="eastAsia" w:eastAsiaTheme="minorEastAsia"/>
                <w:sz w:val="24"/>
              </w:rPr>
              <w:t>）</w:t>
            </w:r>
            <w:r>
              <w:rPr>
                <w:rFonts w:eastAsiaTheme="minorEastAsia"/>
                <w:sz w:val="24"/>
              </w:rPr>
              <w:t>处理后用于建筑垃圾与碎石的湿式球磨工序，不外排。</w:t>
            </w:r>
          </w:p>
          <w:p>
            <w:pPr>
              <w:spacing w:line="360" w:lineRule="auto"/>
              <w:ind w:firstLine="480" w:firstLineChars="200"/>
              <w:rPr>
                <w:rFonts w:eastAsiaTheme="minorEastAsia"/>
                <w:sz w:val="24"/>
              </w:rPr>
            </w:pPr>
            <w:r>
              <w:rPr>
                <w:rFonts w:eastAsiaTheme="minorEastAsia"/>
                <w:sz w:val="24"/>
              </w:rPr>
              <w:t>（4）配料机冲洗废水</w:t>
            </w:r>
          </w:p>
          <w:p>
            <w:pPr>
              <w:spacing w:line="360" w:lineRule="auto"/>
              <w:ind w:firstLine="480" w:firstLineChars="200"/>
              <w:rPr>
                <w:rFonts w:eastAsiaTheme="minorEastAsia"/>
                <w:sz w:val="24"/>
              </w:rPr>
            </w:pPr>
            <w:r>
              <w:rPr>
                <w:rFonts w:eastAsiaTheme="minorEastAsia"/>
                <w:sz w:val="24"/>
              </w:rPr>
              <w:t>项目设配料机1台，每天需对其进行冲洗1次，每次冲洗用水量以1.5m</w:t>
            </w:r>
            <w:r>
              <w:rPr>
                <w:rFonts w:eastAsiaTheme="minorEastAsia"/>
                <w:sz w:val="24"/>
                <w:vertAlign w:val="superscript"/>
              </w:rPr>
              <w:t>3</w:t>
            </w:r>
            <w:r>
              <w:rPr>
                <w:rFonts w:eastAsiaTheme="minorEastAsia"/>
                <w:sz w:val="24"/>
              </w:rPr>
              <w:t>计。清洗过程中15%的水蒸发、损耗，则配料机清洗废水产生量为1.275m</w:t>
            </w:r>
            <w:r>
              <w:rPr>
                <w:rFonts w:eastAsiaTheme="minorEastAsia"/>
                <w:sz w:val="24"/>
                <w:vertAlign w:val="superscript"/>
              </w:rPr>
              <w:t>3</w:t>
            </w:r>
            <w:r>
              <w:rPr>
                <w:rFonts w:eastAsiaTheme="minorEastAsia"/>
                <w:sz w:val="24"/>
              </w:rPr>
              <w:t>/d（382.5m</w:t>
            </w:r>
            <w:r>
              <w:rPr>
                <w:rFonts w:eastAsiaTheme="minorEastAsia"/>
                <w:sz w:val="24"/>
                <w:vertAlign w:val="superscript"/>
              </w:rPr>
              <w:t>3</w:t>
            </w:r>
            <w:r>
              <w:rPr>
                <w:rFonts w:eastAsiaTheme="minorEastAsia"/>
                <w:sz w:val="24"/>
              </w:rPr>
              <w:t>/a），经导流沟进入沉淀池处理后用于建筑垃圾与碎石的湿式球磨工序，不外排。</w:t>
            </w:r>
          </w:p>
          <w:p>
            <w:pPr>
              <w:spacing w:line="360" w:lineRule="auto"/>
              <w:ind w:firstLine="480" w:firstLineChars="200"/>
              <w:rPr>
                <w:rFonts w:eastAsiaTheme="minorEastAsia"/>
                <w:sz w:val="24"/>
              </w:rPr>
            </w:pPr>
            <w:r>
              <w:rPr>
                <w:rFonts w:eastAsiaTheme="minorEastAsia"/>
                <w:sz w:val="24"/>
              </w:rPr>
              <w:t>（5）厂区道路降尘废水</w:t>
            </w:r>
          </w:p>
          <w:p>
            <w:pPr>
              <w:spacing w:line="360" w:lineRule="auto"/>
              <w:ind w:firstLine="480" w:firstLineChars="200"/>
              <w:rPr>
                <w:rFonts w:eastAsiaTheme="minorEastAsia"/>
                <w:sz w:val="24"/>
              </w:rPr>
            </w:pPr>
            <w:r>
              <w:rPr>
                <w:rFonts w:eastAsiaTheme="minorEastAsia"/>
                <w:sz w:val="24"/>
              </w:rPr>
              <w:t>由于厂区内来往车辆较多，为进一步减少道路扬尘的产生，需对厂区运输道路定时洒水，项目设移动式雾炮机对道路进行洒水抑尘，项目厂区道路洒水量约为2m</w:t>
            </w:r>
            <w:r>
              <w:rPr>
                <w:rFonts w:eastAsiaTheme="minorEastAsia"/>
                <w:sz w:val="24"/>
                <w:vertAlign w:val="superscript"/>
              </w:rPr>
              <w:t>3</w:t>
            </w:r>
            <w:r>
              <w:rPr>
                <w:rFonts w:eastAsiaTheme="minorEastAsia"/>
                <w:sz w:val="24"/>
              </w:rPr>
              <w:t>/d，这部分用水自然损耗，不外排。</w:t>
            </w:r>
          </w:p>
          <w:p>
            <w:pPr>
              <w:spacing w:line="360" w:lineRule="auto"/>
              <w:ind w:firstLine="480" w:firstLineChars="200"/>
              <w:rPr>
                <w:rFonts w:eastAsiaTheme="minorEastAsia"/>
                <w:sz w:val="24"/>
              </w:rPr>
            </w:pPr>
            <w:r>
              <w:rPr>
                <w:rFonts w:eastAsiaTheme="minorEastAsia"/>
                <w:sz w:val="24"/>
              </w:rPr>
              <w:t>（6）车间和车辆冲洗废水</w:t>
            </w:r>
          </w:p>
          <w:p>
            <w:pPr>
              <w:spacing w:line="360" w:lineRule="auto"/>
              <w:ind w:firstLine="480" w:firstLineChars="200"/>
              <w:rPr>
                <w:rFonts w:eastAsiaTheme="minorEastAsia"/>
                <w:sz w:val="24"/>
              </w:rPr>
            </w:pPr>
            <w:r>
              <w:rPr>
                <w:rFonts w:eastAsiaTheme="minorEastAsia"/>
                <w:sz w:val="24"/>
              </w:rPr>
              <w:t>本项目要求每天对车间地面进行冲洗，保持车间地面清洁。日冲洗水量约为2 m</w:t>
            </w:r>
            <w:r>
              <w:rPr>
                <w:rFonts w:eastAsiaTheme="minorEastAsia"/>
                <w:sz w:val="24"/>
                <w:vertAlign w:val="superscript"/>
              </w:rPr>
              <w:t>3</w:t>
            </w:r>
            <w:r>
              <w:rPr>
                <w:rFonts w:eastAsiaTheme="minorEastAsia"/>
                <w:sz w:val="24"/>
              </w:rPr>
              <w:t>，这部分用水自然损耗，不外排。车辆日冲洗水量约为2 m</w:t>
            </w:r>
            <w:r>
              <w:rPr>
                <w:rFonts w:eastAsiaTheme="minorEastAsia"/>
                <w:sz w:val="24"/>
                <w:vertAlign w:val="superscript"/>
              </w:rPr>
              <w:t>3</w:t>
            </w:r>
            <w:r>
              <w:rPr>
                <w:rFonts w:eastAsiaTheme="minorEastAsia"/>
                <w:sz w:val="24"/>
              </w:rPr>
              <w:t>，</w:t>
            </w:r>
            <w:r>
              <w:rPr>
                <w:rFonts w:hint="eastAsia" w:eastAsiaTheme="minorEastAsia"/>
                <w:sz w:val="24"/>
              </w:rPr>
              <w:t>洗车处</w:t>
            </w:r>
            <w:r>
              <w:rPr>
                <w:rFonts w:eastAsiaTheme="minorEastAsia"/>
                <w:sz w:val="24"/>
              </w:rPr>
              <w:t>设隔油沉淀池1座，容积2m</w:t>
            </w:r>
            <w:r>
              <w:rPr>
                <w:rFonts w:eastAsiaTheme="minorEastAsia"/>
                <w:sz w:val="24"/>
                <w:vertAlign w:val="superscript"/>
              </w:rPr>
              <w:t>3</w:t>
            </w:r>
            <w:r>
              <w:rPr>
                <w:rFonts w:eastAsiaTheme="minorEastAsia"/>
                <w:sz w:val="24"/>
              </w:rPr>
              <w:t>，废水经沉淀池</w:t>
            </w:r>
            <w:r>
              <w:rPr>
                <w:rFonts w:hint="eastAsia" w:eastAsiaTheme="minorEastAsia"/>
                <w:sz w:val="24"/>
              </w:rPr>
              <w:t>隔油</w:t>
            </w:r>
            <w:r>
              <w:rPr>
                <w:rFonts w:eastAsiaTheme="minorEastAsia"/>
                <w:sz w:val="24"/>
              </w:rPr>
              <w:t>沉淀后</w:t>
            </w:r>
            <w:r>
              <w:rPr>
                <w:rFonts w:hint="eastAsia" w:eastAsiaTheme="minorEastAsia"/>
                <w:sz w:val="24"/>
              </w:rPr>
              <w:t>洒水降尘</w:t>
            </w:r>
            <w:r>
              <w:rPr>
                <w:rFonts w:eastAsiaTheme="minorEastAsia"/>
                <w:sz w:val="24"/>
              </w:rPr>
              <w:t>，不外排。</w:t>
            </w:r>
          </w:p>
          <w:p>
            <w:pPr>
              <w:spacing w:line="360" w:lineRule="auto"/>
              <w:ind w:firstLine="480" w:firstLineChars="200"/>
              <w:rPr>
                <w:rFonts w:eastAsiaTheme="minorEastAsia"/>
                <w:sz w:val="24"/>
              </w:rPr>
            </w:pPr>
            <w:r>
              <w:rPr>
                <w:rFonts w:eastAsiaTheme="minorEastAsia"/>
                <w:sz w:val="24"/>
              </w:rPr>
              <w:t>本项目废水的产生排放情况见下表。</w:t>
            </w:r>
          </w:p>
          <w:p>
            <w:pPr>
              <w:pStyle w:val="61"/>
              <w:spacing w:line="360" w:lineRule="auto"/>
              <w:ind w:firstLine="482" w:firstLineChars="200"/>
              <w:rPr>
                <w:rFonts w:eastAsiaTheme="minorEastAsia"/>
              </w:rPr>
            </w:pPr>
            <w:r>
              <w:rPr>
                <w:rFonts w:eastAsiaTheme="minorEastAsia"/>
              </w:rPr>
              <w:t>表4-9 本项目废水产生量及排放情况统计</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422"/>
              <w:gridCol w:w="2600"/>
              <w:gridCol w:w="916"/>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b/>
                    </w:rPr>
                  </w:pPr>
                  <w:r>
                    <w:rPr>
                      <w:rFonts w:ascii="Times New Roman" w:hAnsi="Times New Roman" w:eastAsiaTheme="minorEastAsia"/>
                      <w:b/>
                    </w:rPr>
                    <w:t>项目</w:t>
                  </w:r>
                </w:p>
              </w:tc>
              <w:tc>
                <w:tcPr>
                  <w:tcW w:w="812" w:type="pct"/>
                  <w:vAlign w:val="center"/>
                </w:tcPr>
                <w:p>
                  <w:pPr>
                    <w:pStyle w:val="79"/>
                    <w:rPr>
                      <w:rFonts w:ascii="Times New Roman" w:hAnsi="Times New Roman" w:eastAsiaTheme="minorEastAsia"/>
                      <w:b/>
                    </w:rPr>
                  </w:pPr>
                  <w:r>
                    <w:rPr>
                      <w:rFonts w:ascii="Times New Roman" w:hAnsi="Times New Roman" w:eastAsiaTheme="minorEastAsia"/>
                      <w:b/>
                    </w:rPr>
                    <w:t>产生量</w:t>
                  </w:r>
                </w:p>
              </w:tc>
              <w:tc>
                <w:tcPr>
                  <w:tcW w:w="1484" w:type="pct"/>
                  <w:vAlign w:val="center"/>
                </w:tcPr>
                <w:p>
                  <w:pPr>
                    <w:pStyle w:val="79"/>
                    <w:rPr>
                      <w:rFonts w:ascii="Times New Roman" w:hAnsi="Times New Roman" w:eastAsiaTheme="minorEastAsia"/>
                      <w:b/>
                    </w:rPr>
                  </w:pPr>
                  <w:r>
                    <w:rPr>
                      <w:rFonts w:ascii="Times New Roman" w:hAnsi="Times New Roman" w:eastAsiaTheme="minorEastAsia"/>
                      <w:b/>
                    </w:rPr>
                    <w:t>治理措施</w:t>
                  </w:r>
                </w:p>
              </w:tc>
              <w:tc>
                <w:tcPr>
                  <w:tcW w:w="523" w:type="pct"/>
                  <w:vAlign w:val="center"/>
                </w:tcPr>
                <w:p>
                  <w:pPr>
                    <w:pStyle w:val="79"/>
                    <w:rPr>
                      <w:rFonts w:ascii="Times New Roman" w:hAnsi="Times New Roman" w:eastAsiaTheme="minorEastAsia"/>
                      <w:b/>
                    </w:rPr>
                  </w:pPr>
                  <w:r>
                    <w:rPr>
                      <w:rFonts w:ascii="Times New Roman" w:hAnsi="Times New Roman" w:eastAsiaTheme="minorEastAsia"/>
                      <w:b/>
                    </w:rPr>
                    <w:t>排放量</w:t>
                  </w:r>
                </w:p>
              </w:tc>
              <w:tc>
                <w:tcPr>
                  <w:tcW w:w="1268" w:type="pct"/>
                  <w:vAlign w:val="center"/>
                </w:tcPr>
                <w:p>
                  <w:pPr>
                    <w:pStyle w:val="79"/>
                    <w:rPr>
                      <w:rFonts w:ascii="Times New Roman" w:hAnsi="Times New Roman" w:eastAsiaTheme="minorEastAsia"/>
                      <w:b/>
                    </w:rPr>
                  </w:pPr>
                  <w:r>
                    <w:rPr>
                      <w:rFonts w:ascii="Times New Roman" w:hAnsi="Times New Roman" w:eastAsiaTheme="minorEastAsia"/>
                      <w:b/>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生活污水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1.19m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预处理池</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hint="eastAsia" w:ascii="Times New Roman" w:hAnsi="Times New Roman" w:eastAsiaTheme="minorEastAsia"/>
                    </w:rPr>
                    <w:t>交由大英县洁达环保科技有限公司收集处理后达标排放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锅炉蒸汽废水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3.5m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经导流沟进入沉淀池收集回用于生产</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回用于湿式球磨工序，不外排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切割边角料冲洗废水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2.55m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经导流沟进入沉淀池收集沉淀后回用于生产</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回用于湿式球磨工序，不外排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配料机冲洗废水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1.275m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经导流沟进入沉淀池收集沉淀后回用于生产</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回用于湿式球磨工序，不外排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厂区道路降尘废水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2m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自然蒸发，损耗</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自然蒸发，损耗，无废水产生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车间冲洗废水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2m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自然蒸发，损耗</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自然蒸发，损耗，无废水产生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pct"/>
                  <w:vAlign w:val="center"/>
                </w:tcPr>
                <w:p>
                  <w:pPr>
                    <w:pStyle w:val="79"/>
                    <w:rPr>
                      <w:rFonts w:ascii="Times New Roman" w:hAnsi="Times New Roman" w:eastAsiaTheme="minorEastAsia"/>
                    </w:rPr>
                  </w:pPr>
                  <w:r>
                    <w:rPr>
                      <w:rFonts w:ascii="Times New Roman" w:hAnsi="Times New Roman" w:eastAsiaTheme="minorEastAsia"/>
                    </w:rPr>
                    <w:t>车辆冲洗废水</w:t>
                  </w:r>
                </w:p>
              </w:tc>
              <w:tc>
                <w:tcPr>
                  <w:tcW w:w="812" w:type="pct"/>
                  <w:vAlign w:val="center"/>
                </w:tcPr>
                <w:p>
                  <w:pPr>
                    <w:pStyle w:val="79"/>
                    <w:rPr>
                      <w:rFonts w:ascii="Times New Roman" w:hAnsi="Times New Roman" w:eastAsiaTheme="minorEastAsia"/>
                    </w:rPr>
                  </w:pPr>
                  <w:r>
                    <w:rPr>
                      <w:rFonts w:ascii="Times New Roman" w:hAnsi="Times New Roman" w:eastAsiaTheme="minorEastAsia"/>
                    </w:rPr>
                    <w:t>2m</w:t>
                  </w:r>
                  <w:r>
                    <w:rPr>
                      <w:rFonts w:ascii="Times New Roman" w:hAnsi="Times New Roman" w:eastAsiaTheme="minorEastAsia"/>
                      <w:vertAlign w:val="superscript"/>
                    </w:rPr>
                    <w:t>3</w:t>
                  </w:r>
                  <w:r>
                    <w:rPr>
                      <w:rFonts w:ascii="Times New Roman" w:hAnsi="Times New Roman" w:eastAsiaTheme="minorEastAsia"/>
                    </w:rPr>
                    <w:t>/d</w:t>
                  </w:r>
                </w:p>
              </w:tc>
              <w:tc>
                <w:tcPr>
                  <w:tcW w:w="1484" w:type="pct"/>
                  <w:vAlign w:val="center"/>
                </w:tcPr>
                <w:p>
                  <w:pPr>
                    <w:pStyle w:val="79"/>
                    <w:rPr>
                      <w:rFonts w:ascii="Times New Roman" w:hAnsi="Times New Roman" w:eastAsiaTheme="minorEastAsia"/>
                    </w:rPr>
                  </w:pPr>
                  <w:r>
                    <w:rPr>
                      <w:rFonts w:ascii="Times New Roman" w:hAnsi="Times New Roman" w:eastAsiaTheme="minorEastAsia"/>
                    </w:rPr>
                    <w:t>经</w:t>
                  </w:r>
                  <w:r>
                    <w:rPr>
                      <w:rFonts w:hint="eastAsia" w:ascii="Times New Roman" w:hAnsi="Times New Roman" w:eastAsiaTheme="minorEastAsia"/>
                    </w:rPr>
                    <w:t>隔油</w:t>
                  </w:r>
                  <w:r>
                    <w:rPr>
                      <w:rFonts w:ascii="Times New Roman" w:hAnsi="Times New Roman" w:eastAsiaTheme="minorEastAsia"/>
                    </w:rPr>
                    <w:t>沉淀池收集沉淀后</w:t>
                  </w:r>
                  <w:r>
                    <w:rPr>
                      <w:rFonts w:hint="eastAsia" w:ascii="Times New Roman" w:hAnsi="Times New Roman" w:eastAsiaTheme="minorEastAsia"/>
                    </w:rPr>
                    <w:t>洒水降尘</w:t>
                  </w:r>
                </w:p>
              </w:tc>
              <w:tc>
                <w:tcPr>
                  <w:tcW w:w="523" w:type="pct"/>
                  <w:vAlign w:val="center"/>
                </w:tcPr>
                <w:p>
                  <w:pPr>
                    <w:pStyle w:val="79"/>
                    <w:rPr>
                      <w:rFonts w:ascii="Times New Roman" w:hAnsi="Times New Roman" w:eastAsiaTheme="minorEastAsia"/>
                    </w:rPr>
                  </w:pPr>
                  <w:r>
                    <w:rPr>
                      <w:rFonts w:ascii="Times New Roman" w:hAnsi="Times New Roman" w:eastAsiaTheme="minorEastAsia"/>
                    </w:rPr>
                    <w:t>0</w:t>
                  </w:r>
                </w:p>
              </w:tc>
              <w:tc>
                <w:tcPr>
                  <w:tcW w:w="1268" w:type="pct"/>
                  <w:vAlign w:val="center"/>
                </w:tcPr>
                <w:p>
                  <w:pPr>
                    <w:pStyle w:val="79"/>
                    <w:rPr>
                      <w:rFonts w:ascii="Times New Roman" w:hAnsi="Times New Roman" w:eastAsiaTheme="minorEastAsia"/>
                    </w:rPr>
                  </w:pPr>
                  <w:r>
                    <w:rPr>
                      <w:rFonts w:ascii="Times New Roman" w:hAnsi="Times New Roman" w:eastAsiaTheme="minorEastAsia"/>
                    </w:rPr>
                    <w:t>自然蒸发，损耗，无废水产生</w:t>
                  </w:r>
                </w:p>
              </w:tc>
            </w:tr>
          </w:tbl>
          <w:p>
            <w:pPr>
              <w:spacing w:before="120" w:beforeLines="50" w:line="360" w:lineRule="auto"/>
              <w:ind w:firstLine="482" w:firstLineChars="200"/>
              <w:rPr>
                <w:rFonts w:eastAsiaTheme="minorEastAsia"/>
                <w:b/>
                <w:bCs/>
                <w:sz w:val="24"/>
              </w:rPr>
            </w:pPr>
            <w:r>
              <w:rPr>
                <w:rFonts w:eastAsiaTheme="minorEastAsia"/>
                <w:b/>
                <w:bCs/>
                <w:sz w:val="24"/>
              </w:rPr>
              <w:t>综上，项目运营期废水不会对周边地表水体产生不良影响。</w:t>
            </w:r>
          </w:p>
          <w:p>
            <w:pPr>
              <w:spacing w:line="360" w:lineRule="auto"/>
              <w:ind w:firstLine="482" w:firstLineChars="200"/>
              <w:rPr>
                <w:rFonts w:eastAsiaTheme="minorEastAsia"/>
                <w:b/>
                <w:sz w:val="24"/>
              </w:rPr>
            </w:pPr>
            <w:r>
              <w:rPr>
                <w:rFonts w:eastAsiaTheme="minorEastAsia"/>
                <w:b/>
                <w:sz w:val="24"/>
              </w:rPr>
              <w:t>2.2废水监测要求</w:t>
            </w:r>
          </w:p>
          <w:p>
            <w:pPr>
              <w:spacing w:line="360" w:lineRule="auto"/>
              <w:ind w:firstLine="480" w:firstLineChars="200"/>
              <w:rPr>
                <w:rFonts w:eastAsiaTheme="minorEastAsia"/>
                <w:sz w:val="24"/>
              </w:rPr>
            </w:pPr>
            <w:r>
              <w:rPr>
                <w:rFonts w:eastAsiaTheme="minorEastAsia"/>
                <w:sz w:val="24"/>
              </w:rPr>
              <w:t>本项目废水不</w:t>
            </w:r>
            <w:r>
              <w:rPr>
                <w:rFonts w:hint="eastAsia" w:eastAsiaTheme="minorEastAsia"/>
                <w:sz w:val="24"/>
              </w:rPr>
              <w:t>直接</w:t>
            </w:r>
            <w:r>
              <w:rPr>
                <w:rFonts w:eastAsiaTheme="minorEastAsia"/>
                <w:sz w:val="24"/>
              </w:rPr>
              <w:t>外排至地表水体，故</w:t>
            </w:r>
            <w:r>
              <w:rPr>
                <w:rFonts w:hint="eastAsia" w:eastAsiaTheme="minorEastAsia"/>
                <w:sz w:val="24"/>
                <w:lang w:eastAsia="zh-CN"/>
              </w:rPr>
              <w:t>不作</w:t>
            </w:r>
            <w:r>
              <w:rPr>
                <w:rFonts w:eastAsiaTheme="minorEastAsia"/>
                <w:sz w:val="24"/>
              </w:rPr>
              <w:t>监测要求。</w:t>
            </w:r>
          </w:p>
          <w:p>
            <w:pPr>
              <w:pStyle w:val="7"/>
              <w:ind w:firstLine="0" w:firstLineChars="0"/>
              <w:jc w:val="both"/>
              <w:rPr>
                <w:rFonts w:ascii="Times New Roman" w:hAnsi="Times New Roman" w:cs="Times New Roman" w:eastAsiaTheme="minorEastAsia"/>
              </w:rPr>
            </w:pPr>
            <w:r>
              <w:rPr>
                <w:rFonts w:ascii="Times New Roman" w:hAnsi="Times New Roman" w:cs="Times New Roman" w:eastAsiaTheme="minorEastAsia"/>
              </w:rPr>
              <w:t>3</w:t>
            </w:r>
            <w:r>
              <w:rPr>
                <w:rFonts w:ascii="Times New Roman" w:hAnsi="Times New Roman" w:cs="Times New Roman"/>
                <w:b w:val="0"/>
              </w:rPr>
              <w:t>、</w:t>
            </w:r>
            <w:r>
              <w:rPr>
                <w:rFonts w:ascii="Times New Roman" w:hAnsi="Times New Roman" w:cs="Times New Roman" w:eastAsiaTheme="minorEastAsia"/>
              </w:rPr>
              <w:t>噪声</w:t>
            </w:r>
          </w:p>
          <w:p>
            <w:pPr>
              <w:spacing w:line="360" w:lineRule="auto"/>
              <w:ind w:firstLine="482" w:firstLineChars="200"/>
              <w:rPr>
                <w:rFonts w:eastAsiaTheme="minorEastAsia"/>
                <w:b/>
                <w:sz w:val="24"/>
              </w:rPr>
            </w:pPr>
            <w:r>
              <w:rPr>
                <w:rFonts w:eastAsiaTheme="minorEastAsia"/>
                <w:b/>
                <w:sz w:val="24"/>
              </w:rPr>
              <w:t>3.1</w:t>
            </w:r>
            <w:r>
              <w:rPr>
                <w:rFonts w:hint="eastAsia" w:eastAsiaTheme="minorEastAsia"/>
                <w:b/>
                <w:sz w:val="24"/>
              </w:rPr>
              <w:t>项目</w:t>
            </w:r>
            <w:r>
              <w:rPr>
                <w:rFonts w:eastAsiaTheme="minorEastAsia"/>
                <w:b/>
                <w:sz w:val="24"/>
              </w:rPr>
              <w:t>噪声源</w:t>
            </w:r>
          </w:p>
          <w:p>
            <w:pPr>
              <w:pStyle w:val="61"/>
              <w:spacing w:line="360" w:lineRule="auto"/>
              <w:ind w:firstLine="482" w:firstLineChars="200"/>
              <w:rPr>
                <w:rFonts w:eastAsiaTheme="minorEastAsia"/>
              </w:rPr>
            </w:pPr>
            <w:r>
              <w:rPr>
                <w:rFonts w:eastAsiaTheme="minorEastAsia"/>
              </w:rPr>
              <w:t>表4-10 本项目噪声源强及治理设施</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636"/>
              <w:gridCol w:w="1643"/>
              <w:gridCol w:w="259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80"/>
                    <w:jc w:val="both"/>
                    <w:rPr>
                      <w:rFonts w:asciiTheme="minorEastAsia" w:hAnsiTheme="minorEastAsia" w:eastAsiaTheme="minorEastAsia"/>
                      <w:szCs w:val="21"/>
                    </w:rPr>
                  </w:pPr>
                  <w:r>
                    <w:rPr>
                      <w:rFonts w:asciiTheme="minorEastAsia" w:hAnsiTheme="minorEastAsia" w:eastAsiaTheme="minorEastAsia"/>
                      <w:szCs w:val="21"/>
                    </w:rPr>
                    <w:t>序号</w:t>
                  </w:r>
                </w:p>
              </w:tc>
              <w:tc>
                <w:tcPr>
                  <w:tcW w:w="934" w:type="pct"/>
                  <w:vAlign w:val="center"/>
                </w:tcPr>
                <w:p>
                  <w:pPr>
                    <w:pStyle w:val="80"/>
                    <w:jc w:val="both"/>
                    <w:rPr>
                      <w:rFonts w:asciiTheme="minorEastAsia" w:hAnsiTheme="minorEastAsia" w:eastAsiaTheme="minorEastAsia"/>
                      <w:szCs w:val="21"/>
                    </w:rPr>
                  </w:pPr>
                  <w:r>
                    <w:rPr>
                      <w:rFonts w:asciiTheme="minorEastAsia" w:hAnsiTheme="minorEastAsia" w:eastAsiaTheme="minorEastAsia"/>
                      <w:szCs w:val="21"/>
                    </w:rPr>
                    <w:t>主要声源</w:t>
                  </w:r>
                </w:p>
              </w:tc>
              <w:tc>
                <w:tcPr>
                  <w:tcW w:w="938" w:type="pct"/>
                  <w:vAlign w:val="center"/>
                </w:tcPr>
                <w:p>
                  <w:pPr>
                    <w:pStyle w:val="80"/>
                    <w:jc w:val="both"/>
                    <w:rPr>
                      <w:rFonts w:asciiTheme="minorEastAsia" w:hAnsiTheme="minorEastAsia" w:eastAsiaTheme="minorEastAsia"/>
                      <w:szCs w:val="21"/>
                    </w:rPr>
                  </w:pPr>
                  <w:r>
                    <w:rPr>
                      <w:rFonts w:asciiTheme="minorEastAsia" w:hAnsiTheme="minorEastAsia" w:eastAsiaTheme="minorEastAsia"/>
                      <w:szCs w:val="21"/>
                    </w:rPr>
                    <w:t>治理前声级</w:t>
                  </w:r>
                </w:p>
                <w:p>
                  <w:pPr>
                    <w:pStyle w:val="80"/>
                    <w:jc w:val="both"/>
                    <w:rPr>
                      <w:rFonts w:asciiTheme="minorEastAsia" w:hAnsiTheme="minorEastAsia" w:eastAsiaTheme="minorEastAsia"/>
                      <w:szCs w:val="21"/>
                    </w:rPr>
                  </w:pPr>
                  <w:r>
                    <w:rPr>
                      <w:rFonts w:ascii="Times New Roman" w:hAnsi="Times New Roman" w:eastAsiaTheme="minorEastAsia"/>
                      <w:szCs w:val="21"/>
                    </w:rPr>
                    <w:t>dB</w:t>
                  </w:r>
                  <w:r>
                    <w:rPr>
                      <w:rFonts w:asciiTheme="minorEastAsia" w:hAnsiTheme="minorEastAsia" w:eastAsiaTheme="minorEastAsia"/>
                      <w:szCs w:val="21"/>
                    </w:rPr>
                    <w:t>(</w:t>
                  </w:r>
                  <w:r>
                    <w:rPr>
                      <w:rFonts w:ascii="Times New Roman" w:hAnsi="Times New Roman" w:eastAsiaTheme="minorEastAsia"/>
                      <w:szCs w:val="21"/>
                    </w:rPr>
                    <w:t>A</w:t>
                  </w:r>
                  <w:r>
                    <w:rPr>
                      <w:rFonts w:asciiTheme="minorEastAsia" w:hAnsiTheme="minorEastAsia" w:eastAsiaTheme="minorEastAsia"/>
                      <w:szCs w:val="21"/>
                    </w:rPr>
                    <w:t>)</w:t>
                  </w:r>
                </w:p>
              </w:tc>
              <w:tc>
                <w:tcPr>
                  <w:tcW w:w="1482" w:type="pct"/>
                  <w:vAlign w:val="center"/>
                </w:tcPr>
                <w:p>
                  <w:pPr>
                    <w:pStyle w:val="80"/>
                    <w:jc w:val="both"/>
                    <w:rPr>
                      <w:rFonts w:asciiTheme="minorEastAsia" w:hAnsiTheme="minorEastAsia" w:eastAsiaTheme="minorEastAsia"/>
                      <w:szCs w:val="21"/>
                    </w:rPr>
                  </w:pPr>
                  <w:r>
                    <w:rPr>
                      <w:rFonts w:asciiTheme="minorEastAsia" w:hAnsiTheme="minorEastAsia" w:eastAsiaTheme="minorEastAsia"/>
                      <w:szCs w:val="21"/>
                    </w:rPr>
                    <w:t>处理措施</w:t>
                  </w:r>
                </w:p>
              </w:tc>
              <w:tc>
                <w:tcPr>
                  <w:tcW w:w="1121" w:type="pct"/>
                  <w:vAlign w:val="center"/>
                </w:tcPr>
                <w:p>
                  <w:pPr>
                    <w:pStyle w:val="80"/>
                    <w:jc w:val="both"/>
                    <w:rPr>
                      <w:rFonts w:asciiTheme="minorEastAsia" w:hAnsiTheme="minorEastAsia" w:eastAsiaTheme="minorEastAsia"/>
                      <w:szCs w:val="21"/>
                    </w:rPr>
                  </w:pPr>
                  <w:r>
                    <w:rPr>
                      <w:rFonts w:asciiTheme="minorEastAsia" w:hAnsiTheme="minorEastAsia" w:eastAsiaTheme="minorEastAsia"/>
                      <w:szCs w:val="21"/>
                    </w:rPr>
                    <w:t>治理后室外声级</w:t>
                  </w:r>
                  <w:r>
                    <w:rPr>
                      <w:rFonts w:ascii="Times New Roman" w:hAnsi="Times New Roman" w:eastAsiaTheme="minorEastAsia"/>
                      <w:szCs w:val="21"/>
                    </w:rPr>
                    <w:t>dB</w:t>
                  </w:r>
                  <w:r>
                    <w:rPr>
                      <w:rFonts w:asciiTheme="minorEastAsia" w:hAnsiTheme="minorEastAsia" w:eastAsiaTheme="minorEastAsia"/>
                      <w:szCs w:val="21"/>
                    </w:rPr>
                    <w:t>(</w:t>
                  </w:r>
                  <w:r>
                    <w:rPr>
                      <w:rFonts w:ascii="Times New Roman" w:hAnsi="Times New Roman" w:eastAsiaTheme="minorEastAsia"/>
                      <w:szCs w:val="21"/>
                    </w:rPr>
                    <w:t>A</w:t>
                  </w:r>
                  <w:r>
                    <w:rPr>
                      <w:rFonts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heme="minorEastAsia" w:hAnsiTheme="minorEastAsia" w:eastAsiaTheme="minorEastAsia"/>
                    </w:rPr>
                  </w:pPr>
                  <w:r>
                    <w:rPr>
                      <w:rFonts w:ascii="Times New Roman" w:hAnsi="Times New Roman" w:eastAsiaTheme="minorEastAsia"/>
                    </w:rPr>
                    <w:t>1</w:t>
                  </w:r>
                </w:p>
              </w:tc>
              <w:tc>
                <w:tcPr>
                  <w:tcW w:w="934" w:type="pct"/>
                  <w:vAlign w:val="center"/>
                </w:tcPr>
                <w:p>
                  <w:pPr>
                    <w:pStyle w:val="79"/>
                    <w:jc w:val="both"/>
                    <w:rPr>
                      <w:rFonts w:asciiTheme="minorEastAsia" w:hAnsiTheme="minorEastAsia" w:eastAsiaTheme="minorEastAsia"/>
                    </w:rPr>
                  </w:pPr>
                  <w:r>
                    <w:rPr>
                      <w:rFonts w:hint="eastAsia" w:asciiTheme="minorEastAsia" w:hAnsiTheme="minorEastAsia" w:eastAsiaTheme="minorEastAsia"/>
                    </w:rPr>
                    <w:t>球磨机</w:t>
                  </w:r>
                </w:p>
              </w:tc>
              <w:tc>
                <w:tcPr>
                  <w:tcW w:w="938" w:type="pct"/>
                  <w:vAlign w:val="center"/>
                </w:tcPr>
                <w:p>
                  <w:pPr>
                    <w:pStyle w:val="79"/>
                    <w:jc w:val="left"/>
                    <w:rPr>
                      <w:rFonts w:asciiTheme="minorEastAsia" w:hAnsiTheme="minorEastAsia" w:eastAsiaTheme="minorEastAsia"/>
                    </w:rPr>
                  </w:pPr>
                  <w:r>
                    <w:rPr>
                      <w:rFonts w:hint="eastAsia" w:ascii="Times New Roman" w:hAnsi="Times New Roman" w:eastAsiaTheme="minorEastAsia"/>
                    </w:rPr>
                    <w:t>85~95</w:t>
                  </w:r>
                </w:p>
              </w:tc>
              <w:tc>
                <w:tcPr>
                  <w:tcW w:w="1482" w:type="pct"/>
                  <w:vMerge w:val="restart"/>
                  <w:vAlign w:val="center"/>
                </w:tcPr>
                <w:p>
                  <w:pPr>
                    <w:pStyle w:val="79"/>
                    <w:jc w:val="both"/>
                    <w:rPr>
                      <w:rFonts w:asciiTheme="minorEastAsia" w:hAnsiTheme="minorEastAsia" w:eastAsiaTheme="minorEastAsia"/>
                    </w:rPr>
                  </w:pPr>
                  <w:r>
                    <w:rPr>
                      <w:rFonts w:asciiTheme="minorEastAsia" w:hAnsiTheme="minorEastAsia" w:eastAsiaTheme="minorEastAsia"/>
                    </w:rPr>
                    <w:t>选用低噪声设备，基础减震、厂房建筑隔声</w:t>
                  </w: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imes New Roman" w:hAnsi="Times New Roman" w:eastAsiaTheme="minorEastAsia"/>
                    </w:rPr>
                  </w:pPr>
                  <w:r>
                    <w:rPr>
                      <w:rFonts w:hint="eastAsia" w:ascii="Times New Roman" w:hAnsi="Times New Roman" w:eastAsiaTheme="minorEastAsia"/>
                    </w:rPr>
                    <w:t>2</w:t>
                  </w:r>
                </w:p>
              </w:tc>
              <w:tc>
                <w:tcPr>
                  <w:tcW w:w="934" w:type="pct"/>
                  <w:vAlign w:val="center"/>
                </w:tcPr>
                <w:p>
                  <w:pPr>
                    <w:pStyle w:val="79"/>
                    <w:jc w:val="both"/>
                    <w:rPr>
                      <w:rFonts w:asciiTheme="minorEastAsia" w:hAnsiTheme="minorEastAsia" w:eastAsiaTheme="minorEastAsia"/>
                    </w:rPr>
                  </w:pPr>
                  <w:r>
                    <w:t>破碎机</w:t>
                  </w:r>
                </w:p>
              </w:tc>
              <w:tc>
                <w:tcPr>
                  <w:tcW w:w="938" w:type="pct"/>
                  <w:vAlign w:val="center"/>
                </w:tcPr>
                <w:p>
                  <w:pPr>
                    <w:pStyle w:val="79"/>
                    <w:jc w:val="left"/>
                    <w:rPr>
                      <w:rFonts w:ascii="Times New Roman" w:hAnsi="Times New Roman" w:eastAsiaTheme="minorEastAsia"/>
                    </w:rPr>
                  </w:pPr>
                  <w:r>
                    <w:rPr>
                      <w:rFonts w:hint="eastAsia" w:ascii="Times New Roman" w:hAnsi="Times New Roman" w:eastAsiaTheme="minorEastAsia"/>
                    </w:rPr>
                    <w:t>80~90</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ascii="Times New Roman" w:hAnsi="Times New Roman" w:eastAsiaTheme="minor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heme="minorEastAsia" w:hAnsiTheme="minorEastAsia" w:eastAsiaTheme="minorEastAsia"/>
                    </w:rPr>
                  </w:pPr>
                  <w:r>
                    <w:rPr>
                      <w:rFonts w:hint="eastAsia" w:ascii="Times New Roman" w:hAnsi="Times New Roman" w:eastAsiaTheme="minorEastAsia"/>
                    </w:rPr>
                    <w:t>3</w:t>
                  </w:r>
                </w:p>
              </w:tc>
              <w:tc>
                <w:tcPr>
                  <w:tcW w:w="934" w:type="pct"/>
                  <w:vAlign w:val="center"/>
                </w:tcPr>
                <w:p>
                  <w:pPr>
                    <w:pStyle w:val="79"/>
                    <w:jc w:val="both"/>
                    <w:rPr>
                      <w:rFonts w:asciiTheme="minorEastAsia" w:hAnsiTheme="minorEastAsia" w:eastAsiaTheme="minorEastAsia"/>
                    </w:rPr>
                  </w:pPr>
                  <w:r>
                    <w:rPr>
                      <w:rFonts w:hint="eastAsia" w:asciiTheme="minorEastAsia" w:hAnsiTheme="minorEastAsia" w:eastAsiaTheme="minorEastAsia"/>
                    </w:rPr>
                    <w:t>配料机</w:t>
                  </w:r>
                </w:p>
              </w:tc>
              <w:tc>
                <w:tcPr>
                  <w:tcW w:w="938" w:type="pct"/>
                  <w:vAlign w:val="center"/>
                </w:tcPr>
                <w:p>
                  <w:pPr>
                    <w:pStyle w:val="79"/>
                    <w:jc w:val="left"/>
                    <w:rPr>
                      <w:rFonts w:asciiTheme="minorEastAsia" w:hAnsiTheme="minorEastAsia" w:eastAsiaTheme="minorEastAsia"/>
                    </w:rPr>
                  </w:pPr>
                  <w:r>
                    <w:rPr>
                      <w:rFonts w:hint="eastAsia" w:ascii="Times New Roman" w:hAnsi="Times New Roman" w:eastAsiaTheme="minorEastAsia"/>
                    </w:rPr>
                    <w:t>75~85</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heme="minorEastAsia" w:hAnsiTheme="minorEastAsia" w:eastAsiaTheme="minorEastAsia"/>
                    </w:rPr>
                  </w:pPr>
                  <w:r>
                    <w:rPr>
                      <w:rFonts w:hint="eastAsia" w:ascii="Times New Roman" w:hAnsi="Times New Roman" w:eastAsiaTheme="minorEastAsia"/>
                    </w:rPr>
                    <w:t>4</w:t>
                  </w:r>
                </w:p>
              </w:tc>
              <w:tc>
                <w:tcPr>
                  <w:tcW w:w="934" w:type="pct"/>
                  <w:vAlign w:val="center"/>
                </w:tcPr>
                <w:p>
                  <w:pPr>
                    <w:pStyle w:val="79"/>
                    <w:jc w:val="both"/>
                    <w:rPr>
                      <w:rFonts w:asciiTheme="minorEastAsia" w:hAnsiTheme="minorEastAsia" w:eastAsiaTheme="minorEastAsia"/>
                    </w:rPr>
                  </w:pPr>
                  <w:r>
                    <w:rPr>
                      <w:rFonts w:hint="eastAsia" w:asciiTheme="minorEastAsia" w:hAnsiTheme="minorEastAsia" w:eastAsiaTheme="minorEastAsia"/>
                    </w:rPr>
                    <w:t>切割机</w:t>
                  </w:r>
                </w:p>
              </w:tc>
              <w:tc>
                <w:tcPr>
                  <w:tcW w:w="938" w:type="pct"/>
                  <w:vAlign w:val="center"/>
                </w:tcPr>
                <w:p>
                  <w:pPr>
                    <w:pStyle w:val="79"/>
                    <w:jc w:val="left"/>
                    <w:rPr>
                      <w:rFonts w:asciiTheme="minorEastAsia" w:hAnsiTheme="minorEastAsia" w:eastAsiaTheme="minorEastAsia"/>
                    </w:rPr>
                  </w:pPr>
                  <w:r>
                    <w:rPr>
                      <w:rFonts w:hint="eastAsia" w:ascii="Times New Roman" w:hAnsi="Times New Roman"/>
                    </w:rPr>
                    <w:t>70~80</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imes New Roman" w:hAnsi="Times New Roman" w:eastAsiaTheme="minorEastAsia"/>
                    </w:rPr>
                  </w:pPr>
                  <w:r>
                    <w:rPr>
                      <w:rFonts w:hint="eastAsia" w:ascii="Times New Roman" w:hAnsi="Times New Roman" w:eastAsiaTheme="minorEastAsia"/>
                    </w:rPr>
                    <w:t>5</w:t>
                  </w:r>
                </w:p>
              </w:tc>
              <w:tc>
                <w:tcPr>
                  <w:tcW w:w="934" w:type="pct"/>
                  <w:vAlign w:val="center"/>
                </w:tcPr>
                <w:p>
                  <w:pPr>
                    <w:pStyle w:val="79"/>
                    <w:jc w:val="both"/>
                    <w:rPr>
                      <w:rFonts w:ascii="宋体" w:cs="宋体"/>
                    </w:rPr>
                  </w:pPr>
                  <w:r>
                    <w:rPr>
                      <w:rFonts w:hint="eastAsia" w:ascii="宋体" w:cs="宋体"/>
                    </w:rPr>
                    <w:t>牵引机</w:t>
                  </w:r>
                </w:p>
              </w:tc>
              <w:tc>
                <w:tcPr>
                  <w:tcW w:w="938" w:type="pct"/>
                  <w:vAlign w:val="center"/>
                </w:tcPr>
                <w:p>
                  <w:pPr>
                    <w:pStyle w:val="79"/>
                    <w:jc w:val="left"/>
                    <w:rPr>
                      <w:rFonts w:ascii="Times New Roman" w:hAnsi="Times New Roman" w:eastAsiaTheme="minorEastAsia"/>
                    </w:rPr>
                  </w:pPr>
                  <w:r>
                    <w:rPr>
                      <w:rFonts w:hint="eastAsia" w:ascii="Times New Roman" w:hAnsi="Times New Roman"/>
                    </w:rPr>
                    <w:t>70~80</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heme="minorEastAsia" w:hAnsiTheme="minorEastAsia" w:eastAsiaTheme="minorEastAsia"/>
                    </w:rPr>
                  </w:pPr>
                  <w:r>
                    <w:rPr>
                      <w:rFonts w:hint="eastAsia" w:ascii="Times New Roman" w:hAnsi="Times New Roman" w:eastAsiaTheme="minorEastAsia"/>
                    </w:rPr>
                    <w:t>6</w:t>
                  </w:r>
                </w:p>
              </w:tc>
              <w:tc>
                <w:tcPr>
                  <w:tcW w:w="934" w:type="pct"/>
                  <w:vAlign w:val="center"/>
                </w:tcPr>
                <w:p>
                  <w:pPr>
                    <w:pStyle w:val="79"/>
                    <w:jc w:val="both"/>
                    <w:rPr>
                      <w:rFonts w:asciiTheme="minorEastAsia" w:hAnsiTheme="minorEastAsia" w:eastAsiaTheme="minorEastAsia"/>
                    </w:rPr>
                  </w:pPr>
                  <w:r>
                    <w:rPr>
                      <w:rFonts w:hint="eastAsia" w:ascii="宋体" w:cs="宋体"/>
                    </w:rPr>
                    <w:t>航吊架</w:t>
                  </w:r>
                </w:p>
              </w:tc>
              <w:tc>
                <w:tcPr>
                  <w:tcW w:w="938" w:type="pct"/>
                  <w:vAlign w:val="center"/>
                </w:tcPr>
                <w:p>
                  <w:pPr>
                    <w:pStyle w:val="79"/>
                    <w:jc w:val="left"/>
                    <w:rPr>
                      <w:rFonts w:asciiTheme="minorEastAsia" w:hAnsiTheme="minorEastAsia" w:eastAsiaTheme="minorEastAsia"/>
                    </w:rPr>
                  </w:pPr>
                  <w:r>
                    <w:rPr>
                      <w:rFonts w:hint="eastAsia" w:ascii="Times New Roman" w:hAnsi="Times New Roman"/>
                    </w:rPr>
                    <w:t>70~80</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ascii="Times New Roman" w:hAnsi="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imes New Roman" w:hAnsi="Times New Roman" w:eastAsiaTheme="minorEastAsia"/>
                    </w:rPr>
                  </w:pPr>
                  <w:r>
                    <w:rPr>
                      <w:rFonts w:hint="eastAsia" w:ascii="Times New Roman" w:hAnsi="Times New Roman" w:eastAsiaTheme="minorEastAsia"/>
                    </w:rPr>
                    <w:t>7</w:t>
                  </w:r>
                </w:p>
              </w:tc>
              <w:tc>
                <w:tcPr>
                  <w:tcW w:w="934" w:type="pct"/>
                  <w:vAlign w:val="center"/>
                </w:tcPr>
                <w:p>
                  <w:pPr>
                    <w:pStyle w:val="79"/>
                    <w:jc w:val="both"/>
                    <w:rPr>
                      <w:rFonts w:ascii="宋体" w:cs="宋体"/>
                    </w:rPr>
                  </w:pPr>
                  <w:r>
                    <w:rPr>
                      <w:rFonts w:hint="eastAsia" w:ascii="宋体" w:cs="宋体"/>
                    </w:rPr>
                    <w:t>轮碾混合机</w:t>
                  </w:r>
                </w:p>
              </w:tc>
              <w:tc>
                <w:tcPr>
                  <w:tcW w:w="938" w:type="pct"/>
                  <w:vAlign w:val="center"/>
                </w:tcPr>
                <w:p>
                  <w:pPr>
                    <w:pStyle w:val="79"/>
                    <w:jc w:val="left"/>
                    <w:rPr>
                      <w:rFonts w:ascii="Times New Roman" w:hAnsi="Times New Roman" w:eastAsiaTheme="minorEastAsia"/>
                    </w:rPr>
                  </w:pPr>
                  <w:r>
                    <w:rPr>
                      <w:rFonts w:hint="eastAsia" w:ascii="Times New Roman" w:hAnsi="Times New Roman" w:eastAsiaTheme="minorEastAsia"/>
                    </w:rPr>
                    <w:t>75~85</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heme="minorEastAsia" w:hAnsiTheme="minorEastAsia" w:eastAsiaTheme="minorEastAsia"/>
                    </w:rPr>
                  </w:pPr>
                  <w:r>
                    <w:rPr>
                      <w:rFonts w:hint="eastAsia" w:ascii="Times New Roman" w:hAnsi="Times New Roman" w:eastAsiaTheme="minorEastAsia"/>
                    </w:rPr>
                    <w:t>8</w:t>
                  </w:r>
                </w:p>
              </w:tc>
              <w:tc>
                <w:tcPr>
                  <w:tcW w:w="934" w:type="pct"/>
                  <w:vAlign w:val="center"/>
                </w:tcPr>
                <w:p>
                  <w:pPr>
                    <w:pStyle w:val="79"/>
                    <w:jc w:val="both"/>
                    <w:rPr>
                      <w:rFonts w:asciiTheme="minorEastAsia" w:hAnsiTheme="minorEastAsia" w:eastAsiaTheme="minorEastAsia"/>
                    </w:rPr>
                  </w:pPr>
                  <w:r>
                    <w:rPr>
                      <w:rFonts w:hint="eastAsia" w:cs="宋体"/>
                    </w:rPr>
                    <w:t>滚筒筛选机</w:t>
                  </w:r>
                </w:p>
              </w:tc>
              <w:tc>
                <w:tcPr>
                  <w:tcW w:w="938" w:type="pct"/>
                  <w:vAlign w:val="center"/>
                </w:tcPr>
                <w:p>
                  <w:pPr>
                    <w:pStyle w:val="79"/>
                    <w:jc w:val="left"/>
                    <w:rPr>
                      <w:rFonts w:asciiTheme="minorEastAsia" w:hAnsiTheme="minorEastAsia" w:eastAsiaTheme="minorEastAsia"/>
                    </w:rPr>
                  </w:pPr>
                  <w:r>
                    <w:rPr>
                      <w:rFonts w:hint="eastAsia" w:ascii="Times New Roman" w:hAnsi="Times New Roman" w:eastAsiaTheme="minorEastAsia"/>
                    </w:rPr>
                    <w:t>75~85</w:t>
                  </w:r>
                </w:p>
              </w:tc>
              <w:tc>
                <w:tcPr>
                  <w:tcW w:w="1482" w:type="pct"/>
                  <w:vMerge w:val="continue"/>
                  <w:vAlign w:val="center"/>
                </w:tcPr>
                <w:p>
                  <w:pPr>
                    <w:pStyle w:val="79"/>
                    <w:jc w:val="both"/>
                    <w:rPr>
                      <w:rFonts w:asciiTheme="minorEastAsia" w:hAnsiTheme="minorEastAsia" w:eastAsiaTheme="minorEastAsia"/>
                    </w:rPr>
                  </w:pPr>
                </w:p>
              </w:tc>
              <w:tc>
                <w:tcPr>
                  <w:tcW w:w="1121" w:type="pct"/>
                  <w:vAlign w:val="center"/>
                </w:tcPr>
                <w:p>
                  <w:pPr>
                    <w:pStyle w:val="79"/>
                    <w:rPr>
                      <w:rFonts w:asciiTheme="minorEastAsia" w:hAnsiTheme="minorEastAsia" w:eastAsiaTheme="minorEastAsia"/>
                    </w:rPr>
                  </w:pPr>
                  <w:r>
                    <w:rPr>
                      <w:rFonts w:asciiTheme="minorEastAsia" w:hAnsiTheme="minorEastAsia" w:eastAsiaTheme="minorEastAsia"/>
                    </w:rPr>
                    <w:t>＜</w:t>
                  </w:r>
                  <w:r>
                    <w:rPr>
                      <w:rFonts w:ascii="Times New Roman" w:hAnsi="Times New Roman" w:eastAsiaTheme="minorEastAsia"/>
                    </w:rPr>
                    <w:t>6</w:t>
                  </w:r>
                  <w:r>
                    <w:rPr>
                      <w:rFonts w:hint="eastAsia" w:ascii="Times New Roman" w:hAnsi="Times New Roman"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imes New Roman" w:hAnsi="Times New Roman" w:eastAsiaTheme="minorEastAsia"/>
                    </w:rPr>
                  </w:pPr>
                  <w:r>
                    <w:rPr>
                      <w:rFonts w:hint="eastAsia" w:ascii="Times New Roman" w:hAnsi="Times New Roman" w:eastAsiaTheme="minorEastAsia"/>
                    </w:rPr>
                    <w:t>9</w:t>
                  </w:r>
                </w:p>
              </w:tc>
              <w:tc>
                <w:tcPr>
                  <w:tcW w:w="934" w:type="pct"/>
                  <w:vAlign w:val="center"/>
                </w:tcPr>
                <w:p>
                  <w:pPr>
                    <w:pStyle w:val="79"/>
                    <w:jc w:val="both"/>
                    <w:rPr>
                      <w:rFonts w:ascii="宋体" w:cs="宋体"/>
                    </w:rPr>
                  </w:pPr>
                  <w:r>
                    <w:rPr>
                      <w:rFonts w:hint="eastAsia" w:cs="宋体"/>
                    </w:rPr>
                    <w:t>粉碎机</w:t>
                  </w:r>
                </w:p>
              </w:tc>
              <w:tc>
                <w:tcPr>
                  <w:tcW w:w="938" w:type="pct"/>
                  <w:vAlign w:val="center"/>
                </w:tcPr>
                <w:p>
                  <w:pPr>
                    <w:pStyle w:val="79"/>
                    <w:jc w:val="left"/>
                    <w:rPr>
                      <w:rFonts w:ascii="Times New Roman" w:hAnsi="Times New Roman"/>
                    </w:rPr>
                  </w:pPr>
                  <w:r>
                    <w:rPr>
                      <w:rFonts w:hint="eastAsia" w:ascii="Times New Roman" w:hAnsi="Times New Roman" w:eastAsiaTheme="minorEastAsia"/>
                    </w:rPr>
                    <w:t>75~85</w:t>
                  </w:r>
                </w:p>
              </w:tc>
              <w:tc>
                <w:tcPr>
                  <w:tcW w:w="1482" w:type="pct"/>
                  <w:vMerge w:val="continue"/>
                  <w:vAlign w:val="center"/>
                </w:tcPr>
                <w:p>
                  <w:pPr>
                    <w:pStyle w:val="79"/>
                    <w:jc w:val="both"/>
                    <w:rPr>
                      <w:rFonts w:asciiTheme="minorEastAsia" w:hAnsiTheme="minorEastAsia" w:eastAsiaTheme="minorEastAsia"/>
                    </w:rPr>
                  </w:pPr>
                </w:p>
              </w:tc>
              <w:tc>
                <w:tcPr>
                  <w:tcW w:w="1121" w:type="pct"/>
                </w:tcPr>
                <w:p>
                  <w:pPr>
                    <w:pStyle w:val="79"/>
                    <w:rPr>
                      <w:rFonts w:asciiTheme="minorEastAsia" w:hAnsiTheme="minorEastAsia" w:eastAsiaTheme="minorEastAsia"/>
                    </w:rPr>
                  </w:pPr>
                  <w:r>
                    <w:rPr>
                      <w:rFonts w:asciiTheme="minorEastAsia" w:hAnsiTheme="minorEastAsia" w:eastAsiaTheme="minorEastAsia"/>
                    </w:rPr>
                    <w:t>＜</w:t>
                  </w:r>
                  <w:r>
                    <w:rPr>
                      <w:rFonts w:ascii="Times New Roman" w:hAnsi="Times New Roman" w:eastAsiaTheme="minorEastAsia"/>
                    </w:rPr>
                    <w:t>6</w:t>
                  </w:r>
                  <w:r>
                    <w:rPr>
                      <w:rFonts w:hint="eastAsia" w:ascii="Times New Roman" w:hAnsi="Times New Roman"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vAlign w:val="center"/>
                </w:tcPr>
                <w:p>
                  <w:pPr>
                    <w:pStyle w:val="79"/>
                    <w:jc w:val="both"/>
                    <w:rPr>
                      <w:rFonts w:ascii="Times New Roman" w:hAnsi="Times New Roman" w:eastAsiaTheme="minorEastAsia"/>
                    </w:rPr>
                  </w:pPr>
                  <w:r>
                    <w:rPr>
                      <w:rFonts w:hint="eastAsia" w:ascii="Times New Roman" w:hAnsi="Times New Roman" w:eastAsiaTheme="minorEastAsia"/>
                    </w:rPr>
                    <w:t>10</w:t>
                  </w:r>
                </w:p>
              </w:tc>
              <w:tc>
                <w:tcPr>
                  <w:tcW w:w="934" w:type="pct"/>
                  <w:vAlign w:val="center"/>
                </w:tcPr>
                <w:p>
                  <w:pPr>
                    <w:pStyle w:val="79"/>
                    <w:jc w:val="both"/>
                    <w:rPr>
                      <w:rFonts w:asciiTheme="minorEastAsia" w:hAnsiTheme="minorEastAsia" w:eastAsiaTheme="minorEastAsia"/>
                    </w:rPr>
                  </w:pPr>
                  <w:r>
                    <w:rPr>
                      <w:rFonts w:hint="eastAsia" w:ascii="宋体" w:cs="宋体"/>
                    </w:rPr>
                    <w:t>静压机</w:t>
                  </w:r>
                </w:p>
              </w:tc>
              <w:tc>
                <w:tcPr>
                  <w:tcW w:w="938" w:type="pct"/>
                  <w:vAlign w:val="center"/>
                </w:tcPr>
                <w:p>
                  <w:pPr>
                    <w:pStyle w:val="79"/>
                    <w:jc w:val="left"/>
                    <w:rPr>
                      <w:rFonts w:ascii="Times New Roman" w:hAnsi="Times New Roman" w:eastAsiaTheme="minorEastAsia"/>
                    </w:rPr>
                  </w:pPr>
                  <w:r>
                    <w:rPr>
                      <w:rFonts w:hint="eastAsia" w:ascii="Times New Roman" w:hAnsi="Times New Roman"/>
                    </w:rPr>
                    <w:t>70~80</w:t>
                  </w:r>
                </w:p>
              </w:tc>
              <w:tc>
                <w:tcPr>
                  <w:tcW w:w="1482" w:type="pct"/>
                  <w:vMerge w:val="continue"/>
                  <w:vAlign w:val="center"/>
                </w:tcPr>
                <w:p>
                  <w:pPr>
                    <w:pStyle w:val="79"/>
                    <w:jc w:val="both"/>
                    <w:rPr>
                      <w:rFonts w:asciiTheme="minorEastAsia" w:hAnsiTheme="minorEastAsia" w:eastAsiaTheme="minorEastAsia"/>
                    </w:rPr>
                  </w:pPr>
                </w:p>
              </w:tc>
              <w:tc>
                <w:tcPr>
                  <w:tcW w:w="1121" w:type="pct"/>
                </w:tcPr>
                <w:p>
                  <w:pPr>
                    <w:pStyle w:val="79"/>
                    <w:rPr>
                      <w:rFonts w:asciiTheme="minorEastAsia" w:hAnsiTheme="minorEastAsia" w:eastAsiaTheme="minorEastAsia"/>
                    </w:rPr>
                  </w:pPr>
                  <w:r>
                    <w:rPr>
                      <w:rFonts w:asciiTheme="minorEastAsia" w:hAnsiTheme="minorEastAsia" w:eastAsiaTheme="minorEastAsia"/>
                    </w:rPr>
                    <w:t>＜</w:t>
                  </w:r>
                  <w:r>
                    <w:rPr>
                      <w:rFonts w:hint="eastAsia" w:ascii="Times New Roman" w:hAnsi="Times New Roman" w:eastAsiaTheme="minorEastAsia"/>
                    </w:rPr>
                    <w:t>55</w:t>
                  </w:r>
                </w:p>
              </w:tc>
            </w:tr>
          </w:tbl>
          <w:p>
            <w:pPr>
              <w:spacing w:before="120" w:beforeLines="50" w:line="360" w:lineRule="auto"/>
              <w:ind w:firstLine="480" w:firstLineChars="200"/>
              <w:rPr>
                <w:rFonts w:eastAsiaTheme="minorEastAsia"/>
                <w:sz w:val="24"/>
              </w:rPr>
            </w:pPr>
            <w:r>
              <w:rPr>
                <w:rFonts w:eastAsiaTheme="minorEastAsia"/>
                <w:sz w:val="24"/>
              </w:rPr>
              <w:t>本项目噪声主要来自生产车间内的机械设备（主要为球磨机、破碎机、切割机等）产生的噪声，</w:t>
            </w:r>
            <w:r>
              <w:rPr>
                <w:bCs/>
                <w:kern w:val="0"/>
                <w:sz w:val="24"/>
              </w:rPr>
              <w:t>噪声调查清单及降噪措施见下表</w:t>
            </w:r>
            <w:r>
              <w:rPr>
                <w:rFonts w:eastAsiaTheme="minorEastAsia"/>
                <w:sz w:val="24"/>
              </w:rPr>
              <w:t>。</w:t>
            </w:r>
          </w:p>
          <w:p>
            <w:pPr>
              <w:pStyle w:val="61"/>
              <w:spacing w:line="360" w:lineRule="auto"/>
              <w:ind w:firstLine="482" w:firstLineChars="200"/>
              <w:rPr>
                <w:rFonts w:eastAsiaTheme="minorEastAsia"/>
              </w:rPr>
            </w:pPr>
          </w:p>
          <w:p>
            <w:pPr>
              <w:pStyle w:val="61"/>
              <w:spacing w:line="360" w:lineRule="auto"/>
              <w:ind w:firstLine="482" w:firstLineChars="200"/>
              <w:rPr>
                <w:rFonts w:eastAsiaTheme="minorEastAsia"/>
              </w:rPr>
            </w:pPr>
          </w:p>
          <w:p>
            <w:pPr>
              <w:pStyle w:val="61"/>
              <w:spacing w:line="360" w:lineRule="auto"/>
              <w:ind w:firstLine="482" w:firstLineChars="200"/>
              <w:rPr>
                <w:rFonts w:eastAsiaTheme="minorEastAsia"/>
              </w:rPr>
            </w:pPr>
          </w:p>
          <w:p>
            <w:pPr>
              <w:pStyle w:val="61"/>
              <w:spacing w:line="360" w:lineRule="auto"/>
              <w:ind w:firstLine="482" w:firstLineChars="200"/>
              <w:rPr>
                <w:rFonts w:eastAsiaTheme="minorEastAsia"/>
              </w:rPr>
            </w:pPr>
          </w:p>
          <w:p>
            <w:pPr>
              <w:pStyle w:val="61"/>
              <w:spacing w:line="360" w:lineRule="auto"/>
              <w:ind w:firstLine="482" w:firstLineChars="200"/>
              <w:rPr>
                <w:rFonts w:eastAsiaTheme="minorEastAsia"/>
              </w:rPr>
            </w:pPr>
          </w:p>
          <w:p/>
          <w:p>
            <w:pPr>
              <w:pStyle w:val="2"/>
            </w:pPr>
          </w:p>
          <w:p>
            <w:pPr>
              <w:pStyle w:val="61"/>
              <w:spacing w:line="360" w:lineRule="auto"/>
              <w:ind w:firstLine="482" w:firstLineChars="200"/>
              <w:rPr>
                <w:rFonts w:eastAsiaTheme="minorEastAsia"/>
              </w:rPr>
            </w:pPr>
          </w:p>
          <w:p>
            <w:pPr>
              <w:pStyle w:val="61"/>
              <w:spacing w:line="360" w:lineRule="auto"/>
              <w:ind w:firstLine="482" w:firstLineChars="200"/>
              <w:rPr>
                <w:rFonts w:eastAsiaTheme="minorEastAsia"/>
              </w:rPr>
            </w:pPr>
            <w:r>
              <w:rPr>
                <w:rFonts w:eastAsiaTheme="minorEastAsia"/>
              </w:rPr>
              <w:t>表4-11项目运营期主要设备噪声及治理情况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7"/>
              <w:gridCol w:w="505"/>
              <w:gridCol w:w="427"/>
              <w:gridCol w:w="790"/>
              <w:gridCol w:w="643"/>
              <w:gridCol w:w="759"/>
              <w:gridCol w:w="836"/>
              <w:gridCol w:w="413"/>
              <w:gridCol w:w="909"/>
              <w:gridCol w:w="790"/>
              <w:gridCol w:w="427"/>
              <w:gridCol w:w="823"/>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44" w:type="pct"/>
                  <w:vMerge w:val="restart"/>
                  <w:vAlign w:val="center"/>
                </w:tcPr>
                <w:p>
                  <w:pPr>
                    <w:adjustRightInd w:val="0"/>
                    <w:snapToGrid w:val="0"/>
                    <w:jc w:val="center"/>
                    <w:rPr>
                      <w:b/>
                      <w:kern w:val="0"/>
                      <w:szCs w:val="21"/>
                    </w:rPr>
                  </w:pPr>
                  <w:r>
                    <w:rPr>
                      <w:rFonts w:hint="eastAsia"/>
                      <w:b/>
                      <w:kern w:val="0"/>
                      <w:szCs w:val="21"/>
                    </w:rPr>
                    <w:t>序号</w:t>
                  </w:r>
                </w:p>
              </w:tc>
              <w:tc>
                <w:tcPr>
                  <w:tcW w:w="244" w:type="pct"/>
                  <w:vMerge w:val="restart"/>
                  <w:vAlign w:val="center"/>
                </w:tcPr>
                <w:p>
                  <w:pPr>
                    <w:adjustRightInd w:val="0"/>
                    <w:snapToGrid w:val="0"/>
                    <w:jc w:val="center"/>
                    <w:rPr>
                      <w:b/>
                      <w:kern w:val="0"/>
                      <w:szCs w:val="21"/>
                    </w:rPr>
                  </w:pPr>
                  <w:r>
                    <w:rPr>
                      <w:rFonts w:hint="eastAsia"/>
                      <w:b/>
                      <w:kern w:val="0"/>
                      <w:szCs w:val="21"/>
                    </w:rPr>
                    <w:t>建筑物名称</w:t>
                  </w:r>
                </w:p>
              </w:tc>
              <w:tc>
                <w:tcPr>
                  <w:tcW w:w="288" w:type="pct"/>
                  <w:vMerge w:val="restart"/>
                  <w:vAlign w:val="center"/>
                </w:tcPr>
                <w:p>
                  <w:pPr>
                    <w:adjustRightInd w:val="0"/>
                    <w:snapToGrid w:val="0"/>
                    <w:jc w:val="center"/>
                    <w:rPr>
                      <w:b/>
                      <w:kern w:val="0"/>
                      <w:szCs w:val="21"/>
                    </w:rPr>
                  </w:pPr>
                  <w:r>
                    <w:rPr>
                      <w:rFonts w:hint="eastAsia"/>
                      <w:b/>
                      <w:kern w:val="0"/>
                      <w:szCs w:val="21"/>
                    </w:rPr>
                    <w:t>声源名称</w:t>
                  </w:r>
                </w:p>
              </w:tc>
              <w:tc>
                <w:tcPr>
                  <w:tcW w:w="244" w:type="pct"/>
                  <w:vMerge w:val="restart"/>
                  <w:vAlign w:val="center"/>
                </w:tcPr>
                <w:p>
                  <w:pPr>
                    <w:adjustRightInd w:val="0"/>
                    <w:snapToGrid w:val="0"/>
                    <w:jc w:val="center"/>
                    <w:rPr>
                      <w:b/>
                      <w:kern w:val="0"/>
                      <w:szCs w:val="21"/>
                    </w:rPr>
                  </w:pPr>
                  <w:r>
                    <w:rPr>
                      <w:rFonts w:hint="eastAsia"/>
                      <w:b/>
                      <w:kern w:val="0"/>
                      <w:szCs w:val="21"/>
                    </w:rPr>
                    <w:t>型号</w:t>
                  </w:r>
                </w:p>
              </w:tc>
              <w:tc>
                <w:tcPr>
                  <w:tcW w:w="451" w:type="pct"/>
                  <w:vMerge w:val="restart"/>
                  <w:vAlign w:val="center"/>
                </w:tcPr>
                <w:p>
                  <w:pPr>
                    <w:adjustRightInd w:val="0"/>
                    <w:snapToGrid w:val="0"/>
                    <w:jc w:val="center"/>
                    <w:rPr>
                      <w:b/>
                      <w:kern w:val="0"/>
                      <w:szCs w:val="21"/>
                    </w:rPr>
                  </w:pPr>
                  <w:r>
                    <w:rPr>
                      <w:rFonts w:hint="eastAsia"/>
                      <w:b/>
                      <w:kern w:val="0"/>
                      <w:szCs w:val="21"/>
                    </w:rPr>
                    <w:t>声源源强d</w:t>
                  </w:r>
                  <w:r>
                    <w:rPr>
                      <w:b/>
                      <w:kern w:val="0"/>
                      <w:szCs w:val="21"/>
                    </w:rPr>
                    <w:t>B</w:t>
                  </w:r>
                  <w:r>
                    <w:rPr>
                      <w:rFonts w:hint="eastAsia"/>
                      <w:b/>
                      <w:kern w:val="0"/>
                      <w:szCs w:val="21"/>
                    </w:rPr>
                    <w:t>（A）</w:t>
                  </w:r>
                </w:p>
              </w:tc>
              <w:tc>
                <w:tcPr>
                  <w:tcW w:w="367" w:type="pct"/>
                  <w:vMerge w:val="restart"/>
                  <w:vAlign w:val="center"/>
                </w:tcPr>
                <w:p>
                  <w:pPr>
                    <w:adjustRightInd w:val="0"/>
                    <w:snapToGrid w:val="0"/>
                    <w:jc w:val="center"/>
                    <w:rPr>
                      <w:b/>
                      <w:kern w:val="0"/>
                      <w:szCs w:val="21"/>
                    </w:rPr>
                  </w:pPr>
                  <w:r>
                    <w:rPr>
                      <w:rFonts w:hint="eastAsia"/>
                      <w:b/>
                      <w:kern w:val="0"/>
                      <w:szCs w:val="21"/>
                    </w:rPr>
                    <w:t>声源控制措施</w:t>
                  </w:r>
                </w:p>
              </w:tc>
              <w:tc>
                <w:tcPr>
                  <w:tcW w:w="1146" w:type="pct"/>
                  <w:gridSpan w:val="3"/>
                  <w:vAlign w:val="center"/>
                </w:tcPr>
                <w:p>
                  <w:pPr>
                    <w:adjustRightInd w:val="0"/>
                    <w:snapToGrid w:val="0"/>
                    <w:jc w:val="center"/>
                    <w:rPr>
                      <w:b/>
                      <w:kern w:val="0"/>
                      <w:szCs w:val="21"/>
                    </w:rPr>
                  </w:pPr>
                  <w:r>
                    <w:rPr>
                      <w:rFonts w:hint="eastAsia"/>
                      <w:b/>
                      <w:kern w:val="0"/>
                      <w:szCs w:val="21"/>
                    </w:rPr>
                    <w:t>空间对位置/m</w:t>
                  </w:r>
                </w:p>
              </w:tc>
              <w:tc>
                <w:tcPr>
                  <w:tcW w:w="519" w:type="pct"/>
                  <w:vMerge w:val="restart"/>
                  <w:vAlign w:val="center"/>
                </w:tcPr>
                <w:p>
                  <w:pPr>
                    <w:adjustRightInd w:val="0"/>
                    <w:snapToGrid w:val="0"/>
                    <w:jc w:val="center"/>
                    <w:rPr>
                      <w:b/>
                      <w:kern w:val="0"/>
                      <w:szCs w:val="21"/>
                    </w:rPr>
                  </w:pPr>
                  <w:r>
                    <w:rPr>
                      <w:rFonts w:hint="eastAsia"/>
                      <w:b/>
                      <w:kern w:val="0"/>
                      <w:szCs w:val="21"/>
                    </w:rPr>
                    <w:t>距室内边界距离/</w:t>
                  </w:r>
                  <w:r>
                    <w:rPr>
                      <w:b/>
                      <w:kern w:val="0"/>
                      <w:szCs w:val="21"/>
                    </w:rPr>
                    <w:t>m</w:t>
                  </w:r>
                </w:p>
              </w:tc>
              <w:tc>
                <w:tcPr>
                  <w:tcW w:w="451" w:type="pct"/>
                  <w:vMerge w:val="restart"/>
                  <w:vAlign w:val="center"/>
                </w:tcPr>
                <w:p>
                  <w:pPr>
                    <w:adjustRightInd w:val="0"/>
                    <w:snapToGrid w:val="0"/>
                    <w:jc w:val="center"/>
                    <w:rPr>
                      <w:b/>
                      <w:kern w:val="0"/>
                      <w:szCs w:val="21"/>
                    </w:rPr>
                  </w:pPr>
                  <w:r>
                    <w:rPr>
                      <w:rFonts w:hint="eastAsia"/>
                      <w:b/>
                      <w:kern w:val="0"/>
                      <w:szCs w:val="21"/>
                    </w:rPr>
                    <w:t>室内边界声级d</w:t>
                  </w:r>
                  <w:r>
                    <w:rPr>
                      <w:b/>
                      <w:kern w:val="0"/>
                      <w:szCs w:val="21"/>
                    </w:rPr>
                    <w:t>B</w:t>
                  </w:r>
                  <w:r>
                    <w:rPr>
                      <w:rFonts w:hint="eastAsia"/>
                      <w:b/>
                      <w:kern w:val="0"/>
                      <w:szCs w:val="21"/>
                    </w:rPr>
                    <w:t>（A）</w:t>
                  </w:r>
                </w:p>
              </w:tc>
              <w:tc>
                <w:tcPr>
                  <w:tcW w:w="244" w:type="pct"/>
                  <w:vMerge w:val="restart"/>
                  <w:vAlign w:val="center"/>
                </w:tcPr>
                <w:p>
                  <w:pPr>
                    <w:adjustRightInd w:val="0"/>
                    <w:snapToGrid w:val="0"/>
                    <w:jc w:val="center"/>
                    <w:rPr>
                      <w:b/>
                      <w:kern w:val="0"/>
                      <w:szCs w:val="21"/>
                    </w:rPr>
                  </w:pPr>
                  <w:r>
                    <w:rPr>
                      <w:rFonts w:hint="eastAsia"/>
                      <w:b/>
                      <w:kern w:val="0"/>
                      <w:szCs w:val="21"/>
                    </w:rPr>
                    <w:t>运行时段</w:t>
                  </w:r>
                </w:p>
              </w:tc>
              <w:tc>
                <w:tcPr>
                  <w:tcW w:w="470" w:type="pct"/>
                  <w:vMerge w:val="restart"/>
                  <w:vAlign w:val="center"/>
                </w:tcPr>
                <w:p>
                  <w:pPr>
                    <w:adjustRightInd w:val="0"/>
                    <w:snapToGrid w:val="0"/>
                    <w:jc w:val="center"/>
                    <w:rPr>
                      <w:b/>
                      <w:kern w:val="0"/>
                      <w:szCs w:val="21"/>
                    </w:rPr>
                  </w:pPr>
                  <w:r>
                    <w:rPr>
                      <w:rFonts w:hint="eastAsia"/>
                      <w:b/>
                      <w:kern w:val="0"/>
                      <w:szCs w:val="21"/>
                    </w:rPr>
                    <w:t>建筑物插入损失/</w:t>
                  </w:r>
                  <w:r>
                    <w:rPr>
                      <w:b/>
                      <w:kern w:val="0"/>
                      <w:szCs w:val="21"/>
                    </w:rPr>
                    <w:t>dB(A)</w:t>
                  </w:r>
                </w:p>
              </w:tc>
              <w:tc>
                <w:tcPr>
                  <w:tcW w:w="333" w:type="pct"/>
                  <w:vMerge w:val="restart"/>
                  <w:vAlign w:val="center"/>
                </w:tcPr>
                <w:p>
                  <w:pPr>
                    <w:adjustRightInd w:val="0"/>
                    <w:snapToGrid w:val="0"/>
                    <w:jc w:val="center"/>
                    <w:rPr>
                      <w:b/>
                      <w:kern w:val="0"/>
                      <w:szCs w:val="21"/>
                    </w:rPr>
                  </w:pPr>
                  <w:r>
                    <w:rPr>
                      <w:rFonts w:hint="eastAsia"/>
                      <w:b/>
                      <w:kern w:val="0"/>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Align w:val="center"/>
                </w:tcPr>
                <w:p>
                  <w:pPr>
                    <w:adjustRightInd w:val="0"/>
                    <w:snapToGrid w:val="0"/>
                    <w:jc w:val="center"/>
                    <w:rPr>
                      <w:b/>
                      <w:kern w:val="0"/>
                      <w:szCs w:val="21"/>
                    </w:rPr>
                  </w:pPr>
                  <w:r>
                    <w:rPr>
                      <w:rFonts w:hint="eastAsia"/>
                      <w:b/>
                      <w:kern w:val="0"/>
                      <w:szCs w:val="21"/>
                    </w:rPr>
                    <w:t>X</w:t>
                  </w:r>
                </w:p>
              </w:tc>
              <w:tc>
                <w:tcPr>
                  <w:tcW w:w="477" w:type="pct"/>
                  <w:vAlign w:val="center"/>
                </w:tcPr>
                <w:p>
                  <w:pPr>
                    <w:adjustRightInd w:val="0"/>
                    <w:snapToGrid w:val="0"/>
                    <w:jc w:val="center"/>
                    <w:rPr>
                      <w:b/>
                      <w:kern w:val="0"/>
                      <w:szCs w:val="21"/>
                    </w:rPr>
                  </w:pPr>
                  <w:r>
                    <w:rPr>
                      <w:rFonts w:hint="eastAsia"/>
                      <w:b/>
                      <w:kern w:val="0"/>
                      <w:szCs w:val="21"/>
                    </w:rPr>
                    <w:t>Y</w:t>
                  </w:r>
                </w:p>
              </w:tc>
              <w:tc>
                <w:tcPr>
                  <w:tcW w:w="236" w:type="pct"/>
                  <w:vAlign w:val="center"/>
                </w:tcPr>
                <w:p>
                  <w:pPr>
                    <w:adjustRightInd w:val="0"/>
                    <w:snapToGrid w:val="0"/>
                    <w:jc w:val="center"/>
                    <w:rPr>
                      <w:b/>
                      <w:kern w:val="0"/>
                      <w:szCs w:val="21"/>
                    </w:rPr>
                  </w:pPr>
                  <w:r>
                    <w:rPr>
                      <w:rFonts w:hint="eastAsia"/>
                      <w:b/>
                      <w:kern w:val="0"/>
                      <w:szCs w:val="21"/>
                    </w:rPr>
                    <w:t>Z</w:t>
                  </w:r>
                </w:p>
              </w:tc>
              <w:tc>
                <w:tcPr>
                  <w:tcW w:w="519"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Merge w:val="continue"/>
                  <w:vAlign w:val="center"/>
                </w:tcPr>
                <w:p>
                  <w:pPr>
                    <w:adjustRightInd w:val="0"/>
                    <w:snapToGrid w:val="0"/>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1</w:t>
                  </w:r>
                </w:p>
              </w:tc>
              <w:tc>
                <w:tcPr>
                  <w:tcW w:w="244" w:type="pct"/>
                  <w:vMerge w:val="restart"/>
                  <w:vAlign w:val="center"/>
                </w:tcPr>
                <w:p>
                  <w:pPr>
                    <w:adjustRightInd w:val="0"/>
                    <w:snapToGrid w:val="0"/>
                    <w:jc w:val="center"/>
                    <w:rPr>
                      <w:bCs/>
                      <w:kern w:val="0"/>
                      <w:szCs w:val="21"/>
                    </w:rPr>
                  </w:pPr>
                  <w:r>
                    <w:rPr>
                      <w:rFonts w:hint="eastAsia"/>
                      <w:bCs/>
                      <w:kern w:val="0"/>
                      <w:szCs w:val="21"/>
                    </w:rPr>
                    <w:t>生产车间</w:t>
                  </w:r>
                </w:p>
              </w:tc>
              <w:tc>
                <w:tcPr>
                  <w:tcW w:w="288" w:type="pct"/>
                  <w:vMerge w:val="restart"/>
                  <w:vAlign w:val="center"/>
                </w:tcPr>
                <w:p>
                  <w:pPr>
                    <w:adjustRightInd w:val="0"/>
                    <w:snapToGrid w:val="0"/>
                    <w:jc w:val="center"/>
                    <w:rPr>
                      <w:bCs/>
                      <w:kern w:val="0"/>
                      <w:szCs w:val="21"/>
                    </w:rPr>
                  </w:pPr>
                  <w:r>
                    <w:rPr>
                      <w:rFonts w:hint="eastAsia" w:asciiTheme="minorEastAsia" w:hAnsiTheme="minorEastAsia" w:eastAsiaTheme="minorEastAsia"/>
                      <w:szCs w:val="21"/>
                    </w:rPr>
                    <w:t>球磨机</w:t>
                  </w:r>
                </w:p>
              </w:tc>
              <w:tc>
                <w:tcPr>
                  <w:tcW w:w="244" w:type="pct"/>
                  <w:vMerge w:val="restart"/>
                  <w:vAlign w:val="center"/>
                </w:tcPr>
                <w:p>
                  <w:pPr>
                    <w:adjustRightInd w:val="0"/>
                    <w:snapToGrid w:val="0"/>
                    <w:jc w:val="center"/>
                    <w:rPr>
                      <w:bCs/>
                      <w:kern w:val="0"/>
                      <w:szCs w:val="21"/>
                    </w:rPr>
                  </w:pPr>
                  <w:r>
                    <w:rPr>
                      <w:rFonts w:hint="eastAsia"/>
                      <w:bCs/>
                      <w:kern w:val="0"/>
                      <w:szCs w:val="21"/>
                    </w:rPr>
                    <w:t>/</w:t>
                  </w:r>
                </w:p>
              </w:tc>
              <w:tc>
                <w:tcPr>
                  <w:tcW w:w="451" w:type="pct"/>
                  <w:vMerge w:val="restart"/>
                  <w:vAlign w:val="center"/>
                </w:tcPr>
                <w:p>
                  <w:pPr>
                    <w:adjustRightInd w:val="0"/>
                    <w:snapToGrid w:val="0"/>
                    <w:jc w:val="center"/>
                    <w:rPr>
                      <w:bCs/>
                      <w:kern w:val="0"/>
                      <w:szCs w:val="21"/>
                    </w:rPr>
                  </w:pPr>
                  <w:r>
                    <w:rPr>
                      <w:rFonts w:hint="eastAsia" w:eastAsiaTheme="minorEastAsia"/>
                      <w:szCs w:val="21"/>
                    </w:rPr>
                    <w:t>85~95</w:t>
                  </w:r>
                </w:p>
              </w:tc>
              <w:tc>
                <w:tcPr>
                  <w:tcW w:w="367" w:type="pct"/>
                  <w:vMerge w:val="restart"/>
                  <w:vAlign w:val="center"/>
                </w:tcPr>
                <w:p>
                  <w:pPr>
                    <w:adjustRightInd w:val="0"/>
                    <w:snapToGrid w:val="0"/>
                    <w:rPr>
                      <w:bCs/>
                      <w:kern w:val="0"/>
                      <w:szCs w:val="21"/>
                    </w:rPr>
                  </w:pPr>
                  <w:r>
                    <w:rPr>
                      <w:rFonts w:hint="eastAsia"/>
                      <w:bCs/>
                      <w:kern w:val="0"/>
                      <w:szCs w:val="21"/>
                    </w:rPr>
                    <w:t>选用低噪设备，合理安排车间布局，基础减震，厂房隔音，加强设备维护等</w:t>
                  </w:r>
                </w:p>
              </w:tc>
              <w:tc>
                <w:tcPr>
                  <w:tcW w:w="433" w:type="pct"/>
                  <w:vMerge w:val="restart"/>
                  <w:vAlign w:val="center"/>
                </w:tcPr>
                <w:p>
                  <w:pPr>
                    <w:rPr>
                      <w:szCs w:val="21"/>
                    </w:rPr>
                  </w:pPr>
                  <w:r>
                    <w:rPr>
                      <w:szCs w:val="21"/>
                    </w:rPr>
                    <w:t>6.73</w:t>
                  </w:r>
                </w:p>
              </w:tc>
              <w:tc>
                <w:tcPr>
                  <w:tcW w:w="477" w:type="pct"/>
                  <w:vMerge w:val="restart"/>
                  <w:vAlign w:val="center"/>
                </w:tcPr>
                <w:p>
                  <w:pPr>
                    <w:rPr>
                      <w:szCs w:val="21"/>
                    </w:rPr>
                  </w:pPr>
                  <w:r>
                    <w:rPr>
                      <w:szCs w:val="21"/>
                    </w:rPr>
                    <w:t>-15.25</w:t>
                  </w:r>
                </w:p>
              </w:tc>
              <w:tc>
                <w:tcPr>
                  <w:tcW w:w="236" w:type="pct"/>
                  <w:vMerge w:val="restart"/>
                  <w:vAlign w:val="center"/>
                </w:tcPr>
                <w:p>
                  <w:pPr>
                    <w:rPr>
                      <w:szCs w:val="21"/>
                    </w:rPr>
                  </w:pPr>
                  <w:r>
                    <w:rPr>
                      <w:szCs w:val="21"/>
                    </w:rPr>
                    <w:t>1</w:t>
                  </w:r>
                </w:p>
              </w:tc>
              <w:tc>
                <w:tcPr>
                  <w:tcW w:w="519" w:type="pct"/>
                  <w:vAlign w:val="center"/>
                </w:tcPr>
                <w:p>
                  <w:pPr>
                    <w:rPr>
                      <w:szCs w:val="21"/>
                    </w:rPr>
                  </w:pPr>
                  <w:r>
                    <w:rPr>
                      <w:rFonts w:hint="eastAsia"/>
                      <w:szCs w:val="21"/>
                    </w:rPr>
                    <w:t>东：</w:t>
                  </w:r>
                  <w:r>
                    <w:rPr>
                      <w:szCs w:val="21"/>
                    </w:rPr>
                    <w:t>54</w:t>
                  </w:r>
                </w:p>
              </w:tc>
              <w:tc>
                <w:tcPr>
                  <w:tcW w:w="451" w:type="pct"/>
                  <w:vAlign w:val="center"/>
                </w:tcPr>
                <w:p>
                  <w:pPr>
                    <w:adjustRightInd w:val="0"/>
                    <w:snapToGrid w:val="0"/>
                    <w:jc w:val="center"/>
                    <w:rPr>
                      <w:bCs/>
                      <w:kern w:val="0"/>
                      <w:szCs w:val="21"/>
                    </w:rPr>
                  </w:pPr>
                  <w:r>
                    <w:rPr>
                      <w:bCs/>
                      <w:kern w:val="0"/>
                      <w:szCs w:val="21"/>
                    </w:rPr>
                    <w:t>39.2</w:t>
                  </w:r>
                </w:p>
              </w:tc>
              <w:tc>
                <w:tcPr>
                  <w:tcW w:w="244" w:type="pct"/>
                  <w:vMerge w:val="restart"/>
                  <w:vAlign w:val="center"/>
                </w:tcPr>
                <w:p>
                  <w:pPr>
                    <w:adjustRightInd w:val="0"/>
                    <w:snapToGrid w:val="0"/>
                    <w:jc w:val="center"/>
                    <w:rPr>
                      <w:bCs/>
                      <w:kern w:val="0"/>
                      <w:szCs w:val="21"/>
                    </w:rPr>
                  </w:pPr>
                  <w:r>
                    <w:rPr>
                      <w:rFonts w:hint="eastAsia"/>
                      <w:bCs/>
                      <w:kern w:val="0"/>
                      <w:szCs w:val="21"/>
                    </w:rPr>
                    <w:t>昼间</w:t>
                  </w:r>
                </w:p>
              </w:tc>
              <w:tc>
                <w:tcPr>
                  <w:tcW w:w="470" w:type="pct"/>
                  <w:vMerge w:val="restart"/>
                  <w:vAlign w:val="center"/>
                </w:tcPr>
                <w:p>
                  <w:pPr>
                    <w:adjustRightInd w:val="0"/>
                    <w:snapToGrid w:val="0"/>
                    <w:jc w:val="center"/>
                    <w:rPr>
                      <w:bCs/>
                      <w:kern w:val="0"/>
                      <w:szCs w:val="21"/>
                    </w:rPr>
                  </w:pPr>
                  <w:r>
                    <w:rPr>
                      <w:rFonts w:hint="eastAsia"/>
                      <w:bCs/>
                      <w:kern w:val="0"/>
                      <w:szCs w:val="21"/>
                    </w:rPr>
                    <w:t>1</w:t>
                  </w:r>
                  <w:r>
                    <w:rPr>
                      <w:bCs/>
                      <w:kern w:val="0"/>
                      <w:szCs w:val="21"/>
                    </w:rPr>
                    <w:t>0</w:t>
                  </w:r>
                </w:p>
              </w:tc>
              <w:tc>
                <w:tcPr>
                  <w:tcW w:w="333" w:type="pct"/>
                  <w:vAlign w:val="center"/>
                </w:tcPr>
                <w:p>
                  <w:pPr>
                    <w:adjustRightInd w:val="0"/>
                    <w:snapToGrid w:val="0"/>
                    <w:jc w:val="center"/>
                    <w:rPr>
                      <w:bCs/>
                      <w:kern w:val="0"/>
                      <w:szCs w:val="21"/>
                    </w:rPr>
                  </w:pPr>
                  <w:r>
                    <w:rPr>
                      <w:szCs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rPr>
                      <w:bCs/>
                      <w:kern w:val="0"/>
                      <w:szCs w:val="21"/>
                    </w:rPr>
                  </w:pPr>
                </w:p>
              </w:tc>
              <w:tc>
                <w:tcPr>
                  <w:tcW w:w="433" w:type="pct"/>
                  <w:vMerge w:val="continue"/>
                  <w:vAlign w:val="center"/>
                </w:tcPr>
                <w:p>
                  <w:pPr>
                    <w:rPr>
                      <w:szCs w:val="21"/>
                    </w:rPr>
                  </w:pPr>
                </w:p>
              </w:tc>
              <w:tc>
                <w:tcPr>
                  <w:tcW w:w="477" w:type="pct"/>
                  <w:vMerge w:val="continue"/>
                  <w:vAlign w:val="center"/>
                </w:tcPr>
                <w:p>
                  <w:pPr>
                    <w:rPr>
                      <w:szCs w:val="21"/>
                    </w:rPr>
                  </w:pPr>
                </w:p>
              </w:tc>
              <w:tc>
                <w:tcPr>
                  <w:tcW w:w="236" w:type="pct"/>
                  <w:vMerge w:val="continue"/>
                  <w:vAlign w:val="center"/>
                </w:tcPr>
                <w:p>
                  <w:pPr>
                    <w:rPr>
                      <w:szCs w:val="21"/>
                    </w:rPr>
                  </w:pPr>
                </w:p>
              </w:tc>
              <w:tc>
                <w:tcPr>
                  <w:tcW w:w="519" w:type="pct"/>
                  <w:vAlign w:val="center"/>
                </w:tcPr>
                <w:p>
                  <w:pPr>
                    <w:rPr>
                      <w:szCs w:val="21"/>
                    </w:rPr>
                  </w:pPr>
                  <w:r>
                    <w:rPr>
                      <w:rFonts w:hint="eastAsia"/>
                      <w:szCs w:val="21"/>
                    </w:rPr>
                    <w:t>南：</w:t>
                  </w:r>
                  <w:r>
                    <w:rPr>
                      <w:szCs w:val="21"/>
                    </w:rPr>
                    <w:t>92</w:t>
                  </w:r>
                </w:p>
              </w:tc>
              <w:tc>
                <w:tcPr>
                  <w:tcW w:w="451" w:type="pct"/>
                  <w:vAlign w:val="center"/>
                </w:tcPr>
                <w:p>
                  <w:pPr>
                    <w:adjustRightInd w:val="0"/>
                    <w:snapToGrid w:val="0"/>
                    <w:jc w:val="center"/>
                    <w:rPr>
                      <w:bCs/>
                      <w:kern w:val="0"/>
                      <w:szCs w:val="21"/>
                    </w:rPr>
                  </w:pPr>
                  <w:r>
                    <w:rPr>
                      <w:bCs/>
                      <w:kern w:val="0"/>
                      <w:szCs w:val="21"/>
                    </w:rPr>
                    <w:t>42.9</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szCs w:val="21"/>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rPr>
                      <w:bCs/>
                      <w:kern w:val="0"/>
                      <w:szCs w:val="21"/>
                    </w:rPr>
                  </w:pPr>
                </w:p>
              </w:tc>
              <w:tc>
                <w:tcPr>
                  <w:tcW w:w="433" w:type="pct"/>
                  <w:vMerge w:val="continue"/>
                  <w:vAlign w:val="center"/>
                </w:tcPr>
                <w:p>
                  <w:pPr>
                    <w:rPr>
                      <w:szCs w:val="21"/>
                    </w:rPr>
                  </w:pPr>
                </w:p>
              </w:tc>
              <w:tc>
                <w:tcPr>
                  <w:tcW w:w="477" w:type="pct"/>
                  <w:vMerge w:val="continue"/>
                  <w:vAlign w:val="center"/>
                </w:tcPr>
                <w:p>
                  <w:pPr>
                    <w:rPr>
                      <w:szCs w:val="21"/>
                    </w:rPr>
                  </w:pPr>
                </w:p>
              </w:tc>
              <w:tc>
                <w:tcPr>
                  <w:tcW w:w="236" w:type="pct"/>
                  <w:vMerge w:val="continue"/>
                  <w:vAlign w:val="center"/>
                </w:tcPr>
                <w:p>
                  <w:pPr>
                    <w:rPr>
                      <w:szCs w:val="21"/>
                    </w:rPr>
                  </w:pPr>
                </w:p>
              </w:tc>
              <w:tc>
                <w:tcPr>
                  <w:tcW w:w="519" w:type="pct"/>
                  <w:vAlign w:val="center"/>
                </w:tcPr>
                <w:p>
                  <w:pPr>
                    <w:rPr>
                      <w:szCs w:val="21"/>
                    </w:rPr>
                  </w:pPr>
                  <w:r>
                    <w:rPr>
                      <w:rFonts w:hint="eastAsia"/>
                      <w:szCs w:val="21"/>
                    </w:rPr>
                    <w:t>西：1</w:t>
                  </w:r>
                  <w:r>
                    <w:rPr>
                      <w:szCs w:val="21"/>
                    </w:rPr>
                    <w:t>6</w:t>
                  </w:r>
                </w:p>
              </w:tc>
              <w:tc>
                <w:tcPr>
                  <w:tcW w:w="451" w:type="pct"/>
                  <w:vAlign w:val="center"/>
                </w:tcPr>
                <w:p>
                  <w:pPr>
                    <w:adjustRightInd w:val="0"/>
                    <w:snapToGrid w:val="0"/>
                    <w:jc w:val="center"/>
                    <w:rPr>
                      <w:bCs/>
                      <w:kern w:val="0"/>
                      <w:szCs w:val="21"/>
                    </w:rPr>
                  </w:pPr>
                  <w:r>
                    <w:rPr>
                      <w:bCs/>
                      <w:kern w:val="0"/>
                      <w:szCs w:val="21"/>
                    </w:rPr>
                    <w:t>52.9</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szCs w:val="21"/>
                    </w:rPr>
                    <w:t xml:space="preserve">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rPr>
                      <w:bCs/>
                      <w:kern w:val="0"/>
                      <w:szCs w:val="21"/>
                    </w:rPr>
                  </w:pPr>
                </w:p>
              </w:tc>
              <w:tc>
                <w:tcPr>
                  <w:tcW w:w="433" w:type="pct"/>
                  <w:vMerge w:val="continue"/>
                  <w:vAlign w:val="center"/>
                </w:tcPr>
                <w:p>
                  <w:pPr>
                    <w:rPr>
                      <w:szCs w:val="21"/>
                    </w:rPr>
                  </w:pPr>
                </w:p>
              </w:tc>
              <w:tc>
                <w:tcPr>
                  <w:tcW w:w="477" w:type="pct"/>
                  <w:vMerge w:val="continue"/>
                  <w:vAlign w:val="center"/>
                </w:tcPr>
                <w:p>
                  <w:pPr>
                    <w:rPr>
                      <w:szCs w:val="21"/>
                    </w:rPr>
                  </w:pPr>
                </w:p>
              </w:tc>
              <w:tc>
                <w:tcPr>
                  <w:tcW w:w="236" w:type="pct"/>
                  <w:vMerge w:val="continue"/>
                  <w:vAlign w:val="center"/>
                </w:tcPr>
                <w:p>
                  <w:pPr>
                    <w:rPr>
                      <w:szCs w:val="21"/>
                    </w:rPr>
                  </w:pPr>
                </w:p>
              </w:tc>
              <w:tc>
                <w:tcPr>
                  <w:tcW w:w="519" w:type="pct"/>
                  <w:vAlign w:val="center"/>
                </w:tcPr>
                <w:p>
                  <w:pPr>
                    <w:rPr>
                      <w:szCs w:val="21"/>
                    </w:rPr>
                  </w:pPr>
                  <w:r>
                    <w:rPr>
                      <w:rFonts w:hint="eastAsia"/>
                      <w:szCs w:val="21"/>
                    </w:rPr>
                    <w:t>北：</w:t>
                  </w:r>
                  <w:r>
                    <w:rPr>
                      <w:szCs w:val="21"/>
                    </w:rPr>
                    <w:t>7</w:t>
                  </w:r>
                </w:p>
              </w:tc>
              <w:tc>
                <w:tcPr>
                  <w:tcW w:w="451" w:type="pct"/>
                  <w:vAlign w:val="center"/>
                </w:tcPr>
                <w:p>
                  <w:pPr>
                    <w:adjustRightInd w:val="0"/>
                    <w:snapToGrid w:val="0"/>
                    <w:jc w:val="center"/>
                    <w:rPr>
                      <w:bCs/>
                      <w:kern w:val="0"/>
                      <w:szCs w:val="21"/>
                    </w:rPr>
                  </w:pPr>
                  <w:r>
                    <w:rPr>
                      <w:bCs/>
                      <w:kern w:val="0"/>
                      <w:szCs w:val="21"/>
                    </w:rPr>
                    <w:t>58.5</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szCs w:val="21"/>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2</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kern w:val="0"/>
                      <w:szCs w:val="21"/>
                    </w:rPr>
                    <w:t>破碎机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eastAsiaTheme="minorEastAsia"/>
                      <w:szCs w:val="21"/>
                    </w:rPr>
                    <w:t>80~90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rPr>
                      <w:szCs w:val="21"/>
                    </w:rPr>
                  </w:pPr>
                  <w:r>
                    <w:rPr>
                      <w:rFonts w:hint="eastAsia"/>
                      <w:szCs w:val="21"/>
                    </w:rPr>
                    <w:t>-31.27</w:t>
                  </w:r>
                </w:p>
              </w:tc>
              <w:tc>
                <w:tcPr>
                  <w:tcW w:w="477" w:type="pct"/>
                  <w:vMerge w:val="restart"/>
                  <w:vAlign w:val="center"/>
                </w:tcPr>
                <w:p>
                  <w:pPr>
                    <w:rPr>
                      <w:szCs w:val="21"/>
                    </w:rPr>
                  </w:pPr>
                  <w:r>
                    <w:rPr>
                      <w:rFonts w:hint="eastAsia"/>
                      <w:szCs w:val="21"/>
                    </w:rPr>
                    <w:t>-</w:t>
                  </w:r>
                  <w:r>
                    <w:rPr>
                      <w:szCs w:val="21"/>
                    </w:rPr>
                    <w:t>66.86</w:t>
                  </w:r>
                </w:p>
              </w:tc>
              <w:tc>
                <w:tcPr>
                  <w:tcW w:w="236" w:type="pct"/>
                  <w:vMerge w:val="restart"/>
                  <w:vAlign w:val="center"/>
                </w:tcPr>
                <w:p>
                  <w:pPr>
                    <w:rPr>
                      <w:szCs w:val="21"/>
                    </w:rPr>
                  </w:pPr>
                  <w:r>
                    <w:rPr>
                      <w:szCs w:val="21"/>
                    </w:rPr>
                    <w:t>1</w:t>
                  </w:r>
                </w:p>
              </w:tc>
              <w:tc>
                <w:tcPr>
                  <w:tcW w:w="519" w:type="pct"/>
                  <w:vAlign w:val="center"/>
                </w:tcPr>
                <w:p>
                  <w:pPr>
                    <w:rPr>
                      <w:szCs w:val="21"/>
                    </w:rPr>
                  </w:pPr>
                  <w:r>
                    <w:rPr>
                      <w:rFonts w:hint="eastAsia"/>
                      <w:szCs w:val="21"/>
                    </w:rPr>
                    <w:t>东：</w:t>
                  </w:r>
                  <w:r>
                    <w:rPr>
                      <w:szCs w:val="21"/>
                    </w:rPr>
                    <w:t>8</w:t>
                  </w:r>
                </w:p>
              </w:tc>
              <w:tc>
                <w:tcPr>
                  <w:tcW w:w="451" w:type="pct"/>
                  <w:vAlign w:val="center"/>
                </w:tcPr>
                <w:p>
                  <w:pPr>
                    <w:adjustRightInd w:val="0"/>
                    <w:snapToGrid w:val="0"/>
                    <w:jc w:val="center"/>
                    <w:rPr>
                      <w:bCs/>
                      <w:kern w:val="0"/>
                      <w:szCs w:val="21"/>
                    </w:rPr>
                  </w:pPr>
                  <w:r>
                    <w:rPr>
                      <w:bCs/>
                      <w:kern w:val="0"/>
                      <w:szCs w:val="21"/>
                    </w:rPr>
                    <w:t>42.4</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rPr>
                      <w:szCs w:val="21"/>
                    </w:rPr>
                  </w:pPr>
                </w:p>
              </w:tc>
              <w:tc>
                <w:tcPr>
                  <w:tcW w:w="477" w:type="pct"/>
                  <w:vMerge w:val="continue"/>
                  <w:vAlign w:val="center"/>
                </w:tcPr>
                <w:p>
                  <w:pPr>
                    <w:rPr>
                      <w:szCs w:val="21"/>
                    </w:rPr>
                  </w:pPr>
                </w:p>
              </w:tc>
              <w:tc>
                <w:tcPr>
                  <w:tcW w:w="236" w:type="pct"/>
                  <w:vMerge w:val="continue"/>
                  <w:vAlign w:val="center"/>
                </w:tcPr>
                <w:p>
                  <w:pPr>
                    <w:rPr>
                      <w:szCs w:val="21"/>
                    </w:rPr>
                  </w:pPr>
                </w:p>
              </w:tc>
              <w:tc>
                <w:tcPr>
                  <w:tcW w:w="519" w:type="pct"/>
                  <w:vAlign w:val="center"/>
                </w:tcPr>
                <w:p>
                  <w:pPr>
                    <w:rPr>
                      <w:szCs w:val="21"/>
                    </w:rPr>
                  </w:pPr>
                  <w:r>
                    <w:rPr>
                      <w:rFonts w:hint="eastAsia"/>
                      <w:szCs w:val="21"/>
                    </w:rPr>
                    <w:t>南：2</w:t>
                  </w:r>
                  <w:r>
                    <w:rPr>
                      <w:szCs w:val="21"/>
                    </w:rPr>
                    <w:t>4</w:t>
                  </w:r>
                </w:p>
              </w:tc>
              <w:tc>
                <w:tcPr>
                  <w:tcW w:w="451" w:type="pct"/>
                  <w:vAlign w:val="center"/>
                </w:tcPr>
                <w:p>
                  <w:pPr>
                    <w:adjustRightInd w:val="0"/>
                    <w:snapToGrid w:val="0"/>
                    <w:jc w:val="center"/>
                    <w:rPr>
                      <w:bCs/>
                      <w:kern w:val="0"/>
                      <w:szCs w:val="21"/>
                    </w:rPr>
                  </w:pPr>
                  <w:r>
                    <w:rPr>
                      <w:szCs w:val="21"/>
                    </w:rPr>
                    <w:t>57.8</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rPr>
                      <w:szCs w:val="21"/>
                    </w:rPr>
                  </w:pPr>
                </w:p>
              </w:tc>
              <w:tc>
                <w:tcPr>
                  <w:tcW w:w="477" w:type="pct"/>
                  <w:vMerge w:val="continue"/>
                  <w:vAlign w:val="center"/>
                </w:tcPr>
                <w:p>
                  <w:pPr>
                    <w:rPr>
                      <w:szCs w:val="21"/>
                    </w:rPr>
                  </w:pPr>
                </w:p>
              </w:tc>
              <w:tc>
                <w:tcPr>
                  <w:tcW w:w="236" w:type="pct"/>
                  <w:vMerge w:val="continue"/>
                  <w:vAlign w:val="center"/>
                </w:tcPr>
                <w:p>
                  <w:pPr>
                    <w:rPr>
                      <w:szCs w:val="21"/>
                    </w:rPr>
                  </w:pPr>
                </w:p>
              </w:tc>
              <w:tc>
                <w:tcPr>
                  <w:tcW w:w="519" w:type="pct"/>
                  <w:vAlign w:val="center"/>
                </w:tcPr>
                <w:p>
                  <w:pPr>
                    <w:rPr>
                      <w:szCs w:val="21"/>
                    </w:rPr>
                  </w:pPr>
                  <w:r>
                    <w:rPr>
                      <w:rFonts w:hint="eastAsia"/>
                      <w:szCs w:val="21"/>
                    </w:rPr>
                    <w:t>西：</w:t>
                  </w:r>
                  <w:r>
                    <w:rPr>
                      <w:szCs w:val="21"/>
                    </w:rPr>
                    <w:t>33</w:t>
                  </w:r>
                </w:p>
              </w:tc>
              <w:tc>
                <w:tcPr>
                  <w:tcW w:w="451" w:type="pct"/>
                  <w:vAlign w:val="center"/>
                </w:tcPr>
                <w:p>
                  <w:pPr>
                    <w:adjustRightInd w:val="0"/>
                    <w:snapToGrid w:val="0"/>
                    <w:jc w:val="center"/>
                    <w:rPr>
                      <w:bCs/>
                      <w:kern w:val="0"/>
                      <w:szCs w:val="21"/>
                    </w:rPr>
                  </w:pPr>
                  <w:r>
                    <w:rPr>
                      <w:szCs w:val="21"/>
                    </w:rPr>
                    <w:t>44.3</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77</w:t>
                  </w:r>
                </w:p>
              </w:tc>
              <w:tc>
                <w:tcPr>
                  <w:tcW w:w="451" w:type="pct"/>
                  <w:vAlign w:val="center"/>
                </w:tcPr>
                <w:p>
                  <w:pPr>
                    <w:adjustRightInd w:val="0"/>
                    <w:snapToGrid w:val="0"/>
                    <w:jc w:val="center"/>
                    <w:rPr>
                      <w:bCs/>
                      <w:kern w:val="0"/>
                      <w:szCs w:val="21"/>
                    </w:rPr>
                  </w:pPr>
                  <w:r>
                    <w:rPr>
                      <w:szCs w:val="21"/>
                    </w:rPr>
                    <w:t>35.7</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3</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asciiTheme="minorEastAsia" w:hAnsiTheme="minorEastAsia" w:eastAsiaTheme="minorEastAsia"/>
                      <w:szCs w:val="21"/>
                    </w:rPr>
                    <w:t>配料机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bCs/>
                      <w:kern w:val="0"/>
                      <w:szCs w:val="21"/>
                    </w:rPr>
                    <w:t>7</w:t>
                  </w:r>
                  <w:r>
                    <w:rPr>
                      <w:bCs/>
                      <w:kern w:val="0"/>
                      <w:szCs w:val="21"/>
                    </w:rPr>
                    <w:t>0~</w:t>
                  </w:r>
                  <w:r>
                    <w:rPr>
                      <w:rFonts w:hint="eastAsia"/>
                      <w:bCs/>
                      <w:kern w:val="0"/>
                      <w:szCs w:val="21"/>
                    </w:rPr>
                    <w:t>80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-0.65</w:t>
                  </w:r>
                </w:p>
              </w:tc>
              <w:tc>
                <w:tcPr>
                  <w:tcW w:w="477" w:type="pct"/>
                  <w:vMerge w:val="restart"/>
                  <w:vAlign w:val="center"/>
                </w:tcPr>
                <w:p>
                  <w:pPr>
                    <w:adjustRightInd w:val="0"/>
                    <w:snapToGrid w:val="0"/>
                    <w:jc w:val="center"/>
                    <w:rPr>
                      <w:bCs/>
                      <w:kern w:val="0"/>
                      <w:szCs w:val="21"/>
                    </w:rPr>
                  </w:pPr>
                  <w:r>
                    <w:rPr>
                      <w:bCs/>
                      <w:kern w:val="0"/>
                      <w:szCs w:val="21"/>
                    </w:rPr>
                    <w:t>-16.49</w:t>
                  </w:r>
                </w:p>
              </w:tc>
              <w:tc>
                <w:tcPr>
                  <w:tcW w:w="236" w:type="pct"/>
                  <w:vMerge w:val="restart"/>
                  <w:vAlign w:val="center"/>
                </w:tcPr>
                <w:p>
                  <w:pPr>
                    <w:adjustRightInd w:val="0"/>
                    <w:snapToGrid w:val="0"/>
                    <w:jc w:val="center"/>
                    <w:rPr>
                      <w:bCs/>
                      <w:kern w:val="0"/>
                      <w:szCs w:val="21"/>
                    </w:rPr>
                  </w:pPr>
                  <w:r>
                    <w:rPr>
                      <w:bCs/>
                      <w:kern w:val="0"/>
                      <w:szCs w:val="21"/>
                    </w:rPr>
                    <w:t>1</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58</w:t>
                  </w:r>
                </w:p>
              </w:tc>
              <w:tc>
                <w:tcPr>
                  <w:tcW w:w="451" w:type="pct"/>
                  <w:vAlign w:val="center"/>
                </w:tcPr>
                <w:p>
                  <w:pPr>
                    <w:adjustRightInd w:val="0"/>
                    <w:snapToGrid w:val="0"/>
                    <w:jc w:val="center"/>
                    <w:rPr>
                      <w:bCs/>
                      <w:kern w:val="0"/>
                      <w:szCs w:val="21"/>
                    </w:rPr>
                  </w:pPr>
                  <w:r>
                    <w:rPr>
                      <w:szCs w:val="21"/>
                    </w:rPr>
                    <w:t>33.3</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86</w:t>
                  </w:r>
                </w:p>
              </w:tc>
              <w:tc>
                <w:tcPr>
                  <w:tcW w:w="451" w:type="pct"/>
                  <w:vAlign w:val="center"/>
                </w:tcPr>
                <w:p>
                  <w:pPr>
                    <w:adjustRightInd w:val="0"/>
                    <w:snapToGrid w:val="0"/>
                    <w:jc w:val="center"/>
                    <w:rPr>
                      <w:bCs/>
                      <w:kern w:val="0"/>
                      <w:szCs w:val="21"/>
                    </w:rPr>
                  </w:pPr>
                  <w:r>
                    <w:rPr>
                      <w:szCs w:val="21"/>
                    </w:rPr>
                    <w:t>38.4</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西：1</w:t>
                  </w:r>
                  <w:r>
                    <w:rPr>
                      <w:bCs/>
                      <w:kern w:val="0"/>
                      <w:szCs w:val="21"/>
                    </w:rPr>
                    <w:t>3</w:t>
                  </w:r>
                </w:p>
              </w:tc>
              <w:tc>
                <w:tcPr>
                  <w:tcW w:w="451" w:type="pct"/>
                  <w:vAlign w:val="center"/>
                </w:tcPr>
                <w:p>
                  <w:pPr>
                    <w:adjustRightInd w:val="0"/>
                    <w:snapToGrid w:val="0"/>
                    <w:jc w:val="center"/>
                    <w:rPr>
                      <w:bCs/>
                      <w:kern w:val="0"/>
                      <w:szCs w:val="21"/>
                    </w:rPr>
                  </w:pPr>
                  <w:r>
                    <w:rPr>
                      <w:szCs w:val="21"/>
                    </w:rPr>
                    <w:t>50.7</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14</w:t>
                  </w:r>
                </w:p>
              </w:tc>
              <w:tc>
                <w:tcPr>
                  <w:tcW w:w="451" w:type="pct"/>
                  <w:vAlign w:val="center"/>
                </w:tcPr>
                <w:p>
                  <w:pPr>
                    <w:adjustRightInd w:val="0"/>
                    <w:snapToGrid w:val="0"/>
                    <w:jc w:val="center"/>
                    <w:rPr>
                      <w:bCs/>
                      <w:kern w:val="0"/>
                      <w:szCs w:val="21"/>
                    </w:rPr>
                  </w:pPr>
                  <w:r>
                    <w:rPr>
                      <w:szCs w:val="21"/>
                    </w:rPr>
                    <w:t>49.6</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4</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asciiTheme="minorEastAsia" w:hAnsiTheme="minorEastAsia" w:eastAsiaTheme="minorEastAsia"/>
                      <w:szCs w:val="21"/>
                    </w:rPr>
                    <w:t>切割机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szCs w:val="21"/>
                    </w:rPr>
                    <w:t>70~8</w:t>
                  </w:r>
                  <w:r>
                    <w:rPr>
                      <w:szCs w:val="21"/>
                    </w:rPr>
                    <w:t>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-3.22</w:t>
                  </w:r>
                </w:p>
              </w:tc>
              <w:tc>
                <w:tcPr>
                  <w:tcW w:w="477" w:type="pct"/>
                  <w:vMerge w:val="restart"/>
                  <w:vAlign w:val="center"/>
                </w:tcPr>
                <w:p>
                  <w:pPr>
                    <w:adjustRightInd w:val="0"/>
                    <w:snapToGrid w:val="0"/>
                    <w:jc w:val="center"/>
                    <w:rPr>
                      <w:bCs/>
                      <w:kern w:val="0"/>
                      <w:szCs w:val="21"/>
                    </w:rPr>
                  </w:pPr>
                  <w:r>
                    <w:rPr>
                      <w:bCs/>
                      <w:kern w:val="0"/>
                      <w:szCs w:val="21"/>
                    </w:rPr>
                    <w:t>-28.86</w:t>
                  </w:r>
                </w:p>
              </w:tc>
              <w:tc>
                <w:tcPr>
                  <w:tcW w:w="236" w:type="pct"/>
                  <w:vMerge w:val="restart"/>
                  <w:vAlign w:val="center"/>
                </w:tcPr>
                <w:p>
                  <w:pPr>
                    <w:adjustRightInd w:val="0"/>
                    <w:snapToGrid w:val="0"/>
                    <w:jc w:val="center"/>
                    <w:rPr>
                      <w:bCs/>
                      <w:kern w:val="0"/>
                      <w:szCs w:val="21"/>
                    </w:rPr>
                  </w:pPr>
                  <w:r>
                    <w:rPr>
                      <w:bCs/>
                      <w:kern w:val="0"/>
                      <w:szCs w:val="21"/>
                    </w:rPr>
                    <w:t>2</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23</w:t>
                  </w:r>
                </w:p>
              </w:tc>
              <w:tc>
                <w:tcPr>
                  <w:tcW w:w="451" w:type="pct"/>
                  <w:vAlign w:val="center"/>
                </w:tcPr>
                <w:p>
                  <w:pPr>
                    <w:adjustRightInd w:val="0"/>
                    <w:snapToGrid w:val="0"/>
                    <w:jc w:val="center"/>
                    <w:rPr>
                      <w:bCs/>
                      <w:kern w:val="0"/>
                      <w:szCs w:val="21"/>
                    </w:rPr>
                  </w:pPr>
                  <w:r>
                    <w:rPr>
                      <w:szCs w:val="21"/>
                    </w:rPr>
                    <w:t>24.7</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75</w:t>
                  </w:r>
                </w:p>
              </w:tc>
              <w:tc>
                <w:tcPr>
                  <w:tcW w:w="451" w:type="pct"/>
                  <w:vAlign w:val="center"/>
                </w:tcPr>
                <w:p>
                  <w:pPr>
                    <w:adjustRightInd w:val="0"/>
                    <w:snapToGrid w:val="0"/>
                    <w:jc w:val="center"/>
                    <w:rPr>
                      <w:bCs/>
                      <w:kern w:val="0"/>
                      <w:szCs w:val="21"/>
                    </w:rPr>
                  </w:pPr>
                  <w:r>
                    <w:rPr>
                      <w:szCs w:val="21"/>
                    </w:rPr>
                    <w:t>33.8</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21</w:t>
                  </w:r>
                </w:p>
              </w:tc>
              <w:tc>
                <w:tcPr>
                  <w:tcW w:w="451" w:type="pct"/>
                  <w:vAlign w:val="center"/>
                </w:tcPr>
                <w:p>
                  <w:pPr>
                    <w:adjustRightInd w:val="0"/>
                    <w:snapToGrid w:val="0"/>
                    <w:jc w:val="center"/>
                    <w:rPr>
                      <w:bCs/>
                      <w:kern w:val="0"/>
                      <w:szCs w:val="21"/>
                    </w:rPr>
                  </w:pPr>
                  <w:r>
                    <w:rPr>
                      <w:szCs w:val="21"/>
                    </w:rPr>
                    <w:t>35.1</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26</w:t>
                  </w:r>
                </w:p>
              </w:tc>
              <w:tc>
                <w:tcPr>
                  <w:tcW w:w="451" w:type="pct"/>
                  <w:vAlign w:val="center"/>
                </w:tcPr>
                <w:p>
                  <w:pPr>
                    <w:adjustRightInd w:val="0"/>
                    <w:snapToGrid w:val="0"/>
                    <w:jc w:val="center"/>
                    <w:rPr>
                      <w:bCs/>
                      <w:kern w:val="0"/>
                      <w:szCs w:val="21"/>
                    </w:rPr>
                  </w:pPr>
                  <w:r>
                    <w:rPr>
                      <w:szCs w:val="21"/>
                    </w:rPr>
                    <w:t>32.2</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5</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ascii="宋体" w:cs="宋体"/>
                      <w:szCs w:val="21"/>
                    </w:rPr>
                    <w:t>牵引机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bCs/>
                      <w:kern w:val="0"/>
                      <w:szCs w:val="21"/>
                    </w:rPr>
                    <w:t>70</w:t>
                  </w:r>
                  <w:r>
                    <w:rPr>
                      <w:bCs/>
                      <w:kern w:val="0"/>
                      <w:szCs w:val="21"/>
                    </w:rPr>
                    <w:t>~80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-5.75</w:t>
                  </w:r>
                </w:p>
              </w:tc>
              <w:tc>
                <w:tcPr>
                  <w:tcW w:w="477" w:type="pct"/>
                  <w:vMerge w:val="restart"/>
                  <w:vAlign w:val="center"/>
                </w:tcPr>
                <w:p>
                  <w:pPr>
                    <w:adjustRightInd w:val="0"/>
                    <w:snapToGrid w:val="0"/>
                    <w:jc w:val="center"/>
                    <w:rPr>
                      <w:bCs/>
                      <w:kern w:val="0"/>
                      <w:szCs w:val="21"/>
                    </w:rPr>
                  </w:pPr>
                  <w:r>
                    <w:rPr>
                      <w:bCs/>
                      <w:kern w:val="0"/>
                      <w:szCs w:val="21"/>
                    </w:rPr>
                    <w:t>-36.83</w:t>
                  </w:r>
                </w:p>
              </w:tc>
              <w:tc>
                <w:tcPr>
                  <w:tcW w:w="236" w:type="pct"/>
                  <w:vMerge w:val="restart"/>
                  <w:vAlign w:val="center"/>
                </w:tcPr>
                <w:p>
                  <w:pPr>
                    <w:adjustRightInd w:val="0"/>
                    <w:snapToGrid w:val="0"/>
                    <w:jc w:val="center"/>
                    <w:rPr>
                      <w:bCs/>
                      <w:kern w:val="0"/>
                      <w:szCs w:val="21"/>
                    </w:rPr>
                  </w:pPr>
                  <w:r>
                    <w:rPr>
                      <w:rFonts w:hint="eastAsia"/>
                      <w:bCs/>
                      <w:kern w:val="0"/>
                      <w:szCs w:val="21"/>
                    </w:rPr>
                    <w:t>3</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16</w:t>
                  </w:r>
                </w:p>
              </w:tc>
              <w:tc>
                <w:tcPr>
                  <w:tcW w:w="451" w:type="pct"/>
                  <w:vAlign w:val="center"/>
                </w:tcPr>
                <w:p>
                  <w:pPr>
                    <w:adjustRightInd w:val="0"/>
                    <w:snapToGrid w:val="0"/>
                    <w:jc w:val="center"/>
                    <w:rPr>
                      <w:bCs/>
                      <w:kern w:val="0"/>
                      <w:szCs w:val="21"/>
                    </w:rPr>
                  </w:pPr>
                  <w:r>
                    <w:rPr>
                      <w:szCs w:val="21"/>
                    </w:rPr>
                    <w:t>25.6</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67</w:t>
                  </w:r>
                </w:p>
              </w:tc>
              <w:tc>
                <w:tcPr>
                  <w:tcW w:w="451" w:type="pct"/>
                  <w:vAlign w:val="center"/>
                </w:tcPr>
                <w:p>
                  <w:pPr>
                    <w:adjustRightInd w:val="0"/>
                    <w:snapToGrid w:val="0"/>
                    <w:jc w:val="center"/>
                    <w:rPr>
                      <w:bCs/>
                      <w:kern w:val="0"/>
                      <w:szCs w:val="21"/>
                    </w:rPr>
                  </w:pPr>
                  <w:r>
                    <w:rPr>
                      <w:szCs w:val="21"/>
                    </w:rPr>
                    <w:t>25.6</w:t>
                  </w:r>
                </w:p>
              </w:tc>
              <w:tc>
                <w:tcPr>
                  <w:tcW w:w="244" w:type="pct"/>
                  <w:vMerge w:val="continue"/>
                  <w:vAlign w:val="center"/>
                </w:tcPr>
                <w:p>
                  <w:pPr>
                    <w:adjustRightInd w:val="0"/>
                    <w:snapToGrid w:val="0"/>
                    <w:jc w:val="center"/>
                    <w:rPr>
                      <w:bCs/>
                      <w:kern w:val="0"/>
                      <w:szCs w:val="21"/>
                      <w:highlight w:val="yellow"/>
                    </w:rPr>
                  </w:pPr>
                </w:p>
              </w:tc>
              <w:tc>
                <w:tcPr>
                  <w:tcW w:w="470" w:type="pct"/>
                  <w:vMerge w:val="continue"/>
                  <w:vAlign w:val="center"/>
                </w:tcPr>
                <w:p>
                  <w:pPr>
                    <w:adjustRightInd w:val="0"/>
                    <w:snapToGrid w:val="0"/>
                    <w:jc w:val="center"/>
                    <w:rPr>
                      <w:bCs/>
                      <w:kern w:val="0"/>
                      <w:szCs w:val="21"/>
                      <w:highlight w:val="yellow"/>
                    </w:rPr>
                  </w:pPr>
                </w:p>
              </w:tc>
              <w:tc>
                <w:tcPr>
                  <w:tcW w:w="333" w:type="pct"/>
                  <w:vAlign w:val="center"/>
                </w:tcPr>
                <w:p>
                  <w:pPr>
                    <w:adjustRightInd w:val="0"/>
                    <w:snapToGrid w:val="0"/>
                    <w:jc w:val="center"/>
                    <w:rPr>
                      <w:bCs/>
                      <w:kern w:val="0"/>
                      <w:szCs w:val="21"/>
                      <w:highlight w:val="yellow"/>
                    </w:rPr>
                  </w:pPr>
                  <w:r>
                    <w:rPr>
                      <w:rFonts w:hint="eastAsia"/>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26</w:t>
                  </w:r>
                </w:p>
              </w:tc>
              <w:tc>
                <w:tcPr>
                  <w:tcW w:w="451" w:type="pct"/>
                  <w:vAlign w:val="center"/>
                </w:tcPr>
                <w:p>
                  <w:pPr>
                    <w:adjustRightInd w:val="0"/>
                    <w:snapToGrid w:val="0"/>
                    <w:jc w:val="center"/>
                    <w:rPr>
                      <w:bCs/>
                      <w:kern w:val="0"/>
                      <w:szCs w:val="21"/>
                    </w:rPr>
                  </w:pPr>
                  <w:r>
                    <w:rPr>
                      <w:szCs w:val="21"/>
                    </w:rPr>
                    <w:t>32.3</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34</w:t>
                  </w:r>
                </w:p>
              </w:tc>
              <w:tc>
                <w:tcPr>
                  <w:tcW w:w="451" w:type="pct"/>
                  <w:vAlign w:val="center"/>
                </w:tcPr>
                <w:p>
                  <w:pPr>
                    <w:adjustRightInd w:val="0"/>
                    <w:snapToGrid w:val="0"/>
                    <w:jc w:val="center"/>
                    <w:rPr>
                      <w:bCs/>
                      <w:kern w:val="0"/>
                      <w:szCs w:val="21"/>
                    </w:rPr>
                  </w:pPr>
                  <w:r>
                    <w:rPr>
                      <w:szCs w:val="21"/>
                    </w:rPr>
                    <w:t>29.1</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bCs/>
                      <w:kern w:val="0"/>
                      <w:szCs w:val="21"/>
                    </w:rPr>
                  </w:pPr>
                  <w:r>
                    <w:rPr>
                      <w:rFonts w:hint="eastAsia"/>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6</w:t>
                  </w:r>
                </w:p>
              </w:tc>
              <w:tc>
                <w:tcPr>
                  <w:tcW w:w="244" w:type="pct"/>
                  <w:vMerge w:val="restart"/>
                  <w:vAlign w:val="center"/>
                </w:tcPr>
                <w:p>
                  <w:pPr>
                    <w:adjustRightInd w:val="0"/>
                    <w:snapToGrid w:val="0"/>
                    <w:jc w:val="center"/>
                    <w:rPr>
                      <w:bCs/>
                      <w:kern w:val="0"/>
                      <w:szCs w:val="21"/>
                    </w:rPr>
                  </w:pPr>
                  <w:r>
                    <w:rPr>
                      <w:rFonts w:hint="eastAsia"/>
                      <w:bCs/>
                      <w:kern w:val="0"/>
                      <w:szCs w:val="21"/>
                    </w:rPr>
                    <w:t>生产车间</w:t>
                  </w:r>
                </w:p>
              </w:tc>
              <w:tc>
                <w:tcPr>
                  <w:tcW w:w="288" w:type="pct"/>
                  <w:vMerge w:val="restart"/>
                  <w:vAlign w:val="center"/>
                </w:tcPr>
                <w:p>
                  <w:pPr>
                    <w:adjustRightInd w:val="0"/>
                    <w:snapToGrid w:val="0"/>
                    <w:jc w:val="center"/>
                    <w:rPr>
                      <w:bCs/>
                      <w:kern w:val="0"/>
                      <w:szCs w:val="21"/>
                    </w:rPr>
                  </w:pPr>
                  <w:r>
                    <w:rPr>
                      <w:rFonts w:hint="eastAsia" w:ascii="宋体" w:cs="宋体"/>
                      <w:szCs w:val="21"/>
                    </w:rPr>
                    <w:t>航吊架</w:t>
                  </w:r>
                </w:p>
              </w:tc>
              <w:tc>
                <w:tcPr>
                  <w:tcW w:w="244" w:type="pct"/>
                  <w:vMerge w:val="restart"/>
                  <w:vAlign w:val="center"/>
                </w:tcPr>
                <w:p>
                  <w:pPr>
                    <w:adjustRightInd w:val="0"/>
                    <w:snapToGrid w:val="0"/>
                    <w:jc w:val="center"/>
                    <w:rPr>
                      <w:bCs/>
                      <w:kern w:val="0"/>
                      <w:szCs w:val="21"/>
                    </w:rPr>
                  </w:pPr>
                  <w:r>
                    <w:rPr>
                      <w:rFonts w:hint="eastAsia"/>
                      <w:bCs/>
                      <w:kern w:val="0"/>
                      <w:szCs w:val="21"/>
                    </w:rPr>
                    <w:t>/</w:t>
                  </w:r>
                </w:p>
              </w:tc>
              <w:tc>
                <w:tcPr>
                  <w:tcW w:w="451" w:type="pct"/>
                  <w:vMerge w:val="restart"/>
                  <w:vAlign w:val="center"/>
                </w:tcPr>
                <w:p>
                  <w:pPr>
                    <w:adjustRightInd w:val="0"/>
                    <w:snapToGrid w:val="0"/>
                    <w:jc w:val="center"/>
                    <w:rPr>
                      <w:bCs/>
                      <w:kern w:val="0"/>
                      <w:szCs w:val="21"/>
                    </w:rPr>
                  </w:pPr>
                  <w:r>
                    <w:rPr>
                      <w:rFonts w:hint="eastAsia"/>
                      <w:szCs w:val="21"/>
                    </w:rPr>
                    <w:t>70~8</w:t>
                  </w:r>
                  <w:r>
                    <w:rPr>
                      <w:szCs w:val="21"/>
                    </w:rPr>
                    <w:t>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16.44</w:t>
                  </w:r>
                </w:p>
              </w:tc>
              <w:tc>
                <w:tcPr>
                  <w:tcW w:w="477" w:type="pct"/>
                  <w:vMerge w:val="restart"/>
                  <w:vAlign w:val="center"/>
                </w:tcPr>
                <w:p>
                  <w:pPr>
                    <w:adjustRightInd w:val="0"/>
                    <w:snapToGrid w:val="0"/>
                    <w:jc w:val="center"/>
                    <w:rPr>
                      <w:bCs/>
                      <w:kern w:val="0"/>
                      <w:szCs w:val="21"/>
                    </w:rPr>
                  </w:pPr>
                  <w:r>
                    <w:rPr>
                      <w:bCs/>
                      <w:kern w:val="0"/>
                      <w:szCs w:val="21"/>
                    </w:rPr>
                    <w:t>-42.97</w:t>
                  </w:r>
                </w:p>
              </w:tc>
              <w:tc>
                <w:tcPr>
                  <w:tcW w:w="236" w:type="pct"/>
                  <w:vMerge w:val="restart"/>
                  <w:vAlign w:val="center"/>
                </w:tcPr>
                <w:p>
                  <w:pPr>
                    <w:adjustRightInd w:val="0"/>
                    <w:snapToGrid w:val="0"/>
                    <w:jc w:val="center"/>
                    <w:rPr>
                      <w:bCs/>
                      <w:kern w:val="0"/>
                      <w:szCs w:val="21"/>
                    </w:rPr>
                  </w:pPr>
                  <w:r>
                    <w:rPr>
                      <w:bCs/>
                      <w:kern w:val="0"/>
                      <w:szCs w:val="21"/>
                    </w:rPr>
                    <w:t>5</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26</w:t>
                  </w:r>
                </w:p>
              </w:tc>
              <w:tc>
                <w:tcPr>
                  <w:tcW w:w="451" w:type="pct"/>
                  <w:vAlign w:val="center"/>
                </w:tcPr>
                <w:p>
                  <w:pPr>
                    <w:adjustRightInd w:val="0"/>
                    <w:snapToGrid w:val="0"/>
                    <w:jc w:val="center"/>
                    <w:rPr>
                      <w:szCs w:val="21"/>
                    </w:rPr>
                  </w:pPr>
                  <w:r>
                    <w:rPr>
                      <w:rFonts w:hint="eastAsia"/>
                      <w:szCs w:val="21"/>
                    </w:rPr>
                    <w:t>3</w:t>
                  </w:r>
                  <w:r>
                    <w:rPr>
                      <w:szCs w:val="21"/>
                    </w:rPr>
                    <w:t>7.6</w:t>
                  </w:r>
                </w:p>
              </w:tc>
              <w:tc>
                <w:tcPr>
                  <w:tcW w:w="244" w:type="pct"/>
                  <w:vMerge w:val="restart"/>
                  <w:vAlign w:val="center"/>
                </w:tcPr>
                <w:p>
                  <w:pPr>
                    <w:adjustRightInd w:val="0"/>
                    <w:snapToGrid w:val="0"/>
                    <w:jc w:val="center"/>
                    <w:rPr>
                      <w:bCs/>
                      <w:kern w:val="0"/>
                      <w:szCs w:val="21"/>
                    </w:rPr>
                  </w:pPr>
                  <w:r>
                    <w:rPr>
                      <w:rFonts w:hint="eastAsia"/>
                      <w:bCs/>
                      <w:kern w:val="0"/>
                      <w:szCs w:val="21"/>
                    </w:rPr>
                    <w:t>昼间</w:t>
                  </w:r>
                </w:p>
              </w:tc>
              <w:tc>
                <w:tcPr>
                  <w:tcW w:w="470" w:type="pct"/>
                  <w:vMerge w:val="restart"/>
                  <w:vAlign w:val="center"/>
                </w:tcPr>
                <w:p>
                  <w:pPr>
                    <w:adjustRightInd w:val="0"/>
                    <w:snapToGrid w:val="0"/>
                    <w:jc w:val="center"/>
                    <w:rPr>
                      <w:bCs/>
                      <w:kern w:val="0"/>
                      <w:szCs w:val="21"/>
                    </w:rPr>
                  </w:pPr>
                  <w:r>
                    <w:rPr>
                      <w:rFonts w:hint="eastAsia"/>
                      <w:bCs/>
                      <w:kern w:val="0"/>
                      <w:szCs w:val="21"/>
                    </w:rPr>
                    <w:t>1</w:t>
                  </w:r>
                  <w:r>
                    <w:rPr>
                      <w:bCs/>
                      <w:kern w:val="0"/>
                      <w:szCs w:val="21"/>
                    </w:rPr>
                    <w:t>0</w:t>
                  </w:r>
                </w:p>
              </w:tc>
              <w:tc>
                <w:tcPr>
                  <w:tcW w:w="333" w:type="pct"/>
                  <w:vAlign w:val="center"/>
                </w:tcPr>
                <w:p>
                  <w:pPr>
                    <w:adjustRightInd w:val="0"/>
                    <w:snapToGrid w:val="0"/>
                    <w:jc w:val="center"/>
                    <w:rPr>
                      <w:szCs w:val="21"/>
                    </w:rPr>
                  </w:pPr>
                  <w:r>
                    <w:rPr>
                      <w:rFonts w:hint="eastAsia"/>
                      <w:szCs w:val="21"/>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17</w:t>
                  </w:r>
                </w:p>
              </w:tc>
              <w:tc>
                <w:tcPr>
                  <w:tcW w:w="451" w:type="pct"/>
                  <w:vAlign w:val="center"/>
                </w:tcPr>
                <w:p>
                  <w:pPr>
                    <w:adjustRightInd w:val="0"/>
                    <w:snapToGrid w:val="0"/>
                    <w:jc w:val="center"/>
                    <w:rPr>
                      <w:szCs w:val="21"/>
                    </w:rPr>
                  </w:pPr>
                  <w:r>
                    <w:rPr>
                      <w:rFonts w:hint="eastAsia"/>
                      <w:szCs w:val="21"/>
                    </w:rPr>
                    <w:t>4</w:t>
                  </w:r>
                  <w:r>
                    <w:rPr>
                      <w:szCs w:val="21"/>
                    </w:rPr>
                    <w:t>2.4</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47</w:t>
                  </w:r>
                </w:p>
              </w:tc>
              <w:tc>
                <w:tcPr>
                  <w:tcW w:w="451" w:type="pct"/>
                  <w:vAlign w:val="center"/>
                </w:tcPr>
                <w:p>
                  <w:pPr>
                    <w:adjustRightInd w:val="0"/>
                    <w:snapToGrid w:val="0"/>
                    <w:jc w:val="center"/>
                    <w:rPr>
                      <w:szCs w:val="21"/>
                    </w:rPr>
                  </w:pPr>
                  <w:r>
                    <w:rPr>
                      <w:rFonts w:hint="eastAsia"/>
                      <w:szCs w:val="21"/>
                    </w:rPr>
                    <w:t>3</w:t>
                  </w:r>
                  <w:r>
                    <w:rPr>
                      <w:szCs w:val="21"/>
                    </w:rPr>
                    <w:t>0.7</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22</w:t>
                  </w:r>
                </w:p>
              </w:tc>
              <w:tc>
                <w:tcPr>
                  <w:tcW w:w="451" w:type="pct"/>
                  <w:vAlign w:val="center"/>
                </w:tcPr>
                <w:p>
                  <w:pPr>
                    <w:adjustRightInd w:val="0"/>
                    <w:snapToGrid w:val="0"/>
                    <w:jc w:val="center"/>
                    <w:rPr>
                      <w:szCs w:val="21"/>
                    </w:rPr>
                  </w:pPr>
                  <w:r>
                    <w:rPr>
                      <w:rFonts w:hint="eastAsia"/>
                      <w:szCs w:val="21"/>
                    </w:rPr>
                    <w:t>3</w:t>
                  </w:r>
                  <w:r>
                    <w:rPr>
                      <w:szCs w:val="21"/>
                    </w:rPr>
                    <w:t>9.3</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7</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ascii="宋体" w:cs="宋体"/>
                      <w:szCs w:val="21"/>
                    </w:rPr>
                    <w:t>混合机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eastAsiaTheme="minorEastAsia"/>
                      <w:szCs w:val="21"/>
                    </w:rPr>
                    <w:t>75~85</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-48.26</w:t>
                  </w:r>
                </w:p>
              </w:tc>
              <w:tc>
                <w:tcPr>
                  <w:tcW w:w="477" w:type="pct"/>
                  <w:vMerge w:val="restart"/>
                  <w:vAlign w:val="center"/>
                </w:tcPr>
                <w:p>
                  <w:pPr>
                    <w:adjustRightInd w:val="0"/>
                    <w:snapToGrid w:val="0"/>
                    <w:jc w:val="center"/>
                    <w:rPr>
                      <w:bCs/>
                      <w:kern w:val="0"/>
                      <w:szCs w:val="21"/>
                    </w:rPr>
                  </w:pPr>
                  <w:r>
                    <w:rPr>
                      <w:bCs/>
                      <w:kern w:val="0"/>
                      <w:szCs w:val="21"/>
                    </w:rPr>
                    <w:t>-49.57</w:t>
                  </w:r>
                </w:p>
              </w:tc>
              <w:tc>
                <w:tcPr>
                  <w:tcW w:w="236" w:type="pct"/>
                  <w:vMerge w:val="restart"/>
                  <w:vAlign w:val="center"/>
                </w:tcPr>
                <w:p>
                  <w:pPr>
                    <w:adjustRightInd w:val="0"/>
                    <w:snapToGrid w:val="0"/>
                    <w:jc w:val="center"/>
                    <w:rPr>
                      <w:bCs/>
                      <w:kern w:val="0"/>
                      <w:szCs w:val="21"/>
                    </w:rPr>
                  </w:pPr>
                  <w:r>
                    <w:rPr>
                      <w:rFonts w:hint="eastAsia"/>
                      <w:bCs/>
                      <w:kern w:val="0"/>
                      <w:szCs w:val="21"/>
                    </w:rPr>
                    <w:t>1</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35</w:t>
                  </w:r>
                </w:p>
              </w:tc>
              <w:tc>
                <w:tcPr>
                  <w:tcW w:w="451" w:type="pct"/>
                  <w:vAlign w:val="center"/>
                </w:tcPr>
                <w:p>
                  <w:pPr>
                    <w:adjustRightInd w:val="0"/>
                    <w:snapToGrid w:val="0"/>
                    <w:jc w:val="center"/>
                    <w:rPr>
                      <w:szCs w:val="21"/>
                    </w:rPr>
                  </w:pPr>
                  <w:r>
                    <w:rPr>
                      <w:rFonts w:hint="eastAsia"/>
                      <w:szCs w:val="21"/>
                    </w:rPr>
                    <w:t>3</w:t>
                  </w:r>
                  <w:r>
                    <w:rPr>
                      <w:szCs w:val="21"/>
                    </w:rPr>
                    <w:t>0.3</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23</w:t>
                  </w:r>
                </w:p>
              </w:tc>
              <w:tc>
                <w:tcPr>
                  <w:tcW w:w="451" w:type="pct"/>
                  <w:vAlign w:val="center"/>
                </w:tcPr>
                <w:p>
                  <w:pPr>
                    <w:adjustRightInd w:val="0"/>
                    <w:snapToGrid w:val="0"/>
                    <w:jc w:val="center"/>
                    <w:rPr>
                      <w:szCs w:val="21"/>
                    </w:rPr>
                  </w:pPr>
                  <w:r>
                    <w:rPr>
                      <w:rFonts w:hint="eastAsia"/>
                      <w:szCs w:val="21"/>
                    </w:rPr>
                    <w:t>3</w:t>
                  </w:r>
                  <w:r>
                    <w:rPr>
                      <w:szCs w:val="21"/>
                    </w:rPr>
                    <w:t>8.8</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7</w:t>
                  </w:r>
                </w:p>
              </w:tc>
              <w:tc>
                <w:tcPr>
                  <w:tcW w:w="451" w:type="pct"/>
                  <w:vAlign w:val="center"/>
                </w:tcPr>
                <w:p>
                  <w:pPr>
                    <w:adjustRightInd w:val="0"/>
                    <w:snapToGrid w:val="0"/>
                    <w:jc w:val="center"/>
                    <w:rPr>
                      <w:szCs w:val="21"/>
                    </w:rPr>
                  </w:pPr>
                  <w:r>
                    <w:rPr>
                      <w:rFonts w:hint="eastAsia"/>
                      <w:szCs w:val="21"/>
                    </w:rPr>
                    <w:t>5</w:t>
                  </w:r>
                  <w:r>
                    <w:rPr>
                      <w:szCs w:val="21"/>
                    </w:rPr>
                    <w:t>5.6</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rFonts w:ascii="宋体" w:cs="宋体"/>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76</w:t>
                  </w:r>
                </w:p>
              </w:tc>
              <w:tc>
                <w:tcPr>
                  <w:tcW w:w="451" w:type="pct"/>
                  <w:vAlign w:val="center"/>
                </w:tcPr>
                <w:p>
                  <w:pPr>
                    <w:adjustRightInd w:val="0"/>
                    <w:snapToGrid w:val="0"/>
                    <w:jc w:val="center"/>
                    <w:rPr>
                      <w:szCs w:val="21"/>
                    </w:rPr>
                  </w:pPr>
                  <w:r>
                    <w:rPr>
                      <w:rFonts w:hint="eastAsia"/>
                      <w:szCs w:val="21"/>
                    </w:rPr>
                    <w:t>3</w:t>
                  </w:r>
                  <w:r>
                    <w:rPr>
                      <w:szCs w:val="21"/>
                    </w:rPr>
                    <w:t>0.8</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8</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cs="宋体"/>
                      <w:kern w:val="0"/>
                      <w:szCs w:val="21"/>
                    </w:rPr>
                    <w:t>筛选机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eastAsiaTheme="minorEastAsia"/>
                      <w:szCs w:val="21"/>
                    </w:rPr>
                    <w:t>75~85</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-41.04</w:t>
                  </w:r>
                </w:p>
              </w:tc>
              <w:tc>
                <w:tcPr>
                  <w:tcW w:w="477" w:type="pct"/>
                  <w:vMerge w:val="restart"/>
                  <w:vAlign w:val="center"/>
                </w:tcPr>
                <w:p>
                  <w:pPr>
                    <w:adjustRightInd w:val="0"/>
                    <w:snapToGrid w:val="0"/>
                    <w:jc w:val="center"/>
                    <w:rPr>
                      <w:bCs/>
                      <w:kern w:val="0"/>
                      <w:szCs w:val="21"/>
                    </w:rPr>
                  </w:pPr>
                  <w:r>
                    <w:rPr>
                      <w:bCs/>
                      <w:kern w:val="0"/>
                      <w:szCs w:val="21"/>
                    </w:rPr>
                    <w:t>-44.59</w:t>
                  </w:r>
                </w:p>
              </w:tc>
              <w:tc>
                <w:tcPr>
                  <w:tcW w:w="236" w:type="pct"/>
                  <w:vMerge w:val="restart"/>
                  <w:vAlign w:val="center"/>
                </w:tcPr>
                <w:p>
                  <w:pPr>
                    <w:adjustRightInd w:val="0"/>
                    <w:snapToGrid w:val="0"/>
                    <w:jc w:val="center"/>
                    <w:rPr>
                      <w:bCs/>
                      <w:kern w:val="0"/>
                      <w:szCs w:val="21"/>
                    </w:rPr>
                  </w:pPr>
                  <w:r>
                    <w:rPr>
                      <w:rFonts w:hint="eastAsia"/>
                      <w:bCs/>
                      <w:kern w:val="0"/>
                      <w:szCs w:val="21"/>
                    </w:rPr>
                    <w:t>1</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37</w:t>
                  </w:r>
                </w:p>
              </w:tc>
              <w:tc>
                <w:tcPr>
                  <w:tcW w:w="451" w:type="pct"/>
                  <w:vAlign w:val="center"/>
                </w:tcPr>
                <w:p>
                  <w:pPr>
                    <w:adjustRightInd w:val="0"/>
                    <w:snapToGrid w:val="0"/>
                    <w:jc w:val="center"/>
                    <w:rPr>
                      <w:szCs w:val="21"/>
                    </w:rPr>
                  </w:pPr>
                  <w:r>
                    <w:rPr>
                      <w:rFonts w:hint="eastAsia"/>
                      <w:szCs w:val="21"/>
                    </w:rPr>
                    <w:t>3</w:t>
                  </w:r>
                  <w:r>
                    <w:rPr>
                      <w:szCs w:val="21"/>
                    </w:rPr>
                    <w:t>9.1</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32</w:t>
                  </w:r>
                </w:p>
              </w:tc>
              <w:tc>
                <w:tcPr>
                  <w:tcW w:w="451" w:type="pct"/>
                  <w:vAlign w:val="center"/>
                </w:tcPr>
                <w:p>
                  <w:pPr>
                    <w:adjustRightInd w:val="0"/>
                    <w:snapToGrid w:val="0"/>
                    <w:jc w:val="center"/>
                    <w:rPr>
                      <w:szCs w:val="21"/>
                    </w:rPr>
                  </w:pPr>
                  <w:r>
                    <w:rPr>
                      <w:rFonts w:hint="eastAsia"/>
                      <w:szCs w:val="21"/>
                    </w:rPr>
                    <w:t>3</w:t>
                  </w:r>
                  <w:r>
                    <w:rPr>
                      <w:szCs w:val="21"/>
                    </w:rPr>
                    <w:t>9.7</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7</w:t>
                  </w:r>
                </w:p>
              </w:tc>
              <w:tc>
                <w:tcPr>
                  <w:tcW w:w="451" w:type="pct"/>
                  <w:vAlign w:val="center"/>
                </w:tcPr>
                <w:p>
                  <w:pPr>
                    <w:adjustRightInd w:val="0"/>
                    <w:snapToGrid w:val="0"/>
                    <w:jc w:val="center"/>
                    <w:rPr>
                      <w:szCs w:val="21"/>
                    </w:rPr>
                  </w:pPr>
                  <w:r>
                    <w:rPr>
                      <w:rFonts w:hint="eastAsia"/>
                      <w:szCs w:val="21"/>
                    </w:rPr>
                    <w:t>5</w:t>
                  </w:r>
                  <w:r>
                    <w:rPr>
                      <w:szCs w:val="21"/>
                    </w:rPr>
                    <w:t>4.7</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67</w:t>
                  </w:r>
                </w:p>
              </w:tc>
              <w:tc>
                <w:tcPr>
                  <w:tcW w:w="451" w:type="pct"/>
                  <w:vAlign w:val="center"/>
                </w:tcPr>
                <w:p>
                  <w:pPr>
                    <w:adjustRightInd w:val="0"/>
                    <w:snapToGrid w:val="0"/>
                    <w:jc w:val="center"/>
                    <w:rPr>
                      <w:szCs w:val="21"/>
                    </w:rPr>
                  </w:pPr>
                  <w:r>
                    <w:rPr>
                      <w:rFonts w:hint="eastAsia"/>
                      <w:szCs w:val="21"/>
                    </w:rPr>
                    <w:t>3</w:t>
                  </w:r>
                  <w:r>
                    <w:rPr>
                      <w:szCs w:val="21"/>
                    </w:rPr>
                    <w:t>2.1</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9</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cs="宋体"/>
                      <w:kern w:val="0"/>
                      <w:szCs w:val="21"/>
                    </w:rPr>
                    <w:t>粉碎机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eastAsiaTheme="minorEastAsia"/>
                      <w:szCs w:val="21"/>
                    </w:rPr>
                    <w:t>75~85</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-31.58</w:t>
                  </w:r>
                </w:p>
              </w:tc>
              <w:tc>
                <w:tcPr>
                  <w:tcW w:w="477" w:type="pct"/>
                  <w:vMerge w:val="restart"/>
                  <w:vAlign w:val="center"/>
                </w:tcPr>
                <w:p>
                  <w:pPr>
                    <w:adjustRightInd w:val="0"/>
                    <w:snapToGrid w:val="0"/>
                    <w:jc w:val="center"/>
                    <w:rPr>
                      <w:bCs/>
                      <w:kern w:val="0"/>
                      <w:szCs w:val="21"/>
                    </w:rPr>
                  </w:pPr>
                  <w:r>
                    <w:rPr>
                      <w:bCs/>
                      <w:kern w:val="0"/>
                      <w:szCs w:val="21"/>
                    </w:rPr>
                    <w:t>-37.02</w:t>
                  </w:r>
                </w:p>
              </w:tc>
              <w:tc>
                <w:tcPr>
                  <w:tcW w:w="236" w:type="pct"/>
                  <w:vMerge w:val="restart"/>
                  <w:vAlign w:val="center"/>
                </w:tcPr>
                <w:p>
                  <w:pPr>
                    <w:adjustRightInd w:val="0"/>
                    <w:snapToGrid w:val="0"/>
                    <w:jc w:val="center"/>
                    <w:rPr>
                      <w:bCs/>
                      <w:kern w:val="0"/>
                      <w:szCs w:val="21"/>
                    </w:rPr>
                  </w:pPr>
                  <w:r>
                    <w:rPr>
                      <w:rFonts w:hint="eastAsia"/>
                      <w:bCs/>
                      <w:kern w:val="0"/>
                      <w:szCs w:val="21"/>
                    </w:rPr>
                    <w:t>1</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33</w:t>
                  </w:r>
                </w:p>
              </w:tc>
              <w:tc>
                <w:tcPr>
                  <w:tcW w:w="451" w:type="pct"/>
                  <w:vAlign w:val="center"/>
                </w:tcPr>
                <w:p>
                  <w:pPr>
                    <w:adjustRightInd w:val="0"/>
                    <w:snapToGrid w:val="0"/>
                    <w:jc w:val="center"/>
                    <w:rPr>
                      <w:szCs w:val="21"/>
                    </w:rPr>
                  </w:pPr>
                  <w:r>
                    <w:rPr>
                      <w:rFonts w:hint="eastAsia"/>
                      <w:szCs w:val="21"/>
                    </w:rPr>
                    <w:t>3</w:t>
                  </w:r>
                  <w:r>
                    <w:rPr>
                      <w:szCs w:val="21"/>
                    </w:rPr>
                    <w:t>9.2</w:t>
                  </w:r>
                </w:p>
              </w:tc>
              <w:tc>
                <w:tcPr>
                  <w:tcW w:w="244" w:type="pct"/>
                  <w:vMerge w:val="restart"/>
                  <w:vAlign w:val="center"/>
                </w:tcPr>
                <w:p>
                  <w:pPr>
                    <w:adjustRightInd w:val="0"/>
                    <w:snapToGrid w:val="0"/>
                    <w:jc w:val="center"/>
                    <w:rPr>
                      <w:bCs/>
                      <w:kern w:val="0"/>
                      <w:szCs w:val="21"/>
                    </w:rPr>
                  </w:pPr>
                  <w:r>
                    <w:rPr>
                      <w:rFonts w:hint="eastAsia"/>
                      <w:bCs/>
                      <w:kern w:val="0"/>
                      <w:szCs w:val="21"/>
                    </w:rPr>
                    <w:t>昼间</w:t>
                  </w:r>
                </w:p>
              </w:tc>
              <w:tc>
                <w:tcPr>
                  <w:tcW w:w="470" w:type="pct"/>
                  <w:vMerge w:val="restart"/>
                  <w:vAlign w:val="center"/>
                </w:tcPr>
                <w:p>
                  <w:pPr>
                    <w:adjustRightInd w:val="0"/>
                    <w:snapToGrid w:val="0"/>
                    <w:jc w:val="center"/>
                    <w:rPr>
                      <w:bCs/>
                      <w:kern w:val="0"/>
                      <w:szCs w:val="21"/>
                    </w:rPr>
                  </w:pPr>
                  <w:r>
                    <w:rPr>
                      <w:rFonts w:hint="eastAsia"/>
                      <w:bCs/>
                      <w:kern w:val="0"/>
                      <w:szCs w:val="21"/>
                    </w:rPr>
                    <w:t>1</w:t>
                  </w:r>
                  <w:r>
                    <w:rPr>
                      <w:bCs/>
                      <w:kern w:val="0"/>
                      <w:szCs w:val="21"/>
                    </w:rPr>
                    <w:t>0</w:t>
                  </w:r>
                </w:p>
              </w:tc>
              <w:tc>
                <w:tcPr>
                  <w:tcW w:w="333" w:type="pct"/>
                  <w:vAlign w:val="center"/>
                </w:tcPr>
                <w:p>
                  <w:pPr>
                    <w:adjustRightInd w:val="0"/>
                    <w:snapToGrid w:val="0"/>
                    <w:jc w:val="center"/>
                    <w:rPr>
                      <w:szCs w:val="21"/>
                    </w:rPr>
                  </w:pPr>
                  <w:r>
                    <w:rPr>
                      <w:rFonts w:hint="eastAsia"/>
                      <w:szCs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46</w:t>
                  </w:r>
                </w:p>
              </w:tc>
              <w:tc>
                <w:tcPr>
                  <w:tcW w:w="451" w:type="pct"/>
                  <w:vAlign w:val="center"/>
                </w:tcPr>
                <w:p>
                  <w:pPr>
                    <w:adjustRightInd w:val="0"/>
                    <w:snapToGrid w:val="0"/>
                    <w:jc w:val="center"/>
                    <w:rPr>
                      <w:szCs w:val="21"/>
                    </w:rPr>
                  </w:pPr>
                  <w:r>
                    <w:rPr>
                      <w:rFonts w:hint="eastAsia"/>
                      <w:szCs w:val="21"/>
                    </w:rPr>
                    <w:t>3</w:t>
                  </w:r>
                  <w:r>
                    <w:rPr>
                      <w:szCs w:val="21"/>
                    </w:rPr>
                    <w:t>6.0</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7</w:t>
                  </w:r>
                </w:p>
              </w:tc>
              <w:tc>
                <w:tcPr>
                  <w:tcW w:w="451" w:type="pct"/>
                  <w:vAlign w:val="center"/>
                </w:tcPr>
                <w:p>
                  <w:pPr>
                    <w:adjustRightInd w:val="0"/>
                    <w:snapToGrid w:val="0"/>
                    <w:jc w:val="center"/>
                    <w:rPr>
                      <w:szCs w:val="21"/>
                    </w:rPr>
                  </w:pPr>
                  <w:r>
                    <w:rPr>
                      <w:rFonts w:hint="eastAsia"/>
                      <w:szCs w:val="21"/>
                    </w:rPr>
                    <w:t>5</w:t>
                  </w:r>
                  <w:r>
                    <w:rPr>
                      <w:szCs w:val="21"/>
                    </w:rPr>
                    <w:t>4.2</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53</w:t>
                  </w:r>
                </w:p>
              </w:tc>
              <w:tc>
                <w:tcPr>
                  <w:tcW w:w="451" w:type="pct"/>
                  <w:vAlign w:val="center"/>
                </w:tcPr>
                <w:p>
                  <w:pPr>
                    <w:adjustRightInd w:val="0"/>
                    <w:snapToGrid w:val="0"/>
                    <w:jc w:val="center"/>
                    <w:rPr>
                      <w:szCs w:val="21"/>
                    </w:rPr>
                  </w:pPr>
                  <w:r>
                    <w:rPr>
                      <w:rFonts w:hint="eastAsia"/>
                      <w:szCs w:val="21"/>
                    </w:rPr>
                    <w:t>3</w:t>
                  </w:r>
                  <w:r>
                    <w:rPr>
                      <w:szCs w:val="21"/>
                    </w:rPr>
                    <w:t>4.3</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restart"/>
                  <w:vAlign w:val="center"/>
                </w:tcPr>
                <w:p>
                  <w:pPr>
                    <w:adjustRightInd w:val="0"/>
                    <w:snapToGrid w:val="0"/>
                    <w:jc w:val="center"/>
                    <w:rPr>
                      <w:bCs/>
                      <w:kern w:val="0"/>
                      <w:szCs w:val="21"/>
                    </w:rPr>
                  </w:pPr>
                  <w:r>
                    <w:rPr>
                      <w:rFonts w:hint="eastAsia"/>
                      <w:bCs/>
                      <w:kern w:val="0"/>
                      <w:szCs w:val="21"/>
                    </w:rPr>
                    <w:t>1</w:t>
                  </w:r>
                  <w:r>
                    <w:rPr>
                      <w:bCs/>
                      <w:kern w:val="0"/>
                      <w:szCs w:val="21"/>
                    </w:rPr>
                    <w:t>0</w:t>
                  </w:r>
                </w:p>
              </w:tc>
              <w:tc>
                <w:tcPr>
                  <w:tcW w:w="244" w:type="pct"/>
                  <w:vMerge w:val="continue"/>
                  <w:vAlign w:val="center"/>
                </w:tcPr>
                <w:p>
                  <w:pPr>
                    <w:adjustRightInd w:val="0"/>
                    <w:snapToGrid w:val="0"/>
                    <w:jc w:val="center"/>
                    <w:rPr>
                      <w:bCs/>
                      <w:kern w:val="0"/>
                      <w:szCs w:val="21"/>
                    </w:rPr>
                  </w:pPr>
                </w:p>
              </w:tc>
              <w:tc>
                <w:tcPr>
                  <w:tcW w:w="288" w:type="pct"/>
                  <w:vMerge w:val="restart"/>
                  <w:vAlign w:val="center"/>
                </w:tcPr>
                <w:p>
                  <w:pPr>
                    <w:adjustRightInd w:val="0"/>
                    <w:snapToGrid w:val="0"/>
                    <w:jc w:val="center"/>
                    <w:rPr>
                      <w:bCs/>
                      <w:kern w:val="0"/>
                      <w:szCs w:val="21"/>
                    </w:rPr>
                  </w:pPr>
                  <w:r>
                    <w:rPr>
                      <w:rFonts w:hint="eastAsia" w:ascii="宋体" w:cs="宋体"/>
                      <w:szCs w:val="21"/>
                    </w:rPr>
                    <w:t>静压机</w:t>
                  </w:r>
                </w:p>
              </w:tc>
              <w:tc>
                <w:tcPr>
                  <w:tcW w:w="244" w:type="pct"/>
                  <w:vMerge w:val="continue"/>
                  <w:vAlign w:val="center"/>
                </w:tcPr>
                <w:p>
                  <w:pPr>
                    <w:adjustRightInd w:val="0"/>
                    <w:snapToGrid w:val="0"/>
                    <w:jc w:val="center"/>
                    <w:rPr>
                      <w:bCs/>
                      <w:kern w:val="0"/>
                      <w:szCs w:val="21"/>
                    </w:rPr>
                  </w:pPr>
                </w:p>
              </w:tc>
              <w:tc>
                <w:tcPr>
                  <w:tcW w:w="451" w:type="pct"/>
                  <w:vMerge w:val="restart"/>
                  <w:vAlign w:val="center"/>
                </w:tcPr>
                <w:p>
                  <w:pPr>
                    <w:adjustRightInd w:val="0"/>
                    <w:snapToGrid w:val="0"/>
                    <w:jc w:val="center"/>
                    <w:rPr>
                      <w:bCs/>
                      <w:kern w:val="0"/>
                      <w:szCs w:val="21"/>
                    </w:rPr>
                  </w:pPr>
                  <w:r>
                    <w:rPr>
                      <w:rFonts w:hint="eastAsia"/>
                      <w:szCs w:val="21"/>
                    </w:rPr>
                    <w:t>70~8</w:t>
                  </w:r>
                  <w:r>
                    <w:rPr>
                      <w:szCs w:val="21"/>
                    </w:rPr>
                    <w:t>0</w:t>
                  </w:r>
                </w:p>
              </w:tc>
              <w:tc>
                <w:tcPr>
                  <w:tcW w:w="367" w:type="pct"/>
                  <w:vMerge w:val="continue"/>
                  <w:vAlign w:val="center"/>
                </w:tcPr>
                <w:p>
                  <w:pPr>
                    <w:adjustRightInd w:val="0"/>
                    <w:snapToGrid w:val="0"/>
                    <w:jc w:val="center"/>
                    <w:rPr>
                      <w:bCs/>
                      <w:kern w:val="0"/>
                      <w:szCs w:val="21"/>
                    </w:rPr>
                  </w:pPr>
                </w:p>
              </w:tc>
              <w:tc>
                <w:tcPr>
                  <w:tcW w:w="433" w:type="pct"/>
                  <w:vMerge w:val="restart"/>
                  <w:vAlign w:val="center"/>
                </w:tcPr>
                <w:p>
                  <w:pPr>
                    <w:adjustRightInd w:val="0"/>
                    <w:snapToGrid w:val="0"/>
                    <w:jc w:val="center"/>
                    <w:rPr>
                      <w:bCs/>
                      <w:kern w:val="0"/>
                      <w:szCs w:val="21"/>
                    </w:rPr>
                  </w:pPr>
                  <w:r>
                    <w:rPr>
                      <w:bCs/>
                      <w:kern w:val="0"/>
                      <w:szCs w:val="21"/>
                    </w:rPr>
                    <w:t>-21.77</w:t>
                  </w:r>
                </w:p>
              </w:tc>
              <w:tc>
                <w:tcPr>
                  <w:tcW w:w="477" w:type="pct"/>
                  <w:vMerge w:val="restart"/>
                  <w:vAlign w:val="center"/>
                </w:tcPr>
                <w:p>
                  <w:pPr>
                    <w:adjustRightInd w:val="0"/>
                    <w:snapToGrid w:val="0"/>
                    <w:jc w:val="center"/>
                    <w:rPr>
                      <w:bCs/>
                      <w:kern w:val="0"/>
                      <w:szCs w:val="21"/>
                    </w:rPr>
                  </w:pPr>
                  <w:r>
                    <w:rPr>
                      <w:bCs/>
                      <w:kern w:val="0"/>
                      <w:szCs w:val="21"/>
                    </w:rPr>
                    <w:t>-31.38</w:t>
                  </w:r>
                </w:p>
              </w:tc>
              <w:tc>
                <w:tcPr>
                  <w:tcW w:w="236" w:type="pct"/>
                  <w:vMerge w:val="restart"/>
                  <w:vAlign w:val="center"/>
                </w:tcPr>
                <w:p>
                  <w:pPr>
                    <w:adjustRightInd w:val="0"/>
                    <w:snapToGrid w:val="0"/>
                    <w:jc w:val="center"/>
                    <w:rPr>
                      <w:bCs/>
                      <w:kern w:val="0"/>
                      <w:szCs w:val="21"/>
                    </w:rPr>
                  </w:pPr>
                  <w:r>
                    <w:rPr>
                      <w:bCs/>
                      <w:kern w:val="0"/>
                      <w:szCs w:val="21"/>
                    </w:rPr>
                    <w:t>3</w:t>
                  </w:r>
                </w:p>
              </w:tc>
              <w:tc>
                <w:tcPr>
                  <w:tcW w:w="519" w:type="pct"/>
                  <w:vAlign w:val="center"/>
                </w:tcPr>
                <w:p>
                  <w:pPr>
                    <w:adjustRightInd w:val="0"/>
                    <w:snapToGrid w:val="0"/>
                    <w:rPr>
                      <w:bCs/>
                      <w:kern w:val="0"/>
                      <w:szCs w:val="21"/>
                    </w:rPr>
                  </w:pPr>
                  <w:r>
                    <w:rPr>
                      <w:rFonts w:hint="eastAsia"/>
                      <w:bCs/>
                      <w:kern w:val="0"/>
                      <w:szCs w:val="21"/>
                    </w:rPr>
                    <w:t>东：</w:t>
                  </w:r>
                  <w:r>
                    <w:rPr>
                      <w:bCs/>
                      <w:kern w:val="0"/>
                      <w:szCs w:val="21"/>
                    </w:rPr>
                    <w:t>32</w:t>
                  </w:r>
                </w:p>
              </w:tc>
              <w:tc>
                <w:tcPr>
                  <w:tcW w:w="451" w:type="pct"/>
                  <w:vAlign w:val="center"/>
                </w:tcPr>
                <w:p>
                  <w:pPr>
                    <w:adjustRightInd w:val="0"/>
                    <w:snapToGrid w:val="0"/>
                    <w:jc w:val="center"/>
                    <w:rPr>
                      <w:szCs w:val="21"/>
                    </w:rPr>
                  </w:pPr>
                  <w:r>
                    <w:rPr>
                      <w:rFonts w:hint="eastAsia"/>
                      <w:szCs w:val="21"/>
                    </w:rPr>
                    <w:t>2</w:t>
                  </w:r>
                  <w:r>
                    <w:rPr>
                      <w:szCs w:val="21"/>
                    </w:rPr>
                    <w:t>9.9</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南：</w:t>
                  </w:r>
                  <w:r>
                    <w:rPr>
                      <w:bCs/>
                      <w:kern w:val="0"/>
                      <w:szCs w:val="21"/>
                    </w:rPr>
                    <w:t>57</w:t>
                  </w:r>
                </w:p>
              </w:tc>
              <w:tc>
                <w:tcPr>
                  <w:tcW w:w="451" w:type="pct"/>
                  <w:vAlign w:val="center"/>
                </w:tcPr>
                <w:p>
                  <w:pPr>
                    <w:adjustRightInd w:val="0"/>
                    <w:snapToGrid w:val="0"/>
                    <w:jc w:val="center"/>
                    <w:rPr>
                      <w:szCs w:val="21"/>
                    </w:rPr>
                  </w:pPr>
                  <w:r>
                    <w:rPr>
                      <w:rFonts w:hint="eastAsia"/>
                      <w:szCs w:val="21"/>
                    </w:rPr>
                    <w:t>2</w:t>
                  </w:r>
                  <w:r>
                    <w:rPr>
                      <w:szCs w:val="21"/>
                    </w:rPr>
                    <w:t>3.6</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西：</w:t>
                  </w:r>
                  <w:r>
                    <w:rPr>
                      <w:bCs/>
                      <w:kern w:val="0"/>
                      <w:szCs w:val="21"/>
                    </w:rPr>
                    <w:t>9</w:t>
                  </w:r>
                </w:p>
              </w:tc>
              <w:tc>
                <w:tcPr>
                  <w:tcW w:w="451" w:type="pct"/>
                  <w:vAlign w:val="center"/>
                </w:tcPr>
                <w:p>
                  <w:pPr>
                    <w:adjustRightInd w:val="0"/>
                    <w:snapToGrid w:val="0"/>
                    <w:jc w:val="center"/>
                    <w:rPr>
                      <w:szCs w:val="21"/>
                    </w:rPr>
                  </w:pPr>
                  <w:r>
                    <w:rPr>
                      <w:rFonts w:hint="eastAsia"/>
                      <w:szCs w:val="21"/>
                    </w:rPr>
                    <w:t>4</w:t>
                  </w:r>
                  <w:r>
                    <w:rPr>
                      <w:szCs w:val="21"/>
                    </w:rPr>
                    <w:t>2.1</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4"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288" w:type="pct"/>
                  <w:vMerge w:val="continue"/>
                  <w:vAlign w:val="center"/>
                </w:tcPr>
                <w:p>
                  <w:pPr>
                    <w:adjustRightInd w:val="0"/>
                    <w:snapToGrid w:val="0"/>
                    <w:jc w:val="center"/>
                    <w:rPr>
                      <w:bCs/>
                      <w:kern w:val="0"/>
                      <w:szCs w:val="21"/>
                    </w:rPr>
                  </w:pPr>
                </w:p>
              </w:tc>
              <w:tc>
                <w:tcPr>
                  <w:tcW w:w="244" w:type="pct"/>
                  <w:vMerge w:val="continue"/>
                  <w:vAlign w:val="center"/>
                </w:tcPr>
                <w:p>
                  <w:pPr>
                    <w:adjustRightInd w:val="0"/>
                    <w:snapToGrid w:val="0"/>
                    <w:jc w:val="center"/>
                    <w:rPr>
                      <w:bCs/>
                      <w:kern w:val="0"/>
                      <w:szCs w:val="21"/>
                    </w:rPr>
                  </w:pPr>
                </w:p>
              </w:tc>
              <w:tc>
                <w:tcPr>
                  <w:tcW w:w="451" w:type="pct"/>
                  <w:vMerge w:val="continue"/>
                  <w:vAlign w:val="center"/>
                </w:tcPr>
                <w:p>
                  <w:pPr>
                    <w:adjustRightInd w:val="0"/>
                    <w:snapToGrid w:val="0"/>
                    <w:jc w:val="center"/>
                    <w:rPr>
                      <w:bCs/>
                      <w:kern w:val="0"/>
                      <w:szCs w:val="21"/>
                    </w:rPr>
                  </w:pPr>
                </w:p>
              </w:tc>
              <w:tc>
                <w:tcPr>
                  <w:tcW w:w="36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477" w:type="pct"/>
                  <w:vMerge w:val="continue"/>
                  <w:vAlign w:val="center"/>
                </w:tcPr>
                <w:p>
                  <w:pPr>
                    <w:adjustRightInd w:val="0"/>
                    <w:snapToGrid w:val="0"/>
                    <w:jc w:val="center"/>
                    <w:rPr>
                      <w:bCs/>
                      <w:kern w:val="0"/>
                      <w:szCs w:val="21"/>
                    </w:rPr>
                  </w:pPr>
                </w:p>
              </w:tc>
              <w:tc>
                <w:tcPr>
                  <w:tcW w:w="236" w:type="pct"/>
                  <w:vMerge w:val="continue"/>
                  <w:vAlign w:val="center"/>
                </w:tcPr>
                <w:p>
                  <w:pPr>
                    <w:adjustRightInd w:val="0"/>
                    <w:snapToGrid w:val="0"/>
                    <w:jc w:val="center"/>
                    <w:rPr>
                      <w:bCs/>
                      <w:kern w:val="0"/>
                      <w:szCs w:val="21"/>
                    </w:rPr>
                  </w:pPr>
                </w:p>
              </w:tc>
              <w:tc>
                <w:tcPr>
                  <w:tcW w:w="519" w:type="pct"/>
                  <w:vAlign w:val="center"/>
                </w:tcPr>
                <w:p>
                  <w:pPr>
                    <w:adjustRightInd w:val="0"/>
                    <w:snapToGrid w:val="0"/>
                    <w:rPr>
                      <w:bCs/>
                      <w:kern w:val="0"/>
                      <w:szCs w:val="21"/>
                    </w:rPr>
                  </w:pPr>
                  <w:r>
                    <w:rPr>
                      <w:rFonts w:hint="eastAsia"/>
                      <w:bCs/>
                      <w:kern w:val="0"/>
                      <w:szCs w:val="21"/>
                    </w:rPr>
                    <w:t>北：</w:t>
                  </w:r>
                  <w:r>
                    <w:rPr>
                      <w:bCs/>
                      <w:kern w:val="0"/>
                      <w:szCs w:val="21"/>
                    </w:rPr>
                    <w:t>42</w:t>
                  </w:r>
                </w:p>
              </w:tc>
              <w:tc>
                <w:tcPr>
                  <w:tcW w:w="451" w:type="pct"/>
                  <w:vAlign w:val="center"/>
                </w:tcPr>
                <w:p>
                  <w:pPr>
                    <w:adjustRightInd w:val="0"/>
                    <w:snapToGrid w:val="0"/>
                    <w:jc w:val="center"/>
                    <w:rPr>
                      <w:szCs w:val="21"/>
                    </w:rPr>
                  </w:pPr>
                  <w:r>
                    <w:rPr>
                      <w:rFonts w:hint="eastAsia"/>
                      <w:szCs w:val="21"/>
                    </w:rPr>
                    <w:t>2</w:t>
                  </w:r>
                  <w:r>
                    <w:rPr>
                      <w:szCs w:val="21"/>
                    </w:rPr>
                    <w:t>6.8</w:t>
                  </w:r>
                </w:p>
              </w:tc>
              <w:tc>
                <w:tcPr>
                  <w:tcW w:w="244" w:type="pct"/>
                  <w:vMerge w:val="continue"/>
                  <w:vAlign w:val="center"/>
                </w:tcPr>
                <w:p>
                  <w:pPr>
                    <w:adjustRightInd w:val="0"/>
                    <w:snapToGrid w:val="0"/>
                    <w:jc w:val="center"/>
                    <w:rPr>
                      <w:bCs/>
                      <w:kern w:val="0"/>
                      <w:szCs w:val="21"/>
                    </w:rPr>
                  </w:pPr>
                </w:p>
              </w:tc>
              <w:tc>
                <w:tcPr>
                  <w:tcW w:w="470" w:type="pct"/>
                  <w:vMerge w:val="continue"/>
                  <w:vAlign w:val="center"/>
                </w:tcPr>
                <w:p>
                  <w:pPr>
                    <w:adjustRightInd w:val="0"/>
                    <w:snapToGrid w:val="0"/>
                    <w:jc w:val="center"/>
                    <w:rPr>
                      <w:bCs/>
                      <w:kern w:val="0"/>
                      <w:szCs w:val="21"/>
                    </w:rPr>
                  </w:pPr>
                </w:p>
              </w:tc>
              <w:tc>
                <w:tcPr>
                  <w:tcW w:w="333" w:type="pct"/>
                  <w:vAlign w:val="center"/>
                </w:tcPr>
                <w:p>
                  <w:pPr>
                    <w:adjustRightInd w:val="0"/>
                    <w:snapToGrid w:val="0"/>
                    <w:jc w:val="center"/>
                    <w:rPr>
                      <w:szCs w:val="21"/>
                    </w:rPr>
                  </w:pPr>
                  <w:r>
                    <w:rPr>
                      <w:rFonts w:hint="eastAsia"/>
                      <w:szCs w:val="21"/>
                    </w:rPr>
                    <w:t>16.8</w:t>
                  </w:r>
                </w:p>
              </w:tc>
            </w:tr>
          </w:tbl>
          <w:p>
            <w:pPr>
              <w:spacing w:before="120" w:beforeLines="50" w:line="360" w:lineRule="auto"/>
              <w:ind w:firstLine="482" w:firstLineChars="200"/>
              <w:rPr>
                <w:rFonts w:eastAsiaTheme="minorEastAsia"/>
                <w:b/>
                <w:sz w:val="24"/>
              </w:rPr>
            </w:pPr>
            <w:r>
              <w:rPr>
                <w:rFonts w:eastAsiaTheme="minorEastAsia"/>
                <w:b/>
                <w:sz w:val="24"/>
              </w:rPr>
              <w:t>3.2 降噪措施及排放强度</w:t>
            </w:r>
          </w:p>
          <w:p>
            <w:pPr>
              <w:spacing w:line="360" w:lineRule="auto"/>
              <w:ind w:firstLine="480" w:firstLineChars="200"/>
              <w:rPr>
                <w:rFonts w:eastAsiaTheme="minorEastAsia"/>
                <w:sz w:val="24"/>
              </w:rPr>
            </w:pPr>
            <w:r>
              <w:rPr>
                <w:rFonts w:eastAsiaTheme="minorEastAsia"/>
                <w:sz w:val="24"/>
              </w:rPr>
              <w:t>本项目运营期主要采取以下措施来降低噪声对声环境的影响。</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1 \* GB3 </w:instrText>
            </w:r>
            <w:r>
              <w:rPr>
                <w:rFonts w:eastAsiaTheme="minorEastAsia"/>
                <w:sz w:val="24"/>
              </w:rPr>
              <w:fldChar w:fldCharType="separate"/>
            </w:r>
            <w:r>
              <w:rPr>
                <w:rFonts w:hint="eastAsia" w:ascii="宋体" w:hAnsi="宋体" w:cs="宋体"/>
                <w:sz w:val="24"/>
              </w:rPr>
              <w:t>①</w:t>
            </w:r>
            <w:r>
              <w:rPr>
                <w:rFonts w:eastAsiaTheme="minorEastAsia"/>
                <w:sz w:val="24"/>
              </w:rPr>
              <w:fldChar w:fldCharType="end"/>
            </w:r>
            <w:r>
              <w:rPr>
                <w:rFonts w:eastAsiaTheme="minorEastAsia"/>
                <w:sz w:val="24"/>
              </w:rPr>
              <w:t>项目夜间不生产，对周围环境无影响。</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2 \* GB3 </w:instrText>
            </w:r>
            <w:r>
              <w:rPr>
                <w:rFonts w:eastAsiaTheme="minorEastAsia"/>
                <w:sz w:val="24"/>
              </w:rPr>
              <w:fldChar w:fldCharType="separate"/>
            </w:r>
            <w:r>
              <w:rPr>
                <w:rFonts w:hint="eastAsia" w:ascii="宋体" w:hAnsi="宋体" w:cs="宋体"/>
                <w:sz w:val="24"/>
              </w:rPr>
              <w:t>②</w:t>
            </w:r>
            <w:r>
              <w:rPr>
                <w:rFonts w:eastAsiaTheme="minorEastAsia"/>
                <w:sz w:val="24"/>
              </w:rPr>
              <w:fldChar w:fldCharType="end"/>
            </w:r>
            <w:r>
              <w:rPr>
                <w:rFonts w:eastAsiaTheme="minorEastAsia"/>
                <w:sz w:val="24"/>
              </w:rPr>
              <w:t>优化总图布置，项目的搅拌工序紧靠西侧砖厂厂房，远离北侧、南侧、东侧附近的农户、村委会等敏感点。</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3 \* GB3 </w:instrText>
            </w:r>
            <w:r>
              <w:rPr>
                <w:rFonts w:eastAsiaTheme="minorEastAsia"/>
                <w:sz w:val="24"/>
              </w:rPr>
              <w:fldChar w:fldCharType="separate"/>
            </w:r>
            <w:r>
              <w:rPr>
                <w:rFonts w:hint="eastAsia" w:ascii="宋体" w:hAnsi="宋体" w:cs="宋体"/>
                <w:sz w:val="24"/>
              </w:rPr>
              <w:t>③</w:t>
            </w:r>
            <w:r>
              <w:rPr>
                <w:rFonts w:eastAsiaTheme="minorEastAsia"/>
                <w:sz w:val="24"/>
              </w:rPr>
              <w:fldChar w:fldCharType="end"/>
            </w:r>
            <w:r>
              <w:rPr>
                <w:rFonts w:eastAsiaTheme="minorEastAsia"/>
                <w:sz w:val="24"/>
              </w:rPr>
              <w:t>车间封闭，本项目生产车间采用树脂瓦全封闭，可以使噪声受到不同程度的隔绝和吸收，做到尽可能屏蔽声源，减少对环境的影响。</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4 \* GB3 </w:instrText>
            </w:r>
            <w:r>
              <w:rPr>
                <w:rFonts w:eastAsiaTheme="minorEastAsia"/>
                <w:sz w:val="24"/>
              </w:rPr>
              <w:fldChar w:fldCharType="separate"/>
            </w:r>
            <w:r>
              <w:rPr>
                <w:rFonts w:hint="eastAsia" w:ascii="宋体" w:hAnsi="宋体" w:cs="宋体"/>
                <w:sz w:val="24"/>
              </w:rPr>
              <w:t>④</w:t>
            </w:r>
            <w:r>
              <w:rPr>
                <w:rFonts w:eastAsiaTheme="minorEastAsia"/>
                <w:sz w:val="24"/>
              </w:rPr>
              <w:fldChar w:fldCharType="end"/>
            </w:r>
            <w:r>
              <w:rPr>
                <w:rFonts w:eastAsiaTheme="minorEastAsia"/>
                <w:sz w:val="24"/>
              </w:rPr>
              <w:t>设备选型过程中，首选低噪声设备，并采取进行基础减震（如安装弹性衬垫和保护套）。平时生产时加强对各机械设备的维修与保养，确保正常运行。</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5 \* GB3 </w:instrText>
            </w:r>
            <w:r>
              <w:rPr>
                <w:rFonts w:eastAsiaTheme="minorEastAsia"/>
                <w:sz w:val="24"/>
              </w:rPr>
              <w:fldChar w:fldCharType="separate"/>
            </w:r>
            <w:r>
              <w:rPr>
                <w:rFonts w:hint="eastAsia" w:ascii="宋体" w:hAnsi="宋体" w:cs="宋体"/>
                <w:sz w:val="24"/>
              </w:rPr>
              <w:t>⑤</w:t>
            </w:r>
            <w:r>
              <w:rPr>
                <w:rFonts w:eastAsiaTheme="minorEastAsia"/>
                <w:sz w:val="24"/>
              </w:rPr>
              <w:fldChar w:fldCharType="end"/>
            </w:r>
            <w:r>
              <w:rPr>
                <w:rFonts w:eastAsiaTheme="minorEastAsia"/>
                <w:sz w:val="24"/>
              </w:rPr>
              <w:t>破碎机采用下沉式安装，在破碎机所有破坏物料撞击处加装耐磨的橡胶作为衬板，以免撞击过大造成噪音；在机器给料板和进料漏斗的传动表面与机架外壳覆盖阻尼材料，减少噪声的辐射面积，根据统计若将机器安装在防振基座上，并采取下沉安装，采用上述降噪措施，整机噪声可降低约15～25dB。</w:t>
            </w:r>
          </w:p>
          <w:p>
            <w:pPr>
              <w:spacing w:line="360" w:lineRule="auto"/>
              <w:ind w:firstLine="480" w:firstLineChars="200"/>
              <w:rPr>
                <w:rFonts w:eastAsiaTheme="minorEastAsia"/>
                <w:b/>
                <w:sz w:val="24"/>
              </w:rPr>
            </w:pPr>
            <w:r>
              <w:rPr>
                <w:rFonts w:eastAsiaTheme="minorEastAsia"/>
                <w:sz w:val="24"/>
              </w:rPr>
              <w:fldChar w:fldCharType="begin"/>
            </w:r>
            <w:r>
              <w:rPr>
                <w:rFonts w:eastAsiaTheme="minorEastAsia"/>
                <w:sz w:val="24"/>
              </w:rPr>
              <w:instrText xml:space="preserve"> = 6 \* GB3 </w:instrText>
            </w:r>
            <w:r>
              <w:rPr>
                <w:rFonts w:eastAsiaTheme="minorEastAsia"/>
                <w:sz w:val="24"/>
              </w:rPr>
              <w:fldChar w:fldCharType="separate"/>
            </w:r>
            <w:r>
              <w:rPr>
                <w:rFonts w:hint="eastAsia" w:ascii="宋体" w:hAnsi="宋体" w:cs="宋体"/>
                <w:sz w:val="24"/>
              </w:rPr>
              <w:t>⑥</w:t>
            </w:r>
            <w:r>
              <w:rPr>
                <w:rFonts w:eastAsiaTheme="minorEastAsia"/>
                <w:sz w:val="24"/>
              </w:rPr>
              <w:fldChar w:fldCharType="end"/>
            </w:r>
            <w:r>
              <w:rPr>
                <w:rFonts w:eastAsiaTheme="minorEastAsia"/>
                <w:sz w:val="24"/>
              </w:rPr>
              <w:t>传输带为输送主要设备，该设备连接各个生产单元，采用动力传控，因此在设备选型时尽量选择噪声低的设备，在生产时定期在滚轴处加润滑油，从而减少摩擦噪声产生。</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7 \* GB3 </w:instrText>
            </w:r>
            <w:r>
              <w:rPr>
                <w:rFonts w:eastAsiaTheme="minorEastAsia"/>
                <w:sz w:val="24"/>
              </w:rPr>
              <w:fldChar w:fldCharType="separate"/>
            </w:r>
            <w:r>
              <w:rPr>
                <w:rFonts w:hint="eastAsia" w:ascii="宋体" w:hAnsi="宋体" w:cs="宋体"/>
                <w:sz w:val="24"/>
              </w:rPr>
              <w:t>⑦</w:t>
            </w:r>
            <w:r>
              <w:rPr>
                <w:rFonts w:eastAsiaTheme="minorEastAsia"/>
                <w:sz w:val="24"/>
              </w:rPr>
              <w:fldChar w:fldCharType="end"/>
            </w:r>
            <w:r>
              <w:rPr>
                <w:rFonts w:eastAsiaTheme="minorEastAsia"/>
                <w:sz w:val="24"/>
              </w:rPr>
              <w:t>合理安排生产，尽量避免投料过多过快，物料投入量稳定，不忽多忽少。</w:t>
            </w:r>
          </w:p>
          <w:p>
            <w:pPr>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8 \* GB3 </w:instrText>
            </w:r>
            <w:r>
              <w:rPr>
                <w:rFonts w:eastAsiaTheme="minorEastAsia"/>
                <w:sz w:val="24"/>
              </w:rPr>
              <w:fldChar w:fldCharType="separate"/>
            </w:r>
            <w:r>
              <w:rPr>
                <w:rFonts w:hint="eastAsia" w:ascii="宋体" w:hAnsi="宋体" w:cs="宋体"/>
                <w:sz w:val="24"/>
              </w:rPr>
              <w:t>⑧</w:t>
            </w:r>
            <w:r>
              <w:rPr>
                <w:rFonts w:eastAsiaTheme="minorEastAsia"/>
                <w:sz w:val="24"/>
              </w:rPr>
              <w:fldChar w:fldCharType="end"/>
            </w:r>
            <w:r>
              <w:rPr>
                <w:rFonts w:eastAsiaTheme="minorEastAsia"/>
                <w:sz w:val="24"/>
              </w:rPr>
              <w:t>合理控制运输车辆的车速，减轻运输车辆在启动及行驶过程发动机轰鸣噪声；加强装卸料管理，轻卸缓放。合理安排运输班次，选择合适的运输路线，合理选择运输时间；原料</w:t>
            </w:r>
            <w:r>
              <w:rPr>
                <w:rFonts w:hint="eastAsia" w:eastAsiaTheme="minorEastAsia"/>
                <w:sz w:val="24"/>
              </w:rPr>
              <w:t>成品</w:t>
            </w:r>
            <w:r>
              <w:rPr>
                <w:rFonts w:eastAsiaTheme="minorEastAsia"/>
                <w:sz w:val="24"/>
              </w:rPr>
              <w:t>运输车辆注意运输过程中绕开居民集中区，避开午休和夜间时间，合理控制车辆运输，避免产生大的交通噪声。</w:t>
            </w:r>
          </w:p>
          <w:p>
            <w:pPr>
              <w:adjustRightInd w:val="0"/>
              <w:snapToGrid w:val="0"/>
              <w:spacing w:line="360" w:lineRule="auto"/>
              <w:ind w:firstLine="480" w:firstLineChars="200"/>
              <w:rPr>
                <w:bCs/>
                <w:kern w:val="0"/>
                <w:sz w:val="24"/>
              </w:rPr>
            </w:pPr>
            <w:r>
              <w:rPr>
                <w:bCs/>
                <w:kern w:val="0"/>
                <w:sz w:val="24"/>
              </w:rPr>
              <w:t>本项目运营期声环境保护目标调查表见下表：</w:t>
            </w:r>
          </w:p>
          <w:p>
            <w:pPr>
              <w:adjustRightInd w:val="0"/>
              <w:snapToGrid w:val="0"/>
              <w:spacing w:line="360" w:lineRule="auto"/>
              <w:ind w:firstLine="482"/>
              <w:jc w:val="center"/>
              <w:rPr>
                <w:b/>
                <w:kern w:val="0"/>
                <w:szCs w:val="21"/>
              </w:rPr>
            </w:pPr>
            <w:r>
              <w:rPr>
                <w:b/>
                <w:kern w:val="0"/>
                <w:szCs w:val="21"/>
              </w:rPr>
              <w:t>表4-12工业企业声环境保护目标调查表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215"/>
              <w:gridCol w:w="861"/>
              <w:gridCol w:w="861"/>
              <w:gridCol w:w="861"/>
              <w:gridCol w:w="1065"/>
              <w:gridCol w:w="759"/>
              <w:gridCol w:w="1215"/>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Merge w:val="restart"/>
                  <w:vAlign w:val="center"/>
                </w:tcPr>
                <w:p>
                  <w:pPr>
                    <w:adjustRightInd w:val="0"/>
                    <w:snapToGrid w:val="0"/>
                    <w:jc w:val="center"/>
                    <w:rPr>
                      <w:b/>
                      <w:kern w:val="0"/>
                      <w:szCs w:val="21"/>
                    </w:rPr>
                  </w:pPr>
                  <w:r>
                    <w:rPr>
                      <w:b/>
                      <w:kern w:val="0"/>
                      <w:szCs w:val="21"/>
                    </w:rPr>
                    <w:t>序号</w:t>
                  </w:r>
                </w:p>
              </w:tc>
              <w:tc>
                <w:tcPr>
                  <w:tcW w:w="693" w:type="pct"/>
                  <w:vMerge w:val="restart"/>
                  <w:vAlign w:val="center"/>
                </w:tcPr>
                <w:p>
                  <w:pPr>
                    <w:adjustRightInd w:val="0"/>
                    <w:snapToGrid w:val="0"/>
                    <w:jc w:val="center"/>
                    <w:rPr>
                      <w:b/>
                      <w:kern w:val="0"/>
                      <w:szCs w:val="21"/>
                    </w:rPr>
                  </w:pPr>
                  <w:r>
                    <w:rPr>
                      <w:b/>
                      <w:kern w:val="0"/>
                      <w:szCs w:val="21"/>
                    </w:rPr>
                    <w:t>声环境保护目标名称</w:t>
                  </w:r>
                </w:p>
              </w:tc>
              <w:tc>
                <w:tcPr>
                  <w:tcW w:w="1473" w:type="pct"/>
                  <w:gridSpan w:val="3"/>
                  <w:vAlign w:val="center"/>
                </w:tcPr>
                <w:p>
                  <w:pPr>
                    <w:adjustRightInd w:val="0"/>
                    <w:snapToGrid w:val="0"/>
                    <w:jc w:val="center"/>
                    <w:rPr>
                      <w:b/>
                      <w:kern w:val="0"/>
                      <w:szCs w:val="21"/>
                    </w:rPr>
                  </w:pPr>
                  <w:r>
                    <w:rPr>
                      <w:b/>
                      <w:kern w:val="0"/>
                      <w:szCs w:val="21"/>
                    </w:rPr>
                    <w:t>空间相对位置</w:t>
                  </w:r>
                </w:p>
              </w:tc>
              <w:tc>
                <w:tcPr>
                  <w:tcW w:w="607" w:type="pct"/>
                  <w:vMerge w:val="restart"/>
                  <w:vAlign w:val="center"/>
                </w:tcPr>
                <w:p>
                  <w:pPr>
                    <w:adjustRightInd w:val="0"/>
                    <w:snapToGrid w:val="0"/>
                    <w:jc w:val="center"/>
                    <w:rPr>
                      <w:b/>
                      <w:kern w:val="0"/>
                      <w:szCs w:val="21"/>
                    </w:rPr>
                  </w:pPr>
                  <w:r>
                    <w:rPr>
                      <w:b/>
                      <w:kern w:val="0"/>
                      <w:szCs w:val="21"/>
                    </w:rPr>
                    <w:t>距厂界最近距离/m</w:t>
                  </w:r>
                </w:p>
              </w:tc>
              <w:tc>
                <w:tcPr>
                  <w:tcW w:w="433" w:type="pct"/>
                  <w:vMerge w:val="restart"/>
                  <w:vAlign w:val="center"/>
                </w:tcPr>
                <w:p>
                  <w:pPr>
                    <w:adjustRightInd w:val="0"/>
                    <w:snapToGrid w:val="0"/>
                    <w:jc w:val="center"/>
                    <w:rPr>
                      <w:b/>
                      <w:kern w:val="0"/>
                      <w:szCs w:val="21"/>
                    </w:rPr>
                  </w:pPr>
                  <w:r>
                    <w:rPr>
                      <w:b/>
                      <w:kern w:val="0"/>
                      <w:szCs w:val="21"/>
                    </w:rPr>
                    <w:t>方位</w:t>
                  </w:r>
                </w:p>
              </w:tc>
              <w:tc>
                <w:tcPr>
                  <w:tcW w:w="693" w:type="pct"/>
                  <w:vMerge w:val="restart"/>
                  <w:vAlign w:val="center"/>
                </w:tcPr>
                <w:p>
                  <w:pPr>
                    <w:adjustRightInd w:val="0"/>
                    <w:snapToGrid w:val="0"/>
                    <w:jc w:val="center"/>
                    <w:rPr>
                      <w:b/>
                      <w:kern w:val="0"/>
                      <w:szCs w:val="21"/>
                    </w:rPr>
                  </w:pPr>
                  <w:r>
                    <w:rPr>
                      <w:b/>
                      <w:kern w:val="0"/>
                      <w:szCs w:val="21"/>
                    </w:rPr>
                    <w:t>执行标准/功能区类别</w:t>
                  </w:r>
                </w:p>
              </w:tc>
              <w:tc>
                <w:tcPr>
                  <w:tcW w:w="820" w:type="pct"/>
                  <w:vMerge w:val="restart"/>
                  <w:vAlign w:val="center"/>
                </w:tcPr>
                <w:p>
                  <w:pPr>
                    <w:adjustRightInd w:val="0"/>
                    <w:snapToGrid w:val="0"/>
                    <w:jc w:val="center"/>
                    <w:rPr>
                      <w:b/>
                      <w:kern w:val="0"/>
                      <w:szCs w:val="21"/>
                    </w:rPr>
                  </w:pPr>
                  <w:r>
                    <w:rPr>
                      <w:b/>
                      <w:kern w:val="0"/>
                      <w:szCs w:val="21"/>
                    </w:rPr>
                    <w:t>声环境保护目标情况说明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Merge w:val="continue"/>
                  <w:vAlign w:val="center"/>
                </w:tcPr>
                <w:p>
                  <w:pPr>
                    <w:adjustRightInd w:val="0"/>
                    <w:snapToGrid w:val="0"/>
                    <w:jc w:val="center"/>
                    <w:rPr>
                      <w:bCs/>
                      <w:kern w:val="0"/>
                      <w:szCs w:val="21"/>
                    </w:rPr>
                  </w:pPr>
                </w:p>
              </w:tc>
              <w:tc>
                <w:tcPr>
                  <w:tcW w:w="693" w:type="pct"/>
                  <w:vMerge w:val="continue"/>
                  <w:vAlign w:val="center"/>
                </w:tcPr>
                <w:p>
                  <w:pPr>
                    <w:adjustRightInd w:val="0"/>
                    <w:snapToGrid w:val="0"/>
                    <w:jc w:val="center"/>
                    <w:rPr>
                      <w:bCs/>
                      <w:kern w:val="0"/>
                      <w:szCs w:val="21"/>
                    </w:rPr>
                  </w:pPr>
                </w:p>
              </w:tc>
              <w:tc>
                <w:tcPr>
                  <w:tcW w:w="491" w:type="pct"/>
                  <w:vAlign w:val="center"/>
                </w:tcPr>
                <w:p>
                  <w:pPr>
                    <w:adjustRightInd w:val="0"/>
                    <w:snapToGrid w:val="0"/>
                    <w:jc w:val="center"/>
                    <w:rPr>
                      <w:b/>
                      <w:kern w:val="0"/>
                      <w:szCs w:val="21"/>
                    </w:rPr>
                  </w:pPr>
                  <w:r>
                    <w:rPr>
                      <w:b/>
                      <w:kern w:val="0"/>
                      <w:szCs w:val="21"/>
                    </w:rPr>
                    <w:t>X</w:t>
                  </w:r>
                </w:p>
              </w:tc>
              <w:tc>
                <w:tcPr>
                  <w:tcW w:w="491" w:type="pct"/>
                  <w:vAlign w:val="center"/>
                </w:tcPr>
                <w:p>
                  <w:pPr>
                    <w:adjustRightInd w:val="0"/>
                    <w:snapToGrid w:val="0"/>
                    <w:jc w:val="center"/>
                    <w:rPr>
                      <w:b/>
                      <w:kern w:val="0"/>
                      <w:szCs w:val="21"/>
                    </w:rPr>
                  </w:pPr>
                  <w:r>
                    <w:rPr>
                      <w:b/>
                      <w:kern w:val="0"/>
                      <w:szCs w:val="21"/>
                    </w:rPr>
                    <w:t>Y</w:t>
                  </w:r>
                </w:p>
              </w:tc>
              <w:tc>
                <w:tcPr>
                  <w:tcW w:w="491" w:type="pct"/>
                  <w:vAlign w:val="center"/>
                </w:tcPr>
                <w:p>
                  <w:pPr>
                    <w:adjustRightInd w:val="0"/>
                    <w:snapToGrid w:val="0"/>
                    <w:jc w:val="center"/>
                    <w:rPr>
                      <w:b/>
                      <w:kern w:val="0"/>
                      <w:szCs w:val="21"/>
                    </w:rPr>
                  </w:pPr>
                  <w:r>
                    <w:rPr>
                      <w:b/>
                      <w:kern w:val="0"/>
                      <w:szCs w:val="21"/>
                    </w:rPr>
                    <w:t>Z</w:t>
                  </w:r>
                </w:p>
              </w:tc>
              <w:tc>
                <w:tcPr>
                  <w:tcW w:w="607" w:type="pct"/>
                  <w:vMerge w:val="continue"/>
                  <w:vAlign w:val="center"/>
                </w:tcPr>
                <w:p>
                  <w:pPr>
                    <w:adjustRightInd w:val="0"/>
                    <w:snapToGrid w:val="0"/>
                    <w:jc w:val="center"/>
                    <w:rPr>
                      <w:bCs/>
                      <w:kern w:val="0"/>
                      <w:szCs w:val="21"/>
                    </w:rPr>
                  </w:pPr>
                </w:p>
              </w:tc>
              <w:tc>
                <w:tcPr>
                  <w:tcW w:w="433" w:type="pct"/>
                  <w:vMerge w:val="continue"/>
                  <w:vAlign w:val="center"/>
                </w:tcPr>
                <w:p>
                  <w:pPr>
                    <w:adjustRightInd w:val="0"/>
                    <w:snapToGrid w:val="0"/>
                    <w:jc w:val="center"/>
                    <w:rPr>
                      <w:bCs/>
                      <w:kern w:val="0"/>
                      <w:szCs w:val="21"/>
                    </w:rPr>
                  </w:pPr>
                </w:p>
              </w:tc>
              <w:tc>
                <w:tcPr>
                  <w:tcW w:w="693" w:type="pct"/>
                  <w:vMerge w:val="continue"/>
                  <w:vAlign w:val="center"/>
                </w:tcPr>
                <w:p>
                  <w:pPr>
                    <w:adjustRightInd w:val="0"/>
                    <w:snapToGrid w:val="0"/>
                    <w:jc w:val="center"/>
                    <w:rPr>
                      <w:bCs/>
                      <w:kern w:val="0"/>
                      <w:szCs w:val="21"/>
                    </w:rPr>
                  </w:pPr>
                </w:p>
              </w:tc>
              <w:tc>
                <w:tcPr>
                  <w:tcW w:w="820" w:type="pct"/>
                  <w:vMerge w:val="continue"/>
                  <w:vAlign w:val="center"/>
                </w:tcPr>
                <w:p>
                  <w:pPr>
                    <w:adjustRightInd w:val="0"/>
                    <w:snapToGrid w:val="0"/>
                    <w:jc w:val="center"/>
                    <w:rPr>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Align w:val="center"/>
                </w:tcPr>
                <w:p>
                  <w:pPr>
                    <w:adjustRightInd w:val="0"/>
                    <w:snapToGrid w:val="0"/>
                    <w:jc w:val="center"/>
                    <w:rPr>
                      <w:b/>
                      <w:kern w:val="0"/>
                      <w:szCs w:val="21"/>
                    </w:rPr>
                  </w:pPr>
                  <w:r>
                    <w:rPr>
                      <w:b/>
                      <w:kern w:val="0"/>
                      <w:szCs w:val="21"/>
                    </w:rPr>
                    <w:t>1</w:t>
                  </w:r>
                </w:p>
              </w:tc>
              <w:tc>
                <w:tcPr>
                  <w:tcW w:w="693" w:type="pct"/>
                  <w:vAlign w:val="center"/>
                </w:tcPr>
                <w:p>
                  <w:pPr>
                    <w:adjustRightInd w:val="0"/>
                    <w:snapToGrid w:val="0"/>
                    <w:jc w:val="center"/>
                    <w:rPr>
                      <w:bCs/>
                      <w:kern w:val="0"/>
                      <w:szCs w:val="21"/>
                    </w:rPr>
                  </w:pPr>
                  <w:r>
                    <w:rPr>
                      <w:bCs/>
                      <w:kern w:val="0"/>
                      <w:szCs w:val="21"/>
                    </w:rPr>
                    <w:t>散居住户</w:t>
                  </w:r>
                </w:p>
              </w:tc>
              <w:tc>
                <w:tcPr>
                  <w:tcW w:w="491" w:type="pct"/>
                  <w:vAlign w:val="center"/>
                </w:tcPr>
                <w:p>
                  <w:pPr>
                    <w:adjustRightInd w:val="0"/>
                    <w:snapToGrid w:val="0"/>
                    <w:jc w:val="center"/>
                    <w:rPr>
                      <w:bCs/>
                      <w:kern w:val="0"/>
                      <w:szCs w:val="21"/>
                    </w:rPr>
                  </w:pPr>
                  <w:r>
                    <w:rPr>
                      <w:bCs/>
                      <w:kern w:val="0"/>
                      <w:szCs w:val="21"/>
                    </w:rPr>
                    <w:t>-6</w:t>
                  </w:r>
                </w:p>
              </w:tc>
              <w:tc>
                <w:tcPr>
                  <w:tcW w:w="491" w:type="pct"/>
                  <w:vAlign w:val="center"/>
                </w:tcPr>
                <w:p>
                  <w:pPr>
                    <w:adjustRightInd w:val="0"/>
                    <w:snapToGrid w:val="0"/>
                    <w:jc w:val="center"/>
                    <w:rPr>
                      <w:bCs/>
                      <w:kern w:val="0"/>
                      <w:szCs w:val="21"/>
                    </w:rPr>
                  </w:pPr>
                  <w:r>
                    <w:rPr>
                      <w:bCs/>
                      <w:kern w:val="0"/>
                      <w:szCs w:val="21"/>
                    </w:rPr>
                    <w:t>3</w:t>
                  </w:r>
                </w:p>
              </w:tc>
              <w:tc>
                <w:tcPr>
                  <w:tcW w:w="491" w:type="pct"/>
                  <w:vAlign w:val="center"/>
                </w:tcPr>
                <w:p>
                  <w:pPr>
                    <w:adjustRightInd w:val="0"/>
                    <w:snapToGrid w:val="0"/>
                    <w:jc w:val="center"/>
                    <w:rPr>
                      <w:bCs/>
                      <w:kern w:val="0"/>
                      <w:szCs w:val="21"/>
                    </w:rPr>
                  </w:pPr>
                  <w:r>
                    <w:rPr>
                      <w:bCs/>
                      <w:kern w:val="0"/>
                      <w:szCs w:val="21"/>
                    </w:rPr>
                    <w:t>1</w:t>
                  </w:r>
                </w:p>
              </w:tc>
              <w:tc>
                <w:tcPr>
                  <w:tcW w:w="607" w:type="pct"/>
                  <w:vAlign w:val="center"/>
                </w:tcPr>
                <w:p>
                  <w:pPr>
                    <w:adjustRightInd w:val="0"/>
                    <w:snapToGrid w:val="0"/>
                    <w:jc w:val="center"/>
                    <w:rPr>
                      <w:bCs/>
                      <w:kern w:val="0"/>
                      <w:szCs w:val="21"/>
                    </w:rPr>
                  </w:pPr>
                  <w:r>
                    <w:rPr>
                      <w:bCs/>
                      <w:kern w:val="0"/>
                      <w:szCs w:val="21"/>
                    </w:rPr>
                    <w:t>48</w:t>
                  </w:r>
                </w:p>
              </w:tc>
              <w:tc>
                <w:tcPr>
                  <w:tcW w:w="433" w:type="pct"/>
                  <w:vAlign w:val="center"/>
                </w:tcPr>
                <w:p>
                  <w:pPr>
                    <w:adjustRightInd w:val="0"/>
                    <w:snapToGrid w:val="0"/>
                    <w:jc w:val="center"/>
                    <w:rPr>
                      <w:bCs/>
                      <w:kern w:val="0"/>
                      <w:szCs w:val="21"/>
                    </w:rPr>
                  </w:pPr>
                  <w:r>
                    <w:rPr>
                      <w:bCs/>
                      <w:kern w:val="0"/>
                      <w:szCs w:val="21"/>
                    </w:rPr>
                    <w:t>北</w:t>
                  </w:r>
                </w:p>
              </w:tc>
              <w:tc>
                <w:tcPr>
                  <w:tcW w:w="693" w:type="pct"/>
                  <w:vMerge w:val="restart"/>
                  <w:vAlign w:val="center"/>
                </w:tcPr>
                <w:p>
                  <w:pPr>
                    <w:adjustRightInd w:val="0"/>
                    <w:snapToGrid w:val="0"/>
                    <w:jc w:val="center"/>
                    <w:rPr>
                      <w:bCs/>
                      <w:kern w:val="0"/>
                      <w:szCs w:val="21"/>
                    </w:rPr>
                  </w:pPr>
                  <w:r>
                    <w:rPr>
                      <w:bCs/>
                      <w:kern w:val="0"/>
                      <w:szCs w:val="21"/>
                    </w:rPr>
                    <w:t>2类功能区</w:t>
                  </w:r>
                </w:p>
              </w:tc>
              <w:tc>
                <w:tcPr>
                  <w:tcW w:w="820" w:type="pct"/>
                  <w:vAlign w:val="center"/>
                </w:tcPr>
                <w:p>
                  <w:pPr>
                    <w:adjustRightInd w:val="0"/>
                    <w:snapToGrid w:val="0"/>
                    <w:jc w:val="center"/>
                    <w:rPr>
                      <w:bCs/>
                      <w:kern w:val="0"/>
                      <w:szCs w:val="21"/>
                    </w:rPr>
                  </w:pPr>
                  <w:r>
                    <w:rPr>
                      <w:bCs/>
                      <w:kern w:val="0"/>
                      <w:szCs w:val="21"/>
                    </w:rPr>
                    <w:t>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Align w:val="center"/>
                </w:tcPr>
                <w:p>
                  <w:pPr>
                    <w:adjustRightInd w:val="0"/>
                    <w:snapToGrid w:val="0"/>
                    <w:jc w:val="center"/>
                    <w:rPr>
                      <w:b/>
                      <w:kern w:val="0"/>
                      <w:szCs w:val="21"/>
                    </w:rPr>
                  </w:pPr>
                  <w:r>
                    <w:rPr>
                      <w:b/>
                      <w:kern w:val="0"/>
                      <w:szCs w:val="21"/>
                    </w:rPr>
                    <w:t>2</w:t>
                  </w:r>
                </w:p>
              </w:tc>
              <w:tc>
                <w:tcPr>
                  <w:tcW w:w="693" w:type="pct"/>
                  <w:vAlign w:val="center"/>
                </w:tcPr>
                <w:p>
                  <w:pPr>
                    <w:adjustRightInd w:val="0"/>
                    <w:snapToGrid w:val="0"/>
                    <w:jc w:val="center"/>
                    <w:rPr>
                      <w:bCs/>
                      <w:kern w:val="0"/>
                      <w:szCs w:val="21"/>
                    </w:rPr>
                  </w:pPr>
                  <w:r>
                    <w:rPr>
                      <w:bCs/>
                      <w:kern w:val="0"/>
                      <w:szCs w:val="21"/>
                    </w:rPr>
                    <w:t>散居住户</w:t>
                  </w:r>
                </w:p>
              </w:tc>
              <w:tc>
                <w:tcPr>
                  <w:tcW w:w="491" w:type="pct"/>
                  <w:vAlign w:val="center"/>
                </w:tcPr>
                <w:p>
                  <w:pPr>
                    <w:adjustRightInd w:val="0"/>
                    <w:snapToGrid w:val="0"/>
                    <w:jc w:val="center"/>
                    <w:rPr>
                      <w:bCs/>
                      <w:kern w:val="0"/>
                      <w:szCs w:val="21"/>
                    </w:rPr>
                  </w:pPr>
                  <w:r>
                    <w:rPr>
                      <w:bCs/>
                      <w:kern w:val="0"/>
                      <w:szCs w:val="21"/>
                    </w:rPr>
                    <w:t>0</w:t>
                  </w:r>
                </w:p>
              </w:tc>
              <w:tc>
                <w:tcPr>
                  <w:tcW w:w="491" w:type="pct"/>
                  <w:vAlign w:val="center"/>
                </w:tcPr>
                <w:p>
                  <w:pPr>
                    <w:adjustRightInd w:val="0"/>
                    <w:snapToGrid w:val="0"/>
                    <w:jc w:val="center"/>
                    <w:rPr>
                      <w:bCs/>
                      <w:kern w:val="0"/>
                      <w:szCs w:val="21"/>
                    </w:rPr>
                  </w:pPr>
                  <w:r>
                    <w:rPr>
                      <w:bCs/>
                      <w:kern w:val="0"/>
                      <w:szCs w:val="21"/>
                    </w:rPr>
                    <w:t>10</w:t>
                  </w:r>
                </w:p>
              </w:tc>
              <w:tc>
                <w:tcPr>
                  <w:tcW w:w="491" w:type="pct"/>
                  <w:vAlign w:val="center"/>
                </w:tcPr>
                <w:p>
                  <w:pPr>
                    <w:adjustRightInd w:val="0"/>
                    <w:snapToGrid w:val="0"/>
                    <w:jc w:val="center"/>
                    <w:rPr>
                      <w:bCs/>
                      <w:kern w:val="0"/>
                      <w:szCs w:val="21"/>
                    </w:rPr>
                  </w:pPr>
                  <w:r>
                    <w:rPr>
                      <w:bCs/>
                      <w:kern w:val="0"/>
                      <w:szCs w:val="21"/>
                    </w:rPr>
                    <w:t>1</w:t>
                  </w:r>
                </w:p>
              </w:tc>
              <w:tc>
                <w:tcPr>
                  <w:tcW w:w="607" w:type="pct"/>
                  <w:vAlign w:val="center"/>
                </w:tcPr>
                <w:p>
                  <w:pPr>
                    <w:adjustRightInd w:val="0"/>
                    <w:snapToGrid w:val="0"/>
                    <w:jc w:val="center"/>
                    <w:rPr>
                      <w:bCs/>
                      <w:kern w:val="0"/>
                      <w:szCs w:val="21"/>
                    </w:rPr>
                  </w:pPr>
                  <w:r>
                    <w:rPr>
                      <w:bCs/>
                      <w:kern w:val="0"/>
                      <w:szCs w:val="21"/>
                    </w:rPr>
                    <w:t>12</w:t>
                  </w:r>
                </w:p>
              </w:tc>
              <w:tc>
                <w:tcPr>
                  <w:tcW w:w="433" w:type="pct"/>
                  <w:vAlign w:val="center"/>
                </w:tcPr>
                <w:p>
                  <w:pPr>
                    <w:adjustRightInd w:val="0"/>
                    <w:snapToGrid w:val="0"/>
                    <w:jc w:val="center"/>
                    <w:rPr>
                      <w:bCs/>
                      <w:kern w:val="0"/>
                      <w:szCs w:val="21"/>
                    </w:rPr>
                  </w:pPr>
                  <w:r>
                    <w:rPr>
                      <w:bCs/>
                      <w:kern w:val="0"/>
                      <w:szCs w:val="21"/>
                    </w:rPr>
                    <w:t>北</w:t>
                  </w:r>
                </w:p>
              </w:tc>
              <w:tc>
                <w:tcPr>
                  <w:tcW w:w="693" w:type="pct"/>
                  <w:vMerge w:val="continue"/>
                  <w:vAlign w:val="center"/>
                </w:tcPr>
                <w:p>
                  <w:pPr>
                    <w:adjustRightInd w:val="0"/>
                    <w:snapToGrid w:val="0"/>
                    <w:jc w:val="center"/>
                    <w:rPr>
                      <w:bCs/>
                      <w:kern w:val="0"/>
                      <w:szCs w:val="21"/>
                    </w:rPr>
                  </w:pPr>
                </w:p>
              </w:tc>
              <w:tc>
                <w:tcPr>
                  <w:tcW w:w="820" w:type="pct"/>
                  <w:vAlign w:val="center"/>
                </w:tcPr>
                <w:p>
                  <w:pPr>
                    <w:adjustRightInd w:val="0"/>
                    <w:snapToGrid w:val="0"/>
                    <w:jc w:val="center"/>
                    <w:rPr>
                      <w:bCs/>
                      <w:kern w:val="0"/>
                      <w:szCs w:val="21"/>
                    </w:rPr>
                  </w:pPr>
                  <w:r>
                    <w:rPr>
                      <w:bCs/>
                      <w:kern w:val="0"/>
                      <w:szCs w:val="21"/>
                    </w:rPr>
                    <w:t>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Align w:val="center"/>
                </w:tcPr>
                <w:p>
                  <w:pPr>
                    <w:adjustRightInd w:val="0"/>
                    <w:snapToGrid w:val="0"/>
                    <w:jc w:val="center"/>
                    <w:rPr>
                      <w:b/>
                      <w:kern w:val="0"/>
                      <w:szCs w:val="21"/>
                    </w:rPr>
                  </w:pPr>
                  <w:r>
                    <w:rPr>
                      <w:b/>
                      <w:kern w:val="0"/>
                      <w:szCs w:val="21"/>
                    </w:rPr>
                    <w:t>3</w:t>
                  </w:r>
                </w:p>
              </w:tc>
              <w:tc>
                <w:tcPr>
                  <w:tcW w:w="693" w:type="pct"/>
                  <w:vAlign w:val="center"/>
                </w:tcPr>
                <w:p>
                  <w:pPr>
                    <w:adjustRightInd w:val="0"/>
                    <w:snapToGrid w:val="0"/>
                    <w:jc w:val="center"/>
                    <w:rPr>
                      <w:bCs/>
                      <w:kern w:val="0"/>
                      <w:szCs w:val="21"/>
                    </w:rPr>
                  </w:pPr>
                  <w:r>
                    <w:rPr>
                      <w:bCs/>
                      <w:kern w:val="0"/>
                      <w:szCs w:val="21"/>
                    </w:rPr>
                    <w:t>散居住户</w:t>
                  </w:r>
                </w:p>
              </w:tc>
              <w:tc>
                <w:tcPr>
                  <w:tcW w:w="491" w:type="pct"/>
                  <w:vAlign w:val="center"/>
                </w:tcPr>
                <w:p>
                  <w:pPr>
                    <w:adjustRightInd w:val="0"/>
                    <w:snapToGrid w:val="0"/>
                    <w:jc w:val="center"/>
                    <w:rPr>
                      <w:bCs/>
                      <w:kern w:val="0"/>
                      <w:szCs w:val="21"/>
                    </w:rPr>
                  </w:pPr>
                  <w:r>
                    <w:rPr>
                      <w:bCs/>
                      <w:kern w:val="0"/>
                      <w:szCs w:val="21"/>
                    </w:rPr>
                    <w:t>1</w:t>
                  </w:r>
                </w:p>
              </w:tc>
              <w:tc>
                <w:tcPr>
                  <w:tcW w:w="491" w:type="pct"/>
                  <w:vAlign w:val="center"/>
                </w:tcPr>
                <w:p>
                  <w:pPr>
                    <w:adjustRightInd w:val="0"/>
                    <w:snapToGrid w:val="0"/>
                    <w:jc w:val="center"/>
                    <w:rPr>
                      <w:bCs/>
                      <w:kern w:val="0"/>
                      <w:szCs w:val="21"/>
                    </w:rPr>
                  </w:pPr>
                  <w:r>
                    <w:rPr>
                      <w:bCs/>
                      <w:kern w:val="0"/>
                      <w:szCs w:val="21"/>
                    </w:rPr>
                    <w:t>2</w:t>
                  </w:r>
                </w:p>
              </w:tc>
              <w:tc>
                <w:tcPr>
                  <w:tcW w:w="491" w:type="pct"/>
                  <w:vAlign w:val="center"/>
                </w:tcPr>
                <w:p>
                  <w:pPr>
                    <w:adjustRightInd w:val="0"/>
                    <w:snapToGrid w:val="0"/>
                    <w:jc w:val="center"/>
                    <w:rPr>
                      <w:bCs/>
                      <w:kern w:val="0"/>
                      <w:szCs w:val="21"/>
                    </w:rPr>
                  </w:pPr>
                  <w:r>
                    <w:rPr>
                      <w:bCs/>
                      <w:kern w:val="0"/>
                      <w:szCs w:val="21"/>
                    </w:rPr>
                    <w:t>1</w:t>
                  </w:r>
                </w:p>
              </w:tc>
              <w:tc>
                <w:tcPr>
                  <w:tcW w:w="607" w:type="pct"/>
                  <w:vAlign w:val="center"/>
                </w:tcPr>
                <w:p>
                  <w:pPr>
                    <w:adjustRightInd w:val="0"/>
                    <w:snapToGrid w:val="0"/>
                    <w:jc w:val="center"/>
                    <w:rPr>
                      <w:bCs/>
                      <w:kern w:val="0"/>
                      <w:szCs w:val="21"/>
                    </w:rPr>
                  </w:pPr>
                  <w:r>
                    <w:rPr>
                      <w:bCs/>
                      <w:kern w:val="0"/>
                      <w:szCs w:val="21"/>
                    </w:rPr>
                    <w:t>7</w:t>
                  </w:r>
                </w:p>
              </w:tc>
              <w:tc>
                <w:tcPr>
                  <w:tcW w:w="433" w:type="pct"/>
                  <w:vAlign w:val="center"/>
                </w:tcPr>
                <w:p>
                  <w:pPr>
                    <w:adjustRightInd w:val="0"/>
                    <w:snapToGrid w:val="0"/>
                    <w:jc w:val="center"/>
                    <w:rPr>
                      <w:bCs/>
                      <w:kern w:val="0"/>
                      <w:szCs w:val="21"/>
                    </w:rPr>
                  </w:pPr>
                  <w:r>
                    <w:rPr>
                      <w:bCs/>
                      <w:kern w:val="0"/>
                      <w:szCs w:val="21"/>
                    </w:rPr>
                    <w:t>东</w:t>
                  </w:r>
                </w:p>
              </w:tc>
              <w:tc>
                <w:tcPr>
                  <w:tcW w:w="693" w:type="pct"/>
                  <w:vMerge w:val="continue"/>
                  <w:vAlign w:val="center"/>
                </w:tcPr>
                <w:p>
                  <w:pPr>
                    <w:adjustRightInd w:val="0"/>
                    <w:snapToGrid w:val="0"/>
                    <w:jc w:val="center"/>
                    <w:rPr>
                      <w:bCs/>
                      <w:kern w:val="0"/>
                      <w:szCs w:val="21"/>
                    </w:rPr>
                  </w:pPr>
                </w:p>
              </w:tc>
              <w:tc>
                <w:tcPr>
                  <w:tcW w:w="820" w:type="pct"/>
                  <w:vAlign w:val="center"/>
                </w:tcPr>
                <w:p>
                  <w:pPr>
                    <w:adjustRightInd w:val="0"/>
                    <w:snapToGrid w:val="0"/>
                    <w:jc w:val="center"/>
                    <w:rPr>
                      <w:bCs/>
                      <w:kern w:val="0"/>
                      <w:szCs w:val="21"/>
                    </w:rPr>
                  </w:pPr>
                  <w:r>
                    <w:rPr>
                      <w:bCs/>
                      <w:kern w:val="0"/>
                      <w:szCs w:val="21"/>
                    </w:rPr>
                    <w:t>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Align w:val="center"/>
                </w:tcPr>
                <w:p>
                  <w:pPr>
                    <w:adjustRightInd w:val="0"/>
                    <w:snapToGrid w:val="0"/>
                    <w:jc w:val="center"/>
                    <w:rPr>
                      <w:b/>
                      <w:kern w:val="0"/>
                      <w:szCs w:val="21"/>
                    </w:rPr>
                  </w:pPr>
                  <w:r>
                    <w:rPr>
                      <w:b/>
                      <w:kern w:val="0"/>
                      <w:szCs w:val="21"/>
                    </w:rPr>
                    <w:t>4</w:t>
                  </w:r>
                </w:p>
              </w:tc>
              <w:tc>
                <w:tcPr>
                  <w:tcW w:w="693" w:type="pct"/>
                  <w:vAlign w:val="center"/>
                </w:tcPr>
                <w:p>
                  <w:pPr>
                    <w:adjustRightInd w:val="0"/>
                    <w:snapToGrid w:val="0"/>
                    <w:jc w:val="center"/>
                    <w:rPr>
                      <w:bCs/>
                      <w:kern w:val="0"/>
                      <w:szCs w:val="21"/>
                    </w:rPr>
                  </w:pPr>
                  <w:r>
                    <w:rPr>
                      <w:szCs w:val="21"/>
                    </w:rPr>
                    <w:t>虎林村村委会</w:t>
                  </w:r>
                </w:p>
              </w:tc>
              <w:tc>
                <w:tcPr>
                  <w:tcW w:w="491" w:type="pct"/>
                  <w:vAlign w:val="center"/>
                </w:tcPr>
                <w:p>
                  <w:pPr>
                    <w:adjustRightInd w:val="0"/>
                    <w:snapToGrid w:val="0"/>
                    <w:jc w:val="center"/>
                    <w:rPr>
                      <w:bCs/>
                      <w:kern w:val="0"/>
                      <w:szCs w:val="21"/>
                    </w:rPr>
                  </w:pPr>
                  <w:r>
                    <w:rPr>
                      <w:bCs/>
                      <w:kern w:val="0"/>
                      <w:szCs w:val="21"/>
                    </w:rPr>
                    <w:t>-20</w:t>
                  </w:r>
                </w:p>
              </w:tc>
              <w:tc>
                <w:tcPr>
                  <w:tcW w:w="491" w:type="pct"/>
                  <w:vAlign w:val="center"/>
                </w:tcPr>
                <w:p>
                  <w:pPr>
                    <w:adjustRightInd w:val="0"/>
                    <w:snapToGrid w:val="0"/>
                    <w:jc w:val="center"/>
                    <w:rPr>
                      <w:bCs/>
                      <w:kern w:val="0"/>
                      <w:szCs w:val="21"/>
                    </w:rPr>
                  </w:pPr>
                  <w:r>
                    <w:rPr>
                      <w:bCs/>
                      <w:kern w:val="0"/>
                      <w:szCs w:val="21"/>
                    </w:rPr>
                    <w:t>23</w:t>
                  </w:r>
                </w:p>
              </w:tc>
              <w:tc>
                <w:tcPr>
                  <w:tcW w:w="491" w:type="pct"/>
                  <w:vAlign w:val="center"/>
                </w:tcPr>
                <w:p>
                  <w:pPr>
                    <w:adjustRightInd w:val="0"/>
                    <w:snapToGrid w:val="0"/>
                    <w:jc w:val="center"/>
                    <w:rPr>
                      <w:bCs/>
                      <w:kern w:val="0"/>
                      <w:szCs w:val="21"/>
                    </w:rPr>
                  </w:pPr>
                  <w:r>
                    <w:rPr>
                      <w:bCs/>
                      <w:kern w:val="0"/>
                      <w:szCs w:val="21"/>
                    </w:rPr>
                    <w:t>0.5</w:t>
                  </w:r>
                </w:p>
              </w:tc>
              <w:tc>
                <w:tcPr>
                  <w:tcW w:w="607" w:type="pct"/>
                  <w:vAlign w:val="center"/>
                </w:tcPr>
                <w:p>
                  <w:pPr>
                    <w:adjustRightInd w:val="0"/>
                    <w:snapToGrid w:val="0"/>
                    <w:jc w:val="center"/>
                    <w:rPr>
                      <w:bCs/>
                      <w:kern w:val="0"/>
                      <w:szCs w:val="21"/>
                    </w:rPr>
                  </w:pPr>
                  <w:r>
                    <w:rPr>
                      <w:bCs/>
                      <w:kern w:val="0"/>
                      <w:szCs w:val="21"/>
                    </w:rPr>
                    <w:t>37</w:t>
                  </w:r>
                </w:p>
              </w:tc>
              <w:tc>
                <w:tcPr>
                  <w:tcW w:w="433" w:type="pct"/>
                  <w:vAlign w:val="center"/>
                </w:tcPr>
                <w:p>
                  <w:pPr>
                    <w:adjustRightInd w:val="0"/>
                    <w:snapToGrid w:val="0"/>
                    <w:jc w:val="center"/>
                    <w:rPr>
                      <w:bCs/>
                      <w:kern w:val="0"/>
                      <w:szCs w:val="21"/>
                    </w:rPr>
                  </w:pPr>
                  <w:r>
                    <w:rPr>
                      <w:bCs/>
                      <w:kern w:val="0"/>
                      <w:szCs w:val="21"/>
                    </w:rPr>
                    <w:t>东</w:t>
                  </w:r>
                </w:p>
              </w:tc>
              <w:tc>
                <w:tcPr>
                  <w:tcW w:w="693" w:type="pct"/>
                  <w:vMerge w:val="continue"/>
                  <w:vAlign w:val="center"/>
                </w:tcPr>
                <w:p>
                  <w:pPr>
                    <w:adjustRightInd w:val="0"/>
                    <w:snapToGrid w:val="0"/>
                    <w:jc w:val="center"/>
                    <w:rPr>
                      <w:bCs/>
                      <w:kern w:val="0"/>
                      <w:szCs w:val="21"/>
                    </w:rPr>
                  </w:pPr>
                </w:p>
              </w:tc>
              <w:tc>
                <w:tcPr>
                  <w:tcW w:w="820" w:type="pct"/>
                  <w:vAlign w:val="center"/>
                </w:tcPr>
                <w:p>
                  <w:pPr>
                    <w:adjustRightInd w:val="0"/>
                    <w:snapToGrid w:val="0"/>
                    <w:jc w:val="center"/>
                    <w:rPr>
                      <w:bCs/>
                      <w:kern w:val="0"/>
                      <w:szCs w:val="21"/>
                    </w:rPr>
                  </w:pPr>
                  <w:r>
                    <w:rPr>
                      <w:bCs/>
                      <w:kern w:val="0"/>
                      <w:szCs w:val="21"/>
                    </w:rPr>
                    <w:t>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2" w:type="pct"/>
                  <w:vAlign w:val="center"/>
                </w:tcPr>
                <w:p>
                  <w:pPr>
                    <w:adjustRightInd w:val="0"/>
                    <w:snapToGrid w:val="0"/>
                    <w:jc w:val="center"/>
                    <w:rPr>
                      <w:b/>
                      <w:kern w:val="0"/>
                      <w:szCs w:val="21"/>
                    </w:rPr>
                  </w:pPr>
                  <w:r>
                    <w:rPr>
                      <w:b/>
                      <w:kern w:val="0"/>
                      <w:szCs w:val="21"/>
                    </w:rPr>
                    <w:t>5</w:t>
                  </w:r>
                </w:p>
              </w:tc>
              <w:tc>
                <w:tcPr>
                  <w:tcW w:w="693" w:type="pct"/>
                  <w:vAlign w:val="center"/>
                </w:tcPr>
                <w:p>
                  <w:pPr>
                    <w:adjustRightInd w:val="0"/>
                    <w:snapToGrid w:val="0"/>
                    <w:jc w:val="center"/>
                    <w:rPr>
                      <w:bCs/>
                      <w:kern w:val="0"/>
                      <w:szCs w:val="21"/>
                    </w:rPr>
                  </w:pPr>
                  <w:r>
                    <w:rPr>
                      <w:bCs/>
                      <w:kern w:val="0"/>
                      <w:szCs w:val="21"/>
                    </w:rPr>
                    <w:t>散居住户</w:t>
                  </w:r>
                </w:p>
              </w:tc>
              <w:tc>
                <w:tcPr>
                  <w:tcW w:w="491" w:type="pct"/>
                  <w:vAlign w:val="center"/>
                </w:tcPr>
                <w:p>
                  <w:pPr>
                    <w:adjustRightInd w:val="0"/>
                    <w:snapToGrid w:val="0"/>
                    <w:jc w:val="center"/>
                    <w:rPr>
                      <w:bCs/>
                      <w:kern w:val="0"/>
                      <w:szCs w:val="21"/>
                    </w:rPr>
                  </w:pPr>
                  <w:r>
                    <w:rPr>
                      <w:bCs/>
                      <w:kern w:val="0"/>
                      <w:szCs w:val="21"/>
                    </w:rPr>
                    <w:t>6</w:t>
                  </w:r>
                </w:p>
              </w:tc>
              <w:tc>
                <w:tcPr>
                  <w:tcW w:w="491" w:type="pct"/>
                  <w:vAlign w:val="center"/>
                </w:tcPr>
                <w:p>
                  <w:pPr>
                    <w:adjustRightInd w:val="0"/>
                    <w:snapToGrid w:val="0"/>
                    <w:jc w:val="center"/>
                    <w:rPr>
                      <w:bCs/>
                      <w:kern w:val="0"/>
                      <w:szCs w:val="21"/>
                    </w:rPr>
                  </w:pPr>
                  <w:r>
                    <w:rPr>
                      <w:bCs/>
                      <w:kern w:val="0"/>
                      <w:szCs w:val="21"/>
                    </w:rPr>
                    <w:t>3</w:t>
                  </w:r>
                </w:p>
              </w:tc>
              <w:tc>
                <w:tcPr>
                  <w:tcW w:w="491" w:type="pct"/>
                  <w:vAlign w:val="center"/>
                </w:tcPr>
                <w:p>
                  <w:pPr>
                    <w:adjustRightInd w:val="0"/>
                    <w:snapToGrid w:val="0"/>
                    <w:jc w:val="center"/>
                    <w:rPr>
                      <w:bCs/>
                      <w:kern w:val="0"/>
                      <w:szCs w:val="21"/>
                    </w:rPr>
                  </w:pPr>
                  <w:r>
                    <w:rPr>
                      <w:bCs/>
                      <w:kern w:val="0"/>
                      <w:szCs w:val="21"/>
                    </w:rPr>
                    <w:t>0</w:t>
                  </w:r>
                </w:p>
              </w:tc>
              <w:tc>
                <w:tcPr>
                  <w:tcW w:w="607" w:type="pct"/>
                  <w:vAlign w:val="center"/>
                </w:tcPr>
                <w:p>
                  <w:pPr>
                    <w:adjustRightInd w:val="0"/>
                    <w:snapToGrid w:val="0"/>
                    <w:jc w:val="center"/>
                    <w:rPr>
                      <w:bCs/>
                      <w:kern w:val="0"/>
                      <w:szCs w:val="21"/>
                    </w:rPr>
                  </w:pPr>
                  <w:r>
                    <w:rPr>
                      <w:bCs/>
                      <w:kern w:val="0"/>
                      <w:szCs w:val="21"/>
                    </w:rPr>
                    <w:t>48</w:t>
                  </w:r>
                </w:p>
              </w:tc>
              <w:tc>
                <w:tcPr>
                  <w:tcW w:w="433" w:type="pct"/>
                  <w:vAlign w:val="center"/>
                </w:tcPr>
                <w:p>
                  <w:pPr>
                    <w:adjustRightInd w:val="0"/>
                    <w:snapToGrid w:val="0"/>
                    <w:jc w:val="center"/>
                    <w:rPr>
                      <w:bCs/>
                      <w:kern w:val="0"/>
                      <w:szCs w:val="21"/>
                    </w:rPr>
                  </w:pPr>
                  <w:r>
                    <w:rPr>
                      <w:bCs/>
                      <w:kern w:val="0"/>
                      <w:szCs w:val="21"/>
                    </w:rPr>
                    <w:t>东</w:t>
                  </w:r>
                </w:p>
              </w:tc>
              <w:tc>
                <w:tcPr>
                  <w:tcW w:w="693" w:type="pct"/>
                  <w:vMerge w:val="continue"/>
                  <w:vAlign w:val="center"/>
                </w:tcPr>
                <w:p>
                  <w:pPr>
                    <w:adjustRightInd w:val="0"/>
                    <w:snapToGrid w:val="0"/>
                    <w:jc w:val="center"/>
                    <w:rPr>
                      <w:bCs/>
                      <w:kern w:val="0"/>
                      <w:szCs w:val="21"/>
                    </w:rPr>
                  </w:pPr>
                </w:p>
              </w:tc>
              <w:tc>
                <w:tcPr>
                  <w:tcW w:w="820" w:type="pct"/>
                  <w:vAlign w:val="center"/>
                </w:tcPr>
                <w:p>
                  <w:pPr>
                    <w:adjustRightInd w:val="0"/>
                    <w:snapToGrid w:val="0"/>
                    <w:jc w:val="center"/>
                    <w:rPr>
                      <w:bCs/>
                      <w:kern w:val="0"/>
                      <w:szCs w:val="21"/>
                    </w:rPr>
                  </w:pPr>
                  <w:r>
                    <w:rPr>
                      <w:bCs/>
                      <w:kern w:val="0"/>
                      <w:szCs w:val="21"/>
                    </w:rPr>
                    <w:t>砖混结构</w:t>
                  </w:r>
                </w:p>
              </w:tc>
            </w:tr>
          </w:tbl>
          <w:p>
            <w:pPr>
              <w:adjustRightInd w:val="0"/>
              <w:snapToGrid w:val="0"/>
              <w:spacing w:line="480" w:lineRule="exact"/>
              <w:ind w:firstLine="480" w:firstLineChars="200"/>
              <w:rPr>
                <w:bCs/>
                <w:kern w:val="0"/>
                <w:sz w:val="24"/>
              </w:rPr>
            </w:pPr>
            <w:r>
              <w:rPr>
                <w:bCs/>
                <w:kern w:val="0"/>
                <w:sz w:val="24"/>
              </w:rPr>
              <w:t>根据《环境影响评价技术导则 声环境》（HJ-2021），本项目噪声预测采用其附录B 典型行业噪声预测模型中“工业噪声预测计算模型”进行预测。</w:t>
            </w:r>
          </w:p>
          <w:p>
            <w:pPr>
              <w:adjustRightInd w:val="0"/>
              <w:snapToGrid w:val="0"/>
              <w:spacing w:line="480" w:lineRule="exact"/>
              <w:ind w:firstLine="482" w:firstLineChars="200"/>
              <w:rPr>
                <w:b/>
                <w:kern w:val="0"/>
                <w:sz w:val="24"/>
              </w:rPr>
            </w:pPr>
            <w:r>
              <w:rPr>
                <w:b/>
                <w:kern w:val="0"/>
                <w:sz w:val="24"/>
              </w:rPr>
              <w:t>（1）声源描述</w:t>
            </w:r>
          </w:p>
          <w:p>
            <w:pPr>
              <w:adjustRightInd w:val="0"/>
              <w:snapToGrid w:val="0"/>
              <w:spacing w:line="480" w:lineRule="exact"/>
              <w:ind w:firstLine="480" w:firstLineChars="200"/>
              <w:rPr>
                <w:bCs/>
                <w:kern w:val="0"/>
                <w:sz w:val="24"/>
              </w:rPr>
            </w:pPr>
            <w:r>
              <w:rPr>
                <w:bCs/>
                <w:kern w:val="0"/>
                <w:sz w:val="24"/>
              </w:rPr>
              <w:t>本项目噪声设备均设置在密闭厂房中，在厂房中，噪声的传播仅受到水泥地面等物体的阻碍，因此可以近似扩散声场。在厂房外，噪声的传播受到地面、房屋墙壁的阻挡，因此可以看做半自由声场。因此，本次环评将本项目噪声源看做点声源，且厂房内噪声近似看做扩散声场，厂房外噪声看做半自由声场进行声环境噪声预测。</w:t>
            </w:r>
          </w:p>
          <w:p>
            <w:pPr>
              <w:adjustRightInd w:val="0"/>
              <w:snapToGrid w:val="0"/>
              <w:spacing w:line="480" w:lineRule="exact"/>
              <w:ind w:firstLine="482" w:firstLineChars="200"/>
              <w:rPr>
                <w:b/>
                <w:kern w:val="0"/>
                <w:sz w:val="24"/>
              </w:rPr>
            </w:pPr>
            <w:r>
              <w:rPr>
                <w:b/>
                <w:kern w:val="0"/>
                <w:sz w:val="24"/>
              </w:rPr>
              <w:t>（2）室内声源等效室外声源声功率级计算方法</w:t>
            </w:r>
          </w:p>
          <w:p>
            <w:pPr>
              <w:adjustRightInd w:val="0"/>
              <w:snapToGrid w:val="0"/>
              <w:spacing w:line="480" w:lineRule="exact"/>
              <w:ind w:firstLine="480" w:firstLineChars="200"/>
              <w:rPr>
                <w:bCs/>
                <w:kern w:val="0"/>
                <w:sz w:val="24"/>
              </w:rPr>
            </w:pPr>
            <w:r>
              <w:rPr>
                <w:bCs/>
                <w:kern w:val="0"/>
                <w:sz w:val="24"/>
              </w:rPr>
              <w:t>方法一：按如下公式进行计算</w:t>
            </w:r>
          </w:p>
          <w:p>
            <w:pPr>
              <w:adjustRightInd w:val="0"/>
              <w:snapToGrid w:val="0"/>
              <w:spacing w:line="480" w:lineRule="exact"/>
              <w:ind w:firstLine="480"/>
              <w:jc w:val="center"/>
              <w:rPr>
                <w:bCs/>
                <w:kern w:val="0"/>
                <w:sz w:val="24"/>
              </w:rPr>
            </w:pPr>
            <w:r>
              <w:rPr>
                <w:bCs/>
                <w:kern w:val="0"/>
                <w:sz w:val="24"/>
              </w:rPr>
              <w:t>L</w:t>
            </w:r>
            <w:r>
              <w:rPr>
                <w:bCs/>
                <w:kern w:val="0"/>
                <w:sz w:val="24"/>
                <w:vertAlign w:val="subscript"/>
              </w:rPr>
              <w:t xml:space="preserve">p2  </w:t>
            </w:r>
            <w:r>
              <w:rPr>
                <w:bCs/>
                <w:kern w:val="0"/>
                <w:sz w:val="24"/>
              </w:rPr>
              <w:t>=  L</w:t>
            </w:r>
            <w:r>
              <w:rPr>
                <w:bCs/>
                <w:kern w:val="0"/>
                <w:sz w:val="24"/>
                <w:vertAlign w:val="subscript"/>
              </w:rPr>
              <w:t>p1</w:t>
            </w:r>
            <w:r>
              <w:rPr>
                <w:bCs/>
                <w:kern w:val="0"/>
                <w:sz w:val="24"/>
              </w:rPr>
              <w:t xml:space="preserve"> —（TL+6）</w:t>
            </w:r>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p1</w:t>
            </w:r>
            <w:r>
              <w:rPr>
                <w:bCs/>
                <w:kern w:val="0"/>
                <w:sz w:val="24"/>
              </w:rPr>
              <w:t>—靠近开口处（或窗户）室内某倍频带的声压级或A声级，dB；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p2</w:t>
            </w:r>
            <w:r>
              <w:rPr>
                <w:bCs/>
                <w:kern w:val="0"/>
                <w:sz w:val="24"/>
              </w:rPr>
              <w:t>—靠近开口处（或窗户）室外某倍频带的声压级或A声级，dB；</w:t>
            </w:r>
          </w:p>
          <w:p>
            <w:pPr>
              <w:adjustRightInd w:val="0"/>
              <w:snapToGrid w:val="0"/>
              <w:spacing w:line="480" w:lineRule="exact"/>
              <w:ind w:firstLine="960" w:firstLineChars="400"/>
              <w:rPr>
                <w:bCs/>
                <w:kern w:val="0"/>
                <w:sz w:val="24"/>
              </w:rPr>
            </w:pPr>
            <w:r>
              <w:rPr>
                <w:bCs/>
                <w:kern w:val="0"/>
                <w:sz w:val="24"/>
              </w:rPr>
              <w:t>TL—隔墙（或窗户）倍频带或A声级的隔声量，dB。</w:t>
            </w:r>
          </w:p>
          <w:p>
            <w:pPr>
              <w:adjustRightInd w:val="0"/>
              <w:snapToGrid w:val="0"/>
              <w:spacing w:line="480" w:lineRule="exact"/>
              <w:ind w:firstLine="480" w:firstLineChars="200"/>
              <w:rPr>
                <w:bCs/>
                <w:kern w:val="0"/>
                <w:sz w:val="24"/>
              </w:rPr>
            </w:pPr>
            <w:r>
              <w:rPr>
                <w:bCs/>
                <w:kern w:val="0"/>
                <w:sz w:val="24"/>
              </w:rPr>
              <w:t>方法二：也可按下式计算某一室内声源靠近围护结构处产生的倍频带声压级或A声级：</w:t>
            </w:r>
          </w:p>
          <w:p>
            <w:pPr>
              <w:adjustRightInd w:val="0"/>
              <w:snapToGrid w:val="0"/>
              <w:spacing w:line="360" w:lineRule="auto"/>
              <w:ind w:firstLine="480" w:firstLineChars="200"/>
              <w:rPr>
                <w:bCs/>
                <w:iCs/>
                <w:kern w:val="0"/>
                <w:sz w:val="24"/>
              </w:rPr>
            </w:pPr>
            <m:oMathPara>
              <m:oMath>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p1</m:t>
                    </m:r>
                    <m:ctrlPr>
                      <w:rPr>
                        <w:rFonts w:ascii="Cambria Math" w:hAnsi="Cambria Math"/>
                        <w:bCs/>
                        <w:iCs/>
                        <w:kern w:val="0"/>
                        <w:sz w:val="24"/>
                      </w:rPr>
                    </m:ctrlPr>
                  </m:sub>
                </m:sSub>
                <m:r>
                  <m:rPr>
                    <m:sty m:val="p"/>
                  </m:rPr>
                  <w:rPr>
                    <w:rFonts w:ascii="Cambria Math" w:hAnsi="Cambria Math"/>
                    <w:kern w:val="0"/>
                    <w:sz w:val="24"/>
                  </w:rPr>
                  <m:t>=</m:t>
                </m:r>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w</m:t>
                    </m:r>
                    <m:ctrlPr>
                      <w:rPr>
                        <w:rFonts w:ascii="Cambria Math" w:hAnsi="Cambria Math"/>
                        <w:bCs/>
                        <w:iCs/>
                        <w:kern w:val="0"/>
                        <w:sz w:val="24"/>
                      </w:rPr>
                    </m:ctrlPr>
                  </m:sub>
                </m:sSub>
                <m:r>
                  <m:rPr>
                    <m:sty m:val="p"/>
                  </m:rPr>
                  <w:rPr>
                    <w:rFonts w:ascii="Cambria Math" w:hAnsi="Cambria Math"/>
                    <w:kern w:val="0"/>
                    <w:sz w:val="24"/>
                  </w:rPr>
                  <m:t>+10lg⁡（</m:t>
                </m:r>
                <m:f>
                  <m:fPr>
                    <m:ctrlPr>
                      <w:rPr>
                        <w:rFonts w:ascii="Cambria Math" w:hAnsi="Cambria Math"/>
                        <w:bCs/>
                        <w:iCs/>
                        <w:kern w:val="0"/>
                        <w:sz w:val="24"/>
                      </w:rPr>
                    </m:ctrlPr>
                  </m:fPr>
                  <m:num>
                    <m:r>
                      <m:rPr>
                        <m:sty m:val="p"/>
                      </m:rPr>
                      <w:rPr>
                        <w:rFonts w:ascii="Cambria Math" w:hAnsi="Cambria Math"/>
                        <w:kern w:val="0"/>
                        <w:sz w:val="24"/>
                      </w:rPr>
                      <m:t>Q</m:t>
                    </m:r>
                    <m:ctrlPr>
                      <w:rPr>
                        <w:rFonts w:ascii="Cambria Math" w:hAnsi="Cambria Math"/>
                        <w:bCs/>
                        <w:iCs/>
                        <w:kern w:val="0"/>
                        <w:sz w:val="24"/>
                      </w:rPr>
                    </m:ctrlPr>
                  </m:num>
                  <m:den>
                    <m:sSup>
                      <m:sSupPr>
                        <m:ctrlPr>
                          <w:rPr>
                            <w:rFonts w:ascii="Cambria Math" w:hAnsi="Cambria Math"/>
                            <w:bCs/>
                            <w:iCs/>
                            <w:kern w:val="0"/>
                            <w:sz w:val="24"/>
                          </w:rPr>
                        </m:ctrlPr>
                      </m:sSupPr>
                      <m:e>
                        <m:r>
                          <m:rPr>
                            <m:sty m:val="p"/>
                          </m:rPr>
                          <w:rPr>
                            <w:rFonts w:ascii="Cambria Math" w:hAnsi="Cambria Math"/>
                            <w:kern w:val="0"/>
                            <w:sz w:val="24"/>
                          </w:rPr>
                          <m:t>4πr</m:t>
                        </m:r>
                        <m:ctrlPr>
                          <w:rPr>
                            <w:rFonts w:ascii="Cambria Math" w:hAnsi="Cambria Math"/>
                            <w:bCs/>
                            <w:iCs/>
                            <w:kern w:val="0"/>
                            <w:sz w:val="24"/>
                          </w:rPr>
                        </m:ctrlPr>
                      </m:e>
                      <m:sup>
                        <m:r>
                          <m:rPr>
                            <m:sty m:val="p"/>
                          </m:rPr>
                          <w:rPr>
                            <w:rFonts w:ascii="Cambria Math" w:hAnsi="Cambria Math"/>
                            <w:kern w:val="0"/>
                            <w:sz w:val="24"/>
                          </w:rPr>
                          <m:t>2</m:t>
                        </m:r>
                        <m:ctrlPr>
                          <w:rPr>
                            <w:rFonts w:ascii="Cambria Math" w:hAnsi="Cambria Math"/>
                            <w:bCs/>
                            <w:iCs/>
                            <w:kern w:val="0"/>
                            <w:sz w:val="24"/>
                          </w:rPr>
                        </m:ctrlPr>
                      </m:sup>
                    </m:sSup>
                    <m:ctrlPr>
                      <w:rPr>
                        <w:rFonts w:ascii="Cambria Math" w:hAnsi="Cambria Math"/>
                        <w:bCs/>
                        <w:iCs/>
                        <w:kern w:val="0"/>
                        <w:sz w:val="24"/>
                      </w:rPr>
                    </m:ctrlPr>
                  </m:den>
                </m:f>
                <m:r>
                  <m:rPr>
                    <m:sty m:val="p"/>
                  </m:rPr>
                  <w:rPr>
                    <w:rFonts w:ascii="Cambria Math" w:hAnsi="Cambria Math"/>
                    <w:kern w:val="0"/>
                    <w:sz w:val="24"/>
                  </w:rPr>
                  <m:t>+</m:t>
                </m:r>
                <m:f>
                  <m:fPr>
                    <m:ctrlPr>
                      <w:rPr>
                        <w:rFonts w:ascii="Cambria Math" w:hAnsi="Cambria Math"/>
                        <w:bCs/>
                        <w:iCs/>
                        <w:kern w:val="0"/>
                        <w:sz w:val="24"/>
                      </w:rPr>
                    </m:ctrlPr>
                  </m:fPr>
                  <m:num>
                    <m:r>
                      <m:rPr>
                        <m:sty m:val="p"/>
                      </m:rPr>
                      <w:rPr>
                        <w:rFonts w:ascii="Cambria Math" w:hAnsi="Cambria Math"/>
                        <w:kern w:val="0"/>
                        <w:sz w:val="24"/>
                      </w:rPr>
                      <m:t>4</m:t>
                    </m:r>
                    <m:ctrlPr>
                      <w:rPr>
                        <w:rFonts w:ascii="Cambria Math" w:hAnsi="Cambria Math"/>
                        <w:bCs/>
                        <w:iCs/>
                        <w:kern w:val="0"/>
                        <w:sz w:val="24"/>
                      </w:rPr>
                    </m:ctrlPr>
                  </m:num>
                  <m:den>
                    <m:r>
                      <m:rPr>
                        <m:sty m:val="p"/>
                      </m:rPr>
                      <w:rPr>
                        <w:rFonts w:ascii="Cambria Math" w:hAnsi="Cambria Math"/>
                        <w:kern w:val="0"/>
                        <w:sz w:val="24"/>
                      </w:rPr>
                      <m:t>R</m:t>
                    </m:r>
                    <m:ctrlPr>
                      <w:rPr>
                        <w:rFonts w:ascii="Cambria Math" w:hAnsi="Cambria Math"/>
                        <w:bCs/>
                        <w:iCs/>
                        <w:kern w:val="0"/>
                        <w:sz w:val="24"/>
                      </w:rPr>
                    </m:ctrlPr>
                  </m:den>
                </m:f>
                <m:r>
                  <m:rPr>
                    <m:sty m:val="p"/>
                  </m:rPr>
                  <w:rPr>
                    <w:rFonts w:ascii="Cambria Math" w:hAnsi="Cambria Math"/>
                    <w:kern w:val="0"/>
                    <w:sz w:val="24"/>
                  </w:rPr>
                  <m:t>）</m:t>
                </m:r>
              </m:oMath>
            </m:oMathPara>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p1</w:t>
            </w:r>
            <w:r>
              <w:rPr>
                <w:bCs/>
                <w:kern w:val="0"/>
                <w:sz w:val="24"/>
              </w:rPr>
              <w:t>—靠近开口处（或窗户）室内某倍频带的声压级或A声级，dB；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w</w:t>
            </w:r>
            <w:r>
              <w:rPr>
                <w:bCs/>
                <w:kern w:val="0"/>
                <w:sz w:val="24"/>
              </w:rPr>
              <w:t>—点声源声功率级（A 计权或倍频带），dB；</w:t>
            </w:r>
          </w:p>
          <w:p>
            <w:pPr>
              <w:adjustRightInd w:val="0"/>
              <w:snapToGrid w:val="0"/>
              <w:spacing w:line="480" w:lineRule="exact"/>
              <w:ind w:firstLine="960" w:firstLineChars="400"/>
              <w:rPr>
                <w:bCs/>
                <w:kern w:val="0"/>
                <w:sz w:val="24"/>
              </w:rPr>
            </w:pPr>
            <w:r>
              <w:rPr>
                <w:bCs/>
                <w:kern w:val="0"/>
                <w:sz w:val="24"/>
              </w:rPr>
              <w:t>Q—指向性因数；通常对无指向性声源，当声源放在房间中心时，Q=1；当放在一面墙的中心时，Q=2；当放在两面墙夹角时，Q=4；当放在三面墙夹角处时，Q=8；</w:t>
            </w:r>
          </w:p>
          <w:p>
            <w:pPr>
              <w:adjustRightInd w:val="0"/>
              <w:snapToGrid w:val="0"/>
              <w:spacing w:line="480" w:lineRule="exact"/>
              <w:ind w:firstLine="960" w:firstLineChars="400"/>
              <w:rPr>
                <w:bCs/>
                <w:kern w:val="0"/>
                <w:sz w:val="24"/>
              </w:rPr>
            </w:pPr>
            <w:r>
              <w:rPr>
                <w:bCs/>
                <w:kern w:val="0"/>
                <w:sz w:val="24"/>
              </w:rPr>
              <w:t>R—房间常数；R=Sα/（1-α），S为房间内表面积，m</w:t>
            </w:r>
            <w:r>
              <w:rPr>
                <w:bCs/>
                <w:kern w:val="0"/>
                <w:sz w:val="24"/>
                <w:vertAlign w:val="superscript"/>
              </w:rPr>
              <w:t>2</w:t>
            </w:r>
            <w:r>
              <w:rPr>
                <w:bCs/>
                <w:kern w:val="0"/>
                <w:sz w:val="24"/>
              </w:rPr>
              <w:t>；α为平均吸声系数；</w:t>
            </w:r>
          </w:p>
          <w:p>
            <w:pPr>
              <w:adjustRightInd w:val="0"/>
              <w:snapToGrid w:val="0"/>
              <w:spacing w:line="480" w:lineRule="exact"/>
              <w:ind w:firstLine="960" w:firstLineChars="400"/>
              <w:rPr>
                <w:bCs/>
                <w:kern w:val="0"/>
                <w:sz w:val="24"/>
              </w:rPr>
            </w:pPr>
            <w:r>
              <w:rPr>
                <w:bCs/>
                <w:kern w:val="0"/>
                <w:sz w:val="24"/>
              </w:rPr>
              <w:t>r—声源到靠近围护结构某点处的距离，m。</w:t>
            </w:r>
          </w:p>
          <w:p>
            <w:pPr>
              <w:adjustRightInd w:val="0"/>
              <w:snapToGrid w:val="0"/>
              <w:spacing w:line="480" w:lineRule="exact"/>
              <w:ind w:firstLine="480" w:firstLineChars="200"/>
              <w:rPr>
                <w:bCs/>
                <w:kern w:val="0"/>
                <w:sz w:val="24"/>
              </w:rPr>
            </w:pPr>
            <w:r>
              <w:rPr>
                <w:bCs/>
                <w:kern w:val="0"/>
                <w:sz w:val="24"/>
              </w:rPr>
              <w:t>然后按照下式计算出所有室内声源在围护结构处产生的i倍频带叠加声压级：</w:t>
            </w:r>
          </w:p>
          <w:p>
            <w:pPr>
              <w:adjustRightInd w:val="0"/>
              <w:snapToGrid w:val="0"/>
              <w:spacing w:line="360" w:lineRule="auto"/>
              <w:ind w:firstLine="480"/>
              <w:rPr>
                <w:bCs/>
                <w:iCs/>
                <w:kern w:val="0"/>
                <w:sz w:val="24"/>
              </w:rPr>
            </w:pPr>
            <m:oMathPara>
              <m:oMath>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p1i</m:t>
                    </m:r>
                    <m:ctrlPr>
                      <w:rPr>
                        <w:rFonts w:ascii="Cambria Math" w:hAnsi="Cambria Math"/>
                        <w:bCs/>
                        <w:iCs/>
                        <w:kern w:val="0"/>
                        <w:sz w:val="24"/>
                      </w:rPr>
                    </m:ctrlPr>
                  </m:sub>
                </m:sSub>
                <m:r>
                  <m:rPr>
                    <m:sty m:val="p"/>
                  </m:rPr>
                  <w:rPr>
                    <w:rFonts w:ascii="Cambria Math" w:hAnsi="Cambria Math"/>
                    <w:kern w:val="0"/>
                    <w:sz w:val="24"/>
                  </w:rPr>
                  <m:t>（T）=10lg⁡（</m:t>
                </m:r>
                <m:nary>
                  <m:naryPr>
                    <m:chr m:val="∑"/>
                    <m:limLoc m:val="undOvr"/>
                    <m:ctrlPr>
                      <w:rPr>
                        <w:rFonts w:ascii="Cambria Math" w:hAnsi="Cambria Math"/>
                        <w:bCs/>
                        <w:iCs/>
                        <w:kern w:val="0"/>
                        <w:sz w:val="24"/>
                      </w:rPr>
                    </m:ctrlPr>
                  </m:naryPr>
                  <m:sub>
                    <m:r>
                      <m:rPr>
                        <m:sty m:val="p"/>
                      </m:rPr>
                      <w:rPr>
                        <w:rFonts w:ascii="Cambria Math" w:hAnsi="Cambria Math"/>
                        <w:kern w:val="0"/>
                        <w:sz w:val="24"/>
                      </w:rPr>
                      <m:t>j=1</m:t>
                    </m:r>
                    <m:ctrlPr>
                      <w:rPr>
                        <w:rFonts w:ascii="Cambria Math" w:hAnsi="Cambria Math"/>
                        <w:bCs/>
                        <w:iCs/>
                        <w:kern w:val="0"/>
                        <w:sz w:val="24"/>
                      </w:rPr>
                    </m:ctrlPr>
                  </m:sub>
                  <m:sup>
                    <m:r>
                      <m:rPr>
                        <m:sty m:val="p"/>
                      </m:rPr>
                      <w:rPr>
                        <w:rFonts w:ascii="Cambria Math" w:hAnsi="Cambria Math"/>
                        <w:kern w:val="0"/>
                        <w:sz w:val="24"/>
                      </w:rPr>
                      <m:t>N</m:t>
                    </m:r>
                    <m:ctrlPr>
                      <w:rPr>
                        <w:rFonts w:ascii="Cambria Math" w:hAnsi="Cambria Math"/>
                        <w:bCs/>
                        <w:iCs/>
                        <w:kern w:val="0"/>
                        <w:sz w:val="24"/>
                      </w:rPr>
                    </m:ctrlPr>
                  </m:sup>
                  <m:e>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r>
                          <m:rPr>
                            <m:sty m:val="p"/>
                          </m:rPr>
                          <w:rPr>
                            <w:rFonts w:ascii="Cambria Math" w:hAnsi="Cambria Math"/>
                            <w:kern w:val="0"/>
                            <w:sz w:val="24"/>
                          </w:rPr>
                          <m:t>0.1</m:t>
                        </m:r>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p1ij</m:t>
                            </m:r>
                            <m:ctrlPr>
                              <w:rPr>
                                <w:rFonts w:ascii="Cambria Math" w:hAnsi="Cambria Math"/>
                                <w:bCs/>
                                <w:iCs/>
                                <w:kern w:val="0"/>
                                <w:sz w:val="24"/>
                              </w:rPr>
                            </m:ctrlPr>
                          </m:sub>
                        </m:sSub>
                        <m:ctrlPr>
                          <w:rPr>
                            <w:rFonts w:ascii="Cambria Math" w:hAnsi="Cambria Math"/>
                            <w:bCs/>
                            <w:iCs/>
                            <w:kern w:val="0"/>
                            <w:sz w:val="24"/>
                          </w:rPr>
                        </m:ctrlPr>
                      </m:sup>
                    </m:sSup>
                    <m:ctrlPr>
                      <w:rPr>
                        <w:rFonts w:ascii="Cambria Math" w:hAnsi="Cambria Math"/>
                        <w:bCs/>
                        <w:iCs/>
                        <w:kern w:val="0"/>
                        <w:sz w:val="24"/>
                      </w:rPr>
                    </m:ctrlPr>
                  </m:e>
                </m:nary>
                <m:r>
                  <m:rPr>
                    <m:sty m:val="p"/>
                  </m:rPr>
                  <w:rPr>
                    <w:rFonts w:ascii="Cambria Math" w:hAnsi="Cambria Math"/>
                    <w:kern w:val="0"/>
                    <w:sz w:val="24"/>
                  </w:rPr>
                  <m:t>）</m:t>
                </m:r>
              </m:oMath>
            </m:oMathPara>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p1i</w:t>
            </w:r>
            <w:r>
              <w:rPr>
                <w:bCs/>
                <w:kern w:val="0"/>
                <w:sz w:val="24"/>
              </w:rPr>
              <w:t>（T）—靠近围护结构处室内N个声源i倍频带的叠加声压级，dB；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p1ij</w:t>
            </w:r>
            <w:r>
              <w:rPr>
                <w:bCs/>
                <w:kern w:val="0"/>
                <w:sz w:val="24"/>
              </w:rPr>
              <w:t>—室内j声源i倍频带的声压级，dB；</w:t>
            </w:r>
          </w:p>
          <w:p>
            <w:pPr>
              <w:adjustRightInd w:val="0"/>
              <w:snapToGrid w:val="0"/>
              <w:spacing w:line="480" w:lineRule="exact"/>
              <w:ind w:firstLine="960" w:firstLineChars="400"/>
              <w:rPr>
                <w:bCs/>
                <w:kern w:val="0"/>
                <w:sz w:val="24"/>
              </w:rPr>
            </w:pPr>
            <w:r>
              <w:rPr>
                <w:bCs/>
                <w:kern w:val="0"/>
                <w:sz w:val="24"/>
              </w:rPr>
              <w:t>N—室内声源总数。</w:t>
            </w:r>
          </w:p>
          <w:p>
            <w:pPr>
              <w:adjustRightInd w:val="0"/>
              <w:snapToGrid w:val="0"/>
              <w:spacing w:line="480" w:lineRule="exact"/>
              <w:ind w:firstLine="480" w:firstLineChars="200"/>
              <w:rPr>
                <w:bCs/>
                <w:kern w:val="0"/>
                <w:sz w:val="24"/>
              </w:rPr>
            </w:pPr>
            <w:r>
              <w:rPr>
                <w:bCs/>
                <w:kern w:val="0"/>
                <w:sz w:val="24"/>
              </w:rPr>
              <w:t>在室内近似扩散声场时，按下式计算出室外围护结构处的声压级：</w:t>
            </w:r>
          </w:p>
          <w:p>
            <w:pPr>
              <w:adjustRightInd w:val="0"/>
              <w:snapToGrid w:val="0"/>
              <w:spacing w:line="480" w:lineRule="exact"/>
              <w:ind w:firstLine="480"/>
              <w:jc w:val="center"/>
              <w:rPr>
                <w:bCs/>
                <w:kern w:val="0"/>
                <w:sz w:val="24"/>
              </w:rPr>
            </w:pPr>
            <w:r>
              <w:rPr>
                <w:bCs/>
                <w:kern w:val="0"/>
                <w:sz w:val="24"/>
              </w:rPr>
              <w:t>L</w:t>
            </w:r>
            <w:r>
              <w:rPr>
                <w:bCs/>
                <w:kern w:val="0"/>
                <w:sz w:val="24"/>
                <w:vertAlign w:val="subscript"/>
              </w:rPr>
              <w:t>p2i</w:t>
            </w:r>
            <w:r>
              <w:rPr>
                <w:bCs/>
                <w:kern w:val="0"/>
                <w:sz w:val="24"/>
              </w:rPr>
              <w:t>（T）=L</w:t>
            </w:r>
            <w:r>
              <w:rPr>
                <w:bCs/>
                <w:kern w:val="0"/>
                <w:sz w:val="24"/>
                <w:vertAlign w:val="subscript"/>
              </w:rPr>
              <w:t>p1i</w:t>
            </w:r>
            <w:r>
              <w:rPr>
                <w:bCs/>
                <w:kern w:val="0"/>
                <w:sz w:val="24"/>
              </w:rPr>
              <w:t>（T）-（TL</w:t>
            </w:r>
            <w:r>
              <w:rPr>
                <w:bCs/>
                <w:kern w:val="0"/>
                <w:sz w:val="24"/>
                <w:vertAlign w:val="subscript"/>
              </w:rPr>
              <w:t>i</w:t>
            </w:r>
            <w:r>
              <w:rPr>
                <w:bCs/>
                <w:kern w:val="0"/>
                <w:sz w:val="24"/>
              </w:rPr>
              <w:t xml:space="preserve"> + 6）</w:t>
            </w:r>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p2i</w:t>
            </w:r>
            <w:r>
              <w:rPr>
                <w:bCs/>
                <w:kern w:val="0"/>
                <w:sz w:val="24"/>
              </w:rPr>
              <w:t>（T）</w:t>
            </w:r>
            <w:r>
              <w:rPr>
                <w:bCs/>
                <w:kern w:val="0"/>
                <w:sz w:val="24"/>
              </w:rPr>
              <w:softHyphen/>
            </w:r>
            <w:r>
              <w:rPr>
                <w:bCs/>
                <w:kern w:val="0"/>
                <w:sz w:val="24"/>
              </w:rPr>
              <w:softHyphen/>
            </w:r>
            <w:r>
              <w:rPr>
                <w:bCs/>
                <w:kern w:val="0"/>
                <w:sz w:val="24"/>
              </w:rPr>
              <w:t>—靠近围护结构处室外N个声源i倍频带的叠加声压级，dB；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p1i</w:t>
            </w:r>
            <w:r>
              <w:rPr>
                <w:bCs/>
                <w:kern w:val="0"/>
                <w:sz w:val="24"/>
              </w:rPr>
              <w:t>（T）—靠近围护结构处室内N个声源i倍频带的叠加声压级，dB；</w:t>
            </w:r>
          </w:p>
          <w:p>
            <w:pPr>
              <w:adjustRightInd w:val="0"/>
              <w:snapToGrid w:val="0"/>
              <w:spacing w:line="480" w:lineRule="exact"/>
              <w:ind w:firstLine="960" w:firstLineChars="400"/>
              <w:rPr>
                <w:bCs/>
                <w:kern w:val="0"/>
                <w:sz w:val="24"/>
              </w:rPr>
            </w:pPr>
            <w:r>
              <w:rPr>
                <w:bCs/>
                <w:kern w:val="0"/>
                <w:sz w:val="24"/>
              </w:rPr>
              <w:t>Tl</w:t>
            </w:r>
            <w:r>
              <w:rPr>
                <w:bCs/>
                <w:kern w:val="0"/>
                <w:sz w:val="24"/>
                <w:vertAlign w:val="subscript"/>
              </w:rPr>
              <w:t>i</w:t>
            </w:r>
            <w:r>
              <w:rPr>
                <w:bCs/>
                <w:kern w:val="0"/>
                <w:sz w:val="24"/>
              </w:rPr>
              <w:t>—围护结构i被倍频带的隔声量，dB。</w:t>
            </w:r>
          </w:p>
          <w:p>
            <w:pPr>
              <w:adjustRightInd w:val="0"/>
              <w:snapToGrid w:val="0"/>
              <w:spacing w:line="480" w:lineRule="exact"/>
              <w:ind w:firstLine="480" w:firstLineChars="200"/>
              <w:rPr>
                <w:bCs/>
                <w:kern w:val="0"/>
                <w:sz w:val="24"/>
              </w:rPr>
            </w:pPr>
            <w:r>
              <w:rPr>
                <w:bCs/>
                <w:kern w:val="0"/>
                <w:sz w:val="24"/>
              </w:rPr>
              <w:t>然后按照下式将室外声源的声压级和透过面积换算成等效的室外声源，计算出中心位置位于透声面积（S）处的等效声源的倍频带声功率级：</w:t>
            </w:r>
          </w:p>
          <w:p>
            <w:pPr>
              <w:adjustRightInd w:val="0"/>
              <w:snapToGrid w:val="0"/>
              <w:spacing w:line="480" w:lineRule="exact"/>
              <w:ind w:firstLine="480"/>
              <w:jc w:val="center"/>
              <w:rPr>
                <w:bCs/>
                <w:kern w:val="0"/>
                <w:sz w:val="24"/>
              </w:rPr>
            </w:pPr>
            <w:r>
              <w:rPr>
                <w:bCs/>
                <w:kern w:val="0"/>
                <w:sz w:val="24"/>
              </w:rPr>
              <w:t>L</w:t>
            </w:r>
            <w:r>
              <w:rPr>
                <w:bCs/>
                <w:kern w:val="0"/>
                <w:sz w:val="24"/>
                <w:vertAlign w:val="subscript"/>
              </w:rPr>
              <w:t>w</w:t>
            </w:r>
            <w:r>
              <w:rPr>
                <w:bCs/>
                <w:kern w:val="0"/>
                <w:sz w:val="24"/>
              </w:rPr>
              <w:t>=L</w:t>
            </w:r>
            <w:r>
              <w:rPr>
                <w:bCs/>
                <w:kern w:val="0"/>
                <w:sz w:val="24"/>
                <w:vertAlign w:val="subscript"/>
              </w:rPr>
              <w:t>p2</w:t>
            </w:r>
            <w:r>
              <w:rPr>
                <w:bCs/>
                <w:kern w:val="0"/>
                <w:sz w:val="24"/>
              </w:rPr>
              <w:t>（T）+10lgS</w:t>
            </w:r>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w</w:t>
            </w:r>
            <w:r>
              <w:rPr>
                <w:bCs/>
                <w:kern w:val="0"/>
                <w:sz w:val="24"/>
              </w:rPr>
              <w:t>—中心位置位于透声面积（S）处的等效声源的倍频带声功率级。dB；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p2</w:t>
            </w:r>
            <w:r>
              <w:rPr>
                <w:bCs/>
                <w:kern w:val="0"/>
                <w:sz w:val="24"/>
              </w:rPr>
              <w:t>（T）—靠近围护结构处室外声源的声压级，dB；</w:t>
            </w:r>
          </w:p>
          <w:p>
            <w:pPr>
              <w:adjustRightInd w:val="0"/>
              <w:snapToGrid w:val="0"/>
              <w:spacing w:line="480" w:lineRule="exact"/>
              <w:ind w:firstLine="960" w:firstLineChars="400"/>
              <w:rPr>
                <w:bCs/>
                <w:kern w:val="0"/>
                <w:sz w:val="24"/>
              </w:rPr>
            </w:pPr>
            <w:r>
              <w:rPr>
                <w:bCs/>
                <w:kern w:val="0"/>
                <w:sz w:val="24"/>
              </w:rPr>
              <w:t>S—透声面积，m</w:t>
            </w:r>
            <w:r>
              <w:rPr>
                <w:bCs/>
                <w:kern w:val="0"/>
                <w:sz w:val="24"/>
                <w:vertAlign w:val="superscript"/>
              </w:rPr>
              <w:t>2</w:t>
            </w:r>
            <w:r>
              <w:rPr>
                <w:bCs/>
                <w:kern w:val="0"/>
                <w:sz w:val="24"/>
              </w:rPr>
              <w:t>。</w:t>
            </w:r>
          </w:p>
          <w:p>
            <w:pPr>
              <w:adjustRightInd w:val="0"/>
              <w:snapToGrid w:val="0"/>
              <w:spacing w:line="480" w:lineRule="exact"/>
              <w:ind w:firstLine="480" w:firstLineChars="200"/>
              <w:rPr>
                <w:bCs/>
                <w:kern w:val="0"/>
                <w:sz w:val="24"/>
              </w:rPr>
            </w:pPr>
            <w:r>
              <w:rPr>
                <w:bCs/>
                <w:kern w:val="0"/>
                <w:sz w:val="24"/>
              </w:rPr>
              <w:t>然后按照下式计算出预测点A声级：</w:t>
            </w:r>
          </w:p>
          <w:p>
            <w:pPr>
              <w:adjustRightInd w:val="0"/>
              <w:snapToGrid w:val="0"/>
              <w:spacing w:line="360" w:lineRule="auto"/>
              <w:ind w:firstLine="480"/>
              <w:rPr>
                <w:bCs/>
                <w:iCs/>
                <w:kern w:val="0"/>
                <w:sz w:val="24"/>
              </w:rPr>
            </w:pPr>
            <m:oMathPara>
              <m:oMath>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A</m:t>
                    </m:r>
                    <m:ctrlPr>
                      <w:rPr>
                        <w:rFonts w:ascii="Cambria Math" w:hAnsi="Cambria Math"/>
                        <w:bCs/>
                        <w:iCs/>
                        <w:kern w:val="0"/>
                        <w:sz w:val="24"/>
                      </w:rPr>
                    </m:ctrlPr>
                  </m:sub>
                </m:sSub>
                <m:d>
                  <m:dPr>
                    <m:ctrlPr>
                      <w:rPr>
                        <w:rFonts w:ascii="Cambria Math" w:hAnsi="Cambria Math"/>
                        <w:bCs/>
                        <w:iCs/>
                        <w:kern w:val="0"/>
                        <w:sz w:val="24"/>
                      </w:rPr>
                    </m:ctrlPr>
                  </m:dPr>
                  <m:e>
                    <m:r>
                      <m:rPr>
                        <m:sty m:val="p"/>
                      </m:rPr>
                      <w:rPr>
                        <w:rFonts w:ascii="Cambria Math" w:hAnsi="Cambria Math"/>
                        <w:kern w:val="0"/>
                        <w:sz w:val="24"/>
                      </w:rPr>
                      <m:t>r</m:t>
                    </m:r>
                    <m:ctrlPr>
                      <w:rPr>
                        <w:rFonts w:ascii="Cambria Math" w:hAnsi="Cambria Math"/>
                        <w:bCs/>
                        <w:iCs/>
                        <w:kern w:val="0"/>
                        <w:sz w:val="24"/>
                      </w:rPr>
                    </m:ctrlPr>
                  </m:e>
                </m:d>
                <m:r>
                  <m:rPr>
                    <m:sty m:val="p"/>
                  </m:rPr>
                  <w:rPr>
                    <w:rFonts w:ascii="Cambria Math" w:hAnsi="Cambria Math"/>
                    <w:kern w:val="0"/>
                    <w:sz w:val="24"/>
                  </w:rPr>
                  <m:t>=10lg⁡｛</m:t>
                </m:r>
                <m:nary>
                  <m:naryPr>
                    <m:chr m:val="∑"/>
                    <m:limLoc m:val="undOvr"/>
                    <m:ctrlPr>
                      <w:rPr>
                        <w:rFonts w:ascii="Cambria Math" w:hAnsi="Cambria Math"/>
                        <w:bCs/>
                        <w:iCs/>
                        <w:kern w:val="0"/>
                        <w:sz w:val="24"/>
                      </w:rPr>
                    </m:ctrlPr>
                  </m:naryPr>
                  <m:sub>
                    <m:r>
                      <m:rPr>
                        <m:sty m:val="p"/>
                      </m:rPr>
                      <w:rPr>
                        <w:rFonts w:ascii="Cambria Math" w:hAnsi="Cambria Math"/>
                        <w:kern w:val="0"/>
                        <w:sz w:val="24"/>
                      </w:rPr>
                      <m:t>i=1</m:t>
                    </m:r>
                    <m:ctrlPr>
                      <w:rPr>
                        <w:rFonts w:ascii="Cambria Math" w:hAnsi="Cambria Math"/>
                        <w:bCs/>
                        <w:iCs/>
                        <w:kern w:val="0"/>
                        <w:sz w:val="24"/>
                      </w:rPr>
                    </m:ctrlPr>
                  </m:sub>
                  <m:sup>
                    <m:r>
                      <m:rPr>
                        <m:sty m:val="p"/>
                      </m:rPr>
                      <w:rPr>
                        <w:rFonts w:ascii="Cambria Math" w:hAnsi="Cambria Math"/>
                        <w:kern w:val="0"/>
                        <w:sz w:val="24"/>
                      </w:rPr>
                      <m:t>8</m:t>
                    </m:r>
                    <m:ctrlPr>
                      <w:rPr>
                        <w:rFonts w:ascii="Cambria Math" w:hAnsi="Cambria Math"/>
                        <w:bCs/>
                        <w:iCs/>
                        <w:kern w:val="0"/>
                        <w:sz w:val="24"/>
                      </w:rPr>
                    </m:ctrlPr>
                  </m:sup>
                  <m:e>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r>
                          <m:rPr>
                            <m:sty m:val="p"/>
                          </m:rPr>
                          <w:rPr>
                            <w:rFonts w:ascii="Cambria Math" w:hAnsi="Cambria Math"/>
                            <w:kern w:val="0"/>
                            <w:sz w:val="24"/>
                          </w:rPr>
                          <m:t>0.1[</m:t>
                        </m:r>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pi</m:t>
                            </m:r>
                            <m:ctrlPr>
                              <w:rPr>
                                <w:rFonts w:ascii="Cambria Math" w:hAnsi="Cambria Math"/>
                                <w:bCs/>
                                <w:iCs/>
                                <w:kern w:val="0"/>
                                <w:sz w:val="24"/>
                              </w:rPr>
                            </m:ctrlPr>
                          </m:sub>
                        </m:sSub>
                        <m:r>
                          <m:rPr>
                            <m:sty m:val="p"/>
                          </m:rPr>
                          <w:rPr>
                            <w:rFonts w:ascii="Cambria Math" w:hAnsi="Cambria Math"/>
                            <w:kern w:val="0"/>
                            <w:sz w:val="24"/>
                          </w:rPr>
                          <m:t>(r)−</m:t>
                        </m:r>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i</m:t>
                            </m:r>
                            <m:ctrlPr>
                              <w:rPr>
                                <w:rFonts w:ascii="Cambria Math" w:hAnsi="Cambria Math"/>
                                <w:bCs/>
                                <w:iCs/>
                                <w:kern w:val="0"/>
                                <w:sz w:val="24"/>
                              </w:rPr>
                            </m:ctrlPr>
                          </m:sub>
                        </m:sSub>
                        <m:r>
                          <m:rPr>
                            <m:sty m:val="p"/>
                          </m:rPr>
                          <w:rPr>
                            <w:rFonts w:ascii="Cambria Math" w:hAnsi="Cambria Math"/>
                            <w:kern w:val="0"/>
                            <w:sz w:val="24"/>
                          </w:rPr>
                          <m:t>]</m:t>
                        </m:r>
                        <m:ctrlPr>
                          <w:rPr>
                            <w:rFonts w:ascii="Cambria Math" w:hAnsi="Cambria Math"/>
                            <w:bCs/>
                            <w:iCs/>
                            <w:kern w:val="0"/>
                            <w:sz w:val="24"/>
                          </w:rPr>
                        </m:ctrlPr>
                      </m:sup>
                    </m:sSup>
                    <m:ctrlPr>
                      <w:rPr>
                        <w:rFonts w:ascii="Cambria Math" w:hAnsi="Cambria Math"/>
                        <w:bCs/>
                        <w:iCs/>
                        <w:kern w:val="0"/>
                        <w:sz w:val="24"/>
                      </w:rPr>
                    </m:ctrlPr>
                  </m:e>
                </m:nary>
                <m:r>
                  <m:rPr>
                    <m:sty m:val="p"/>
                  </m:rPr>
                  <w:rPr>
                    <w:rFonts w:ascii="Cambria Math" w:hAnsi="Cambria Math"/>
                    <w:kern w:val="0"/>
                    <w:sz w:val="24"/>
                  </w:rPr>
                  <m:t>｝</m:t>
                </m:r>
              </m:oMath>
            </m:oMathPara>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A</w:t>
            </w:r>
            <w:r>
              <w:rPr>
                <w:bCs/>
                <w:kern w:val="0"/>
                <w:sz w:val="24"/>
              </w:rPr>
              <w:t>（r）—距点声源r处的A声级，dB（A）；</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pi</w:t>
            </w:r>
            <w:r>
              <w:rPr>
                <w:bCs/>
                <w:kern w:val="0"/>
                <w:sz w:val="24"/>
              </w:rPr>
              <w:t>（r）—预测点（r）处，第i倍频带声压级，dB；</w:t>
            </w:r>
          </w:p>
          <w:p>
            <w:pPr>
              <w:adjustRightInd w:val="0"/>
              <w:snapToGrid w:val="0"/>
              <w:spacing w:line="480" w:lineRule="exact"/>
              <w:ind w:firstLine="960" w:firstLineChars="400"/>
              <w:rPr>
                <w:bCs/>
                <w:kern w:val="0"/>
                <w:sz w:val="24"/>
              </w:rPr>
            </w:pPr>
            <w:r>
              <w:rPr>
                <w:rFonts w:hint="eastAsia" w:ascii="宋体" w:hAnsi="宋体" w:cs="宋体"/>
                <w:bCs/>
                <w:kern w:val="0"/>
                <w:sz w:val="24"/>
              </w:rPr>
              <w:t>△</w:t>
            </w:r>
            <w:r>
              <w:rPr>
                <w:bCs/>
                <w:kern w:val="0"/>
                <w:sz w:val="24"/>
              </w:rPr>
              <w:t>L</w:t>
            </w:r>
            <w:r>
              <w:rPr>
                <w:bCs/>
                <w:kern w:val="0"/>
                <w:sz w:val="24"/>
                <w:vertAlign w:val="subscript"/>
              </w:rPr>
              <w:t>i</w:t>
            </w:r>
            <w:r>
              <w:rPr>
                <w:bCs/>
                <w:kern w:val="0"/>
                <w:sz w:val="24"/>
              </w:rPr>
              <w:t>—第i倍频带的A计权网络修正值，dB。</w:t>
            </w:r>
          </w:p>
          <w:p>
            <w:pPr>
              <w:adjustRightInd w:val="0"/>
              <w:snapToGrid w:val="0"/>
              <w:spacing w:line="480" w:lineRule="exact"/>
              <w:ind w:firstLine="480"/>
              <w:jc w:val="center"/>
              <w:rPr>
                <w:bCs/>
                <w:kern w:val="0"/>
                <w:sz w:val="24"/>
              </w:rPr>
            </w:pPr>
            <w:r>
              <w:rPr>
                <w:bCs/>
                <w:kern w:val="0"/>
                <w:sz w:val="24"/>
              </w:rPr>
              <w:t>L</w:t>
            </w:r>
            <w:r>
              <w:rPr>
                <w:bCs/>
                <w:kern w:val="0"/>
                <w:sz w:val="24"/>
                <w:vertAlign w:val="subscript"/>
              </w:rPr>
              <w:t>A</w:t>
            </w:r>
            <w:r>
              <w:rPr>
                <w:bCs/>
                <w:kern w:val="0"/>
                <w:sz w:val="24"/>
              </w:rPr>
              <w:t>（r）=L</w:t>
            </w:r>
            <w:r>
              <w:rPr>
                <w:bCs/>
                <w:kern w:val="0"/>
                <w:sz w:val="24"/>
                <w:vertAlign w:val="subscript"/>
              </w:rPr>
              <w:t xml:space="preserve">AW </w:t>
            </w:r>
            <w:r>
              <w:rPr>
                <w:bCs/>
                <w:kern w:val="0"/>
                <w:sz w:val="24"/>
              </w:rPr>
              <w:t>- 20lgr</w:t>
            </w:r>
            <w:r>
              <w:rPr>
                <w:bCs/>
                <w:kern w:val="0"/>
                <w:sz w:val="24"/>
              </w:rPr>
              <w:softHyphen/>
            </w:r>
            <w:r>
              <w:rPr>
                <w:bCs/>
                <w:kern w:val="0"/>
                <w:sz w:val="24"/>
              </w:rPr>
              <w:t xml:space="preserve"> - 8</w:t>
            </w:r>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A</w:t>
            </w:r>
            <w:r>
              <w:rPr>
                <w:bCs/>
                <w:kern w:val="0"/>
                <w:sz w:val="24"/>
              </w:rPr>
              <w:t>（r）—距声源r处的A声级，dB(A)；</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AW</w:t>
            </w:r>
            <w:r>
              <w:rPr>
                <w:bCs/>
                <w:kern w:val="0"/>
                <w:sz w:val="24"/>
              </w:rPr>
              <w:t>—点声源A计权声功率级，dB；</w:t>
            </w:r>
          </w:p>
          <w:p>
            <w:pPr>
              <w:adjustRightInd w:val="0"/>
              <w:snapToGrid w:val="0"/>
              <w:spacing w:line="480" w:lineRule="exact"/>
              <w:ind w:firstLine="960" w:firstLineChars="400"/>
              <w:rPr>
                <w:bCs/>
                <w:kern w:val="0"/>
                <w:sz w:val="24"/>
              </w:rPr>
            </w:pPr>
            <w:r>
              <w:rPr>
                <w:bCs/>
                <w:kern w:val="0"/>
                <w:sz w:val="24"/>
              </w:rPr>
              <w:t>r—预测点距声源的距离。</w:t>
            </w:r>
          </w:p>
          <w:p>
            <w:pPr>
              <w:adjustRightInd w:val="0"/>
              <w:snapToGrid w:val="0"/>
              <w:spacing w:line="480" w:lineRule="exact"/>
              <w:ind w:firstLine="482" w:firstLineChars="200"/>
              <w:rPr>
                <w:b/>
                <w:kern w:val="0"/>
                <w:sz w:val="24"/>
              </w:rPr>
            </w:pPr>
            <w:r>
              <w:rPr>
                <w:b/>
                <w:kern w:val="0"/>
                <w:sz w:val="24"/>
              </w:rPr>
              <w:t>（3）工业企业噪声计算</w:t>
            </w:r>
          </w:p>
          <w:p>
            <w:pPr>
              <w:adjustRightInd w:val="0"/>
              <w:snapToGrid w:val="0"/>
              <w:spacing w:line="480" w:lineRule="exact"/>
              <w:ind w:firstLine="480" w:firstLineChars="200"/>
              <w:rPr>
                <w:bCs/>
                <w:kern w:val="0"/>
                <w:sz w:val="24"/>
              </w:rPr>
            </w:pPr>
            <w:r>
              <w:rPr>
                <w:bCs/>
                <w:kern w:val="0"/>
                <w:sz w:val="24"/>
              </w:rPr>
              <w:t>如下式计算：</w:t>
            </w:r>
          </w:p>
          <w:p>
            <w:pPr>
              <w:adjustRightInd w:val="0"/>
              <w:snapToGrid w:val="0"/>
              <w:spacing w:line="360" w:lineRule="auto"/>
              <w:ind w:firstLine="480" w:firstLineChars="200"/>
              <w:rPr>
                <w:bCs/>
                <w:iCs/>
                <w:kern w:val="0"/>
                <w:sz w:val="24"/>
              </w:rPr>
            </w:pPr>
            <m:oMathPara>
              <m:oMath>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eqg</m:t>
                    </m:r>
                    <m:ctrlPr>
                      <w:rPr>
                        <w:rFonts w:ascii="Cambria Math" w:hAnsi="Cambria Math"/>
                        <w:bCs/>
                        <w:iCs/>
                        <w:kern w:val="0"/>
                        <w:sz w:val="24"/>
                      </w:rPr>
                    </m:ctrlPr>
                  </m:sub>
                </m:sSub>
                <m:r>
                  <m:rPr>
                    <m:sty m:val="p"/>
                  </m:rPr>
                  <w:rPr>
                    <w:rFonts w:ascii="Cambria Math" w:hAnsi="Cambria Math"/>
                    <w:kern w:val="0"/>
                    <w:sz w:val="24"/>
                  </w:rPr>
                  <m:t>=10lg⁡[</m:t>
                </m:r>
                <m:f>
                  <m:fPr>
                    <m:ctrlPr>
                      <w:rPr>
                        <w:rFonts w:ascii="Cambria Math" w:hAnsi="Cambria Math"/>
                        <w:bCs/>
                        <w:iCs/>
                        <w:kern w:val="0"/>
                        <w:sz w:val="24"/>
                      </w:rPr>
                    </m:ctrlPr>
                  </m:fPr>
                  <m:num>
                    <m:r>
                      <m:rPr>
                        <m:sty m:val="p"/>
                      </m:rPr>
                      <w:rPr>
                        <w:rFonts w:ascii="Cambria Math" w:hAnsi="Cambria Math"/>
                        <w:kern w:val="0"/>
                        <w:sz w:val="24"/>
                      </w:rPr>
                      <m:t>1</m:t>
                    </m:r>
                    <m:ctrlPr>
                      <w:rPr>
                        <w:rFonts w:ascii="Cambria Math" w:hAnsi="Cambria Math"/>
                        <w:bCs/>
                        <w:iCs/>
                        <w:kern w:val="0"/>
                        <w:sz w:val="24"/>
                      </w:rPr>
                    </m:ctrlPr>
                  </m:num>
                  <m:den>
                    <m:r>
                      <m:rPr>
                        <m:sty m:val="p"/>
                      </m:rPr>
                      <w:rPr>
                        <w:rFonts w:ascii="Cambria Math" w:hAnsi="Cambria Math"/>
                        <w:kern w:val="0"/>
                        <w:sz w:val="24"/>
                      </w:rPr>
                      <m:t>T</m:t>
                    </m:r>
                    <m:ctrlPr>
                      <w:rPr>
                        <w:rFonts w:ascii="Cambria Math" w:hAnsi="Cambria Math"/>
                        <w:bCs/>
                        <w:iCs/>
                        <w:kern w:val="0"/>
                        <w:sz w:val="24"/>
                      </w:rPr>
                    </m:ctrlPr>
                  </m:den>
                </m:f>
                <m:r>
                  <m:rPr>
                    <m:sty m:val="p"/>
                  </m:rPr>
                  <w:rPr>
                    <w:rFonts w:ascii="Cambria Math" w:hAnsi="Cambria Math"/>
                    <w:kern w:val="0"/>
                    <w:sz w:val="24"/>
                  </w:rPr>
                  <m:t>（</m:t>
                </m:r>
                <m:nary>
                  <m:naryPr>
                    <m:chr m:val="∑"/>
                    <m:limLoc m:val="undOvr"/>
                    <m:ctrlPr>
                      <w:rPr>
                        <w:rFonts w:ascii="Cambria Math" w:hAnsi="Cambria Math"/>
                        <w:bCs/>
                        <w:iCs/>
                        <w:kern w:val="0"/>
                        <w:sz w:val="24"/>
                      </w:rPr>
                    </m:ctrlPr>
                  </m:naryPr>
                  <m:sub>
                    <m:r>
                      <m:rPr>
                        <m:sty m:val="p"/>
                      </m:rPr>
                      <w:rPr>
                        <w:rFonts w:ascii="Cambria Math" w:hAnsi="Cambria Math"/>
                        <w:kern w:val="0"/>
                        <w:sz w:val="24"/>
                      </w:rPr>
                      <m:t>i=1</m:t>
                    </m:r>
                    <m:ctrlPr>
                      <w:rPr>
                        <w:rFonts w:ascii="Cambria Math" w:hAnsi="Cambria Math"/>
                        <w:bCs/>
                        <w:iCs/>
                        <w:kern w:val="0"/>
                        <w:sz w:val="24"/>
                      </w:rPr>
                    </m:ctrlPr>
                  </m:sub>
                  <m:sup>
                    <m:r>
                      <m:rPr>
                        <m:sty m:val="p"/>
                      </m:rPr>
                      <w:rPr>
                        <w:rFonts w:ascii="Cambria Math" w:hAnsi="Cambria Math"/>
                        <w:kern w:val="0"/>
                        <w:sz w:val="24"/>
                      </w:rPr>
                      <m:t>N</m:t>
                    </m:r>
                    <m:ctrlPr>
                      <w:rPr>
                        <w:rFonts w:ascii="Cambria Math" w:hAnsi="Cambria Math"/>
                        <w:bCs/>
                        <w:iCs/>
                        <w:kern w:val="0"/>
                        <w:sz w:val="24"/>
                      </w:rPr>
                    </m:ctrlPr>
                  </m:sup>
                  <m:e>
                    <m:sSub>
                      <m:sSubPr>
                        <m:ctrlPr>
                          <w:rPr>
                            <w:rFonts w:ascii="Cambria Math" w:hAnsi="Cambria Math"/>
                            <w:bCs/>
                            <w:iCs/>
                            <w:kern w:val="0"/>
                            <w:sz w:val="24"/>
                          </w:rPr>
                        </m:ctrlPr>
                      </m:sSubPr>
                      <m:e>
                        <m:r>
                          <m:rPr>
                            <m:sty m:val="p"/>
                          </m:rPr>
                          <w:rPr>
                            <w:rFonts w:ascii="Cambria Math" w:hAnsi="Cambria Math"/>
                            <w:kern w:val="0"/>
                            <w:sz w:val="24"/>
                          </w:rPr>
                          <m:t>t</m:t>
                        </m:r>
                        <m:ctrlPr>
                          <w:rPr>
                            <w:rFonts w:ascii="Cambria Math" w:hAnsi="Cambria Math"/>
                            <w:bCs/>
                            <w:iCs/>
                            <w:kern w:val="0"/>
                            <w:sz w:val="24"/>
                          </w:rPr>
                        </m:ctrlPr>
                      </m:e>
                      <m:sub>
                        <m:r>
                          <m:rPr>
                            <m:sty m:val="p"/>
                          </m:rPr>
                          <w:rPr>
                            <w:rFonts w:ascii="Cambria Math" w:hAnsi="Cambria Math"/>
                            <w:kern w:val="0"/>
                            <w:sz w:val="24"/>
                          </w:rPr>
                          <m:t>i</m:t>
                        </m:r>
                        <m:ctrlPr>
                          <w:rPr>
                            <w:rFonts w:ascii="Cambria Math" w:hAnsi="Cambria Math"/>
                            <w:bCs/>
                            <w:iCs/>
                            <w:kern w:val="0"/>
                            <w:sz w:val="24"/>
                          </w:rPr>
                        </m:ctrlPr>
                      </m:sub>
                    </m:sSub>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r>
                          <m:rPr>
                            <m:sty m:val="p"/>
                          </m:rPr>
                          <w:rPr>
                            <w:rFonts w:ascii="Cambria Math" w:hAnsi="Cambria Math"/>
                            <w:kern w:val="0"/>
                            <w:sz w:val="24"/>
                          </w:rPr>
                          <m:t>0.1</m:t>
                        </m:r>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Ai</m:t>
                            </m:r>
                            <m:ctrlPr>
                              <w:rPr>
                                <w:rFonts w:ascii="Cambria Math" w:hAnsi="Cambria Math"/>
                                <w:bCs/>
                                <w:iCs/>
                                <w:kern w:val="0"/>
                                <w:sz w:val="24"/>
                              </w:rPr>
                            </m:ctrlPr>
                          </m:sub>
                        </m:sSub>
                        <m:ctrlPr>
                          <w:rPr>
                            <w:rFonts w:ascii="Cambria Math" w:hAnsi="Cambria Math"/>
                            <w:bCs/>
                            <w:iCs/>
                            <w:kern w:val="0"/>
                            <w:sz w:val="24"/>
                          </w:rPr>
                        </m:ctrlPr>
                      </m:sup>
                    </m:sSup>
                    <m:ctrlPr>
                      <w:rPr>
                        <w:rFonts w:ascii="Cambria Math" w:hAnsi="Cambria Math"/>
                        <w:bCs/>
                        <w:iCs/>
                        <w:kern w:val="0"/>
                        <w:sz w:val="24"/>
                      </w:rPr>
                    </m:ctrlPr>
                  </m:e>
                </m:nary>
                <m:r>
                  <m:rPr>
                    <m:sty m:val="p"/>
                  </m:rPr>
                  <w:rPr>
                    <w:rFonts w:ascii="Cambria Math" w:hAnsi="Cambria Math"/>
                    <w:kern w:val="0"/>
                    <w:sz w:val="24"/>
                  </w:rPr>
                  <m:t>+</m:t>
                </m:r>
                <m:nary>
                  <m:naryPr>
                    <m:chr m:val="∑"/>
                    <m:limLoc m:val="undOvr"/>
                    <m:ctrlPr>
                      <w:rPr>
                        <w:rFonts w:ascii="Cambria Math" w:hAnsi="Cambria Math"/>
                        <w:bCs/>
                        <w:iCs/>
                        <w:kern w:val="0"/>
                        <w:sz w:val="24"/>
                      </w:rPr>
                    </m:ctrlPr>
                  </m:naryPr>
                  <m:sub>
                    <m:r>
                      <m:rPr>
                        <m:sty m:val="p"/>
                      </m:rPr>
                      <w:rPr>
                        <w:rFonts w:ascii="Cambria Math" w:hAnsi="Cambria Math"/>
                        <w:kern w:val="0"/>
                        <w:sz w:val="24"/>
                      </w:rPr>
                      <m:t>j=1</m:t>
                    </m:r>
                    <m:ctrlPr>
                      <w:rPr>
                        <w:rFonts w:ascii="Cambria Math" w:hAnsi="Cambria Math"/>
                        <w:bCs/>
                        <w:iCs/>
                        <w:kern w:val="0"/>
                        <w:sz w:val="24"/>
                      </w:rPr>
                    </m:ctrlPr>
                  </m:sub>
                  <m:sup>
                    <m:r>
                      <m:rPr>
                        <m:sty m:val="p"/>
                      </m:rPr>
                      <w:rPr>
                        <w:rFonts w:ascii="Cambria Math" w:hAnsi="Cambria Math"/>
                        <w:kern w:val="0"/>
                        <w:sz w:val="24"/>
                      </w:rPr>
                      <m:t>M</m:t>
                    </m:r>
                    <m:ctrlPr>
                      <w:rPr>
                        <w:rFonts w:ascii="Cambria Math" w:hAnsi="Cambria Math"/>
                        <w:bCs/>
                        <w:iCs/>
                        <w:kern w:val="0"/>
                        <w:sz w:val="24"/>
                      </w:rPr>
                    </m:ctrlPr>
                  </m:sup>
                  <m:e>
                    <m:sSub>
                      <m:sSubPr>
                        <m:ctrlPr>
                          <w:rPr>
                            <w:rFonts w:ascii="Cambria Math" w:hAnsi="Cambria Math"/>
                            <w:bCs/>
                            <w:iCs/>
                            <w:kern w:val="0"/>
                            <w:sz w:val="24"/>
                          </w:rPr>
                        </m:ctrlPr>
                      </m:sSubPr>
                      <m:e>
                        <m:r>
                          <m:rPr>
                            <m:sty m:val="p"/>
                          </m:rPr>
                          <w:rPr>
                            <w:rFonts w:ascii="Cambria Math" w:hAnsi="Cambria Math"/>
                            <w:kern w:val="0"/>
                            <w:sz w:val="24"/>
                          </w:rPr>
                          <m:t>t</m:t>
                        </m:r>
                        <m:ctrlPr>
                          <w:rPr>
                            <w:rFonts w:ascii="Cambria Math" w:hAnsi="Cambria Math"/>
                            <w:bCs/>
                            <w:iCs/>
                            <w:kern w:val="0"/>
                            <w:sz w:val="24"/>
                          </w:rPr>
                        </m:ctrlPr>
                      </m:e>
                      <m:sub>
                        <m:r>
                          <m:rPr>
                            <m:sty m:val="p"/>
                          </m:rPr>
                          <w:rPr>
                            <w:rFonts w:ascii="Cambria Math" w:hAnsi="Cambria Math"/>
                            <w:kern w:val="0"/>
                            <w:sz w:val="24"/>
                          </w:rPr>
                          <m:t>j</m:t>
                        </m:r>
                        <m:ctrlPr>
                          <w:rPr>
                            <w:rFonts w:ascii="Cambria Math" w:hAnsi="Cambria Math"/>
                            <w:bCs/>
                            <w:iCs/>
                            <w:kern w:val="0"/>
                            <w:sz w:val="24"/>
                          </w:rPr>
                        </m:ctrlPr>
                      </m:sub>
                    </m:sSub>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sSub>
                          <m:sSubPr>
                            <m:ctrlPr>
                              <w:rPr>
                                <w:rFonts w:ascii="Cambria Math" w:hAnsi="Cambria Math"/>
                                <w:bCs/>
                                <w:iCs/>
                                <w:kern w:val="0"/>
                                <w:sz w:val="24"/>
                              </w:rPr>
                            </m:ctrlPr>
                          </m:sSubPr>
                          <m:e>
                            <m:r>
                              <m:rPr>
                                <m:sty m:val="p"/>
                              </m:rPr>
                              <w:rPr>
                                <w:rFonts w:ascii="Cambria Math" w:hAnsi="Cambria Math"/>
                                <w:kern w:val="0"/>
                                <w:sz w:val="24"/>
                              </w:rPr>
                              <m:t>0.1L</m:t>
                            </m:r>
                            <m:ctrlPr>
                              <w:rPr>
                                <w:rFonts w:ascii="Cambria Math" w:hAnsi="Cambria Math"/>
                                <w:bCs/>
                                <w:iCs/>
                                <w:kern w:val="0"/>
                                <w:sz w:val="24"/>
                              </w:rPr>
                            </m:ctrlPr>
                          </m:e>
                          <m:sub>
                            <m:r>
                              <m:rPr>
                                <m:sty m:val="p"/>
                              </m:rPr>
                              <w:rPr>
                                <w:rFonts w:ascii="Cambria Math" w:hAnsi="Cambria Math"/>
                                <w:kern w:val="0"/>
                                <w:sz w:val="24"/>
                              </w:rPr>
                              <m:t>Aj</m:t>
                            </m:r>
                            <m:ctrlPr>
                              <w:rPr>
                                <w:rFonts w:ascii="Cambria Math" w:hAnsi="Cambria Math"/>
                                <w:bCs/>
                                <w:iCs/>
                                <w:kern w:val="0"/>
                                <w:sz w:val="24"/>
                              </w:rPr>
                            </m:ctrlPr>
                          </m:sub>
                        </m:sSub>
                        <m:ctrlPr>
                          <w:rPr>
                            <w:rFonts w:ascii="Cambria Math" w:hAnsi="Cambria Math"/>
                            <w:bCs/>
                            <w:iCs/>
                            <w:kern w:val="0"/>
                            <w:sz w:val="24"/>
                          </w:rPr>
                        </m:ctrlPr>
                      </m:sup>
                    </m:sSup>
                    <m:ctrlPr>
                      <w:rPr>
                        <w:rFonts w:ascii="Cambria Math" w:hAnsi="Cambria Math"/>
                        <w:bCs/>
                        <w:iCs/>
                        <w:kern w:val="0"/>
                        <w:sz w:val="24"/>
                      </w:rPr>
                    </m:ctrlPr>
                  </m:e>
                </m:nary>
                <m:r>
                  <m:rPr>
                    <m:sty m:val="p"/>
                  </m:rPr>
                  <w:rPr>
                    <w:rFonts w:ascii="Cambria Math" w:hAnsi="Cambria Math"/>
                    <w:kern w:val="0"/>
                    <w:sz w:val="24"/>
                  </w:rPr>
                  <m:t>）]</m:t>
                </m:r>
              </m:oMath>
            </m:oMathPara>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eqg</w:t>
            </w:r>
            <w:r>
              <w:rPr>
                <w:bCs/>
                <w:kern w:val="0"/>
                <w:sz w:val="24"/>
              </w:rPr>
              <w:t>—建设项目声源在预测点产生的噪声贡献值，dB；</w:t>
            </w:r>
          </w:p>
          <w:p>
            <w:pPr>
              <w:adjustRightInd w:val="0"/>
              <w:snapToGrid w:val="0"/>
              <w:spacing w:line="480" w:lineRule="exact"/>
              <w:ind w:firstLine="960" w:firstLineChars="400"/>
              <w:rPr>
                <w:bCs/>
                <w:kern w:val="0"/>
                <w:sz w:val="24"/>
              </w:rPr>
            </w:pPr>
            <w:r>
              <w:rPr>
                <w:bCs/>
                <w:kern w:val="0"/>
                <w:sz w:val="24"/>
              </w:rPr>
              <w:t>T—用于计算等效声级的时间，s；</w:t>
            </w:r>
          </w:p>
          <w:p>
            <w:pPr>
              <w:adjustRightInd w:val="0"/>
              <w:snapToGrid w:val="0"/>
              <w:spacing w:line="480" w:lineRule="exact"/>
              <w:ind w:firstLine="960" w:firstLineChars="400"/>
              <w:rPr>
                <w:bCs/>
                <w:kern w:val="0"/>
                <w:sz w:val="24"/>
              </w:rPr>
            </w:pPr>
            <w:r>
              <w:rPr>
                <w:bCs/>
                <w:kern w:val="0"/>
                <w:sz w:val="24"/>
              </w:rPr>
              <w:t>N—室外声源个数；</w:t>
            </w:r>
          </w:p>
          <w:p>
            <w:pPr>
              <w:adjustRightInd w:val="0"/>
              <w:snapToGrid w:val="0"/>
              <w:spacing w:line="480" w:lineRule="exact"/>
              <w:ind w:firstLine="960" w:firstLineChars="400"/>
              <w:rPr>
                <w:bCs/>
                <w:kern w:val="0"/>
                <w:sz w:val="24"/>
              </w:rPr>
            </w:pPr>
            <w:r>
              <w:rPr>
                <w:bCs/>
                <w:kern w:val="0"/>
                <w:sz w:val="24"/>
              </w:rPr>
              <w:t>t</w:t>
            </w:r>
            <w:r>
              <w:rPr>
                <w:bCs/>
                <w:kern w:val="0"/>
                <w:sz w:val="24"/>
                <w:vertAlign w:val="subscript"/>
              </w:rPr>
              <w:t>i</w:t>
            </w:r>
            <w:r>
              <w:rPr>
                <w:bCs/>
                <w:kern w:val="0"/>
                <w:sz w:val="24"/>
              </w:rPr>
              <w:softHyphen/>
            </w:r>
            <w:r>
              <w:rPr>
                <w:bCs/>
                <w:kern w:val="0"/>
                <w:sz w:val="24"/>
              </w:rPr>
              <w:softHyphen/>
            </w:r>
            <w:r>
              <w:rPr>
                <w:bCs/>
                <w:kern w:val="0"/>
                <w:sz w:val="24"/>
              </w:rPr>
              <w:softHyphen/>
            </w:r>
            <w:r>
              <w:rPr>
                <w:bCs/>
                <w:kern w:val="0"/>
                <w:sz w:val="24"/>
              </w:rPr>
              <w:t>—在T时间内i声源工作时间，s；</w:t>
            </w:r>
          </w:p>
          <w:p>
            <w:pPr>
              <w:adjustRightInd w:val="0"/>
              <w:snapToGrid w:val="0"/>
              <w:spacing w:line="480" w:lineRule="exact"/>
              <w:ind w:firstLine="960" w:firstLineChars="400"/>
              <w:rPr>
                <w:bCs/>
                <w:kern w:val="0"/>
                <w:sz w:val="24"/>
              </w:rPr>
            </w:pPr>
            <w:r>
              <w:rPr>
                <w:bCs/>
                <w:kern w:val="0"/>
                <w:sz w:val="24"/>
              </w:rPr>
              <w:t>M—等效室外声源个数；</w:t>
            </w:r>
          </w:p>
          <w:p>
            <w:pPr>
              <w:adjustRightInd w:val="0"/>
              <w:snapToGrid w:val="0"/>
              <w:spacing w:line="480" w:lineRule="exact"/>
              <w:ind w:firstLine="960" w:firstLineChars="400"/>
              <w:rPr>
                <w:bCs/>
                <w:kern w:val="0"/>
                <w:sz w:val="24"/>
              </w:rPr>
            </w:pPr>
            <w:r>
              <w:rPr>
                <w:bCs/>
                <w:kern w:val="0"/>
                <w:sz w:val="24"/>
              </w:rPr>
              <w:t>t</w:t>
            </w:r>
            <w:r>
              <w:rPr>
                <w:bCs/>
                <w:kern w:val="0"/>
                <w:sz w:val="24"/>
                <w:vertAlign w:val="subscript"/>
              </w:rPr>
              <w:t>j</w:t>
            </w:r>
            <w:r>
              <w:rPr>
                <w:bCs/>
                <w:kern w:val="0"/>
                <w:sz w:val="24"/>
              </w:rPr>
              <w:t>—在T时间内j声源工作时间，s。</w:t>
            </w:r>
          </w:p>
          <w:p>
            <w:pPr>
              <w:adjustRightInd w:val="0"/>
              <w:snapToGrid w:val="0"/>
              <w:spacing w:line="480" w:lineRule="exact"/>
              <w:ind w:firstLine="480" w:firstLineChars="200"/>
              <w:rPr>
                <w:bCs/>
                <w:kern w:val="0"/>
                <w:sz w:val="24"/>
              </w:rPr>
            </w:pPr>
            <w:r>
              <w:rPr>
                <w:bCs/>
                <w:kern w:val="0"/>
                <w:sz w:val="24"/>
              </w:rPr>
              <w:t>（4）预测值计算</w:t>
            </w:r>
          </w:p>
          <w:p>
            <w:pPr>
              <w:adjustRightInd w:val="0"/>
              <w:snapToGrid w:val="0"/>
              <w:spacing w:line="480" w:lineRule="exact"/>
              <w:ind w:firstLine="480" w:firstLineChars="200"/>
              <w:rPr>
                <w:bCs/>
                <w:kern w:val="0"/>
                <w:sz w:val="24"/>
              </w:rPr>
            </w:pPr>
            <w:r>
              <w:rPr>
                <w:bCs/>
                <w:kern w:val="0"/>
                <w:sz w:val="24"/>
              </w:rPr>
              <w:t>如下式计算：</w:t>
            </w:r>
          </w:p>
          <w:p>
            <w:pPr>
              <w:adjustRightInd w:val="0"/>
              <w:snapToGrid w:val="0"/>
              <w:spacing w:line="360" w:lineRule="auto"/>
              <w:ind w:firstLine="480"/>
              <w:rPr>
                <w:bCs/>
                <w:iCs/>
                <w:kern w:val="0"/>
                <w:sz w:val="24"/>
              </w:rPr>
            </w:pPr>
            <m:oMathPara>
              <m:oMath>
                <m:sSub>
                  <m:sSubPr>
                    <m:ctrlPr>
                      <w:rPr>
                        <w:rFonts w:ascii="Cambria Math" w:hAnsi="Cambria Math"/>
                        <w:bCs/>
                        <w:iCs/>
                        <w:kern w:val="0"/>
                        <w:sz w:val="24"/>
                      </w:rPr>
                    </m:ctrlPr>
                  </m:sSubPr>
                  <m:e>
                    <m:r>
                      <m:rPr>
                        <m:sty m:val="p"/>
                      </m:rPr>
                      <w:rPr>
                        <w:rFonts w:ascii="Cambria Math" w:hAnsi="Cambria Math"/>
                        <w:kern w:val="0"/>
                        <w:sz w:val="24"/>
                      </w:rPr>
                      <m:t>L</m:t>
                    </m:r>
                    <m:ctrlPr>
                      <w:rPr>
                        <w:rFonts w:ascii="Cambria Math" w:hAnsi="Cambria Math"/>
                        <w:bCs/>
                        <w:iCs/>
                        <w:kern w:val="0"/>
                        <w:sz w:val="24"/>
                      </w:rPr>
                    </m:ctrlPr>
                  </m:e>
                  <m:sub>
                    <m:r>
                      <m:rPr>
                        <m:sty m:val="p"/>
                      </m:rPr>
                      <w:rPr>
                        <w:rFonts w:ascii="Cambria Math" w:hAnsi="Cambria Math"/>
                        <w:kern w:val="0"/>
                        <w:sz w:val="24"/>
                      </w:rPr>
                      <m:t>eq</m:t>
                    </m:r>
                    <m:ctrlPr>
                      <w:rPr>
                        <w:rFonts w:ascii="Cambria Math" w:hAnsi="Cambria Math"/>
                        <w:bCs/>
                        <w:iCs/>
                        <w:kern w:val="0"/>
                        <w:sz w:val="24"/>
                      </w:rPr>
                    </m:ctrlPr>
                  </m:sub>
                </m:sSub>
                <m:r>
                  <m:rPr>
                    <m:sty m:val="p"/>
                  </m:rPr>
                  <w:rPr>
                    <w:rFonts w:ascii="Cambria Math" w:hAnsi="Cambria Math"/>
                    <w:kern w:val="0"/>
                    <w:sz w:val="24"/>
                  </w:rPr>
                  <m:t>=10lg⁡（</m:t>
                </m:r>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sSub>
                      <m:sSubPr>
                        <m:ctrlPr>
                          <w:rPr>
                            <w:rFonts w:ascii="Cambria Math" w:hAnsi="Cambria Math"/>
                            <w:bCs/>
                            <w:iCs/>
                            <w:kern w:val="0"/>
                            <w:sz w:val="24"/>
                          </w:rPr>
                        </m:ctrlPr>
                      </m:sSubPr>
                      <m:e>
                        <m:r>
                          <m:rPr>
                            <m:sty m:val="p"/>
                          </m:rPr>
                          <w:rPr>
                            <w:rFonts w:ascii="Cambria Math" w:hAnsi="Cambria Math"/>
                            <w:kern w:val="0"/>
                            <w:sz w:val="24"/>
                          </w:rPr>
                          <m:t>0.1L</m:t>
                        </m:r>
                        <m:ctrlPr>
                          <w:rPr>
                            <w:rFonts w:ascii="Cambria Math" w:hAnsi="Cambria Math"/>
                            <w:bCs/>
                            <w:iCs/>
                            <w:kern w:val="0"/>
                            <w:sz w:val="24"/>
                          </w:rPr>
                        </m:ctrlPr>
                      </m:e>
                      <m:sub>
                        <m:r>
                          <m:rPr>
                            <m:sty m:val="p"/>
                          </m:rPr>
                          <w:rPr>
                            <w:rFonts w:ascii="Cambria Math" w:hAnsi="Cambria Math"/>
                            <w:kern w:val="0"/>
                            <w:sz w:val="24"/>
                          </w:rPr>
                          <m:t>eqg</m:t>
                        </m:r>
                        <m:ctrlPr>
                          <w:rPr>
                            <w:rFonts w:ascii="Cambria Math" w:hAnsi="Cambria Math"/>
                            <w:bCs/>
                            <w:iCs/>
                            <w:kern w:val="0"/>
                            <w:sz w:val="24"/>
                          </w:rPr>
                        </m:ctrlPr>
                      </m:sub>
                    </m:sSub>
                    <m:ctrlPr>
                      <w:rPr>
                        <w:rFonts w:ascii="Cambria Math" w:hAnsi="Cambria Math"/>
                        <w:bCs/>
                        <w:iCs/>
                        <w:kern w:val="0"/>
                        <w:sz w:val="24"/>
                      </w:rPr>
                    </m:ctrlPr>
                  </m:sup>
                </m:sSup>
                <m:r>
                  <m:rPr>
                    <m:sty m:val="p"/>
                  </m:rPr>
                  <w:rPr>
                    <w:rFonts w:ascii="Cambria Math" w:hAnsi="Cambria Math"/>
                    <w:kern w:val="0"/>
                    <w:sz w:val="24"/>
                  </w:rPr>
                  <m:t>+</m:t>
                </m:r>
                <m:sSup>
                  <m:sSupPr>
                    <m:ctrlPr>
                      <w:rPr>
                        <w:rFonts w:ascii="Cambria Math" w:hAnsi="Cambria Math"/>
                        <w:bCs/>
                        <w:iCs/>
                        <w:kern w:val="0"/>
                        <w:sz w:val="24"/>
                      </w:rPr>
                    </m:ctrlPr>
                  </m:sSupPr>
                  <m:e>
                    <m:r>
                      <m:rPr>
                        <m:sty m:val="p"/>
                      </m:rPr>
                      <w:rPr>
                        <w:rFonts w:ascii="Cambria Math" w:hAnsi="Cambria Math"/>
                        <w:kern w:val="0"/>
                        <w:sz w:val="24"/>
                      </w:rPr>
                      <m:t>10</m:t>
                    </m:r>
                    <m:ctrlPr>
                      <w:rPr>
                        <w:rFonts w:ascii="Cambria Math" w:hAnsi="Cambria Math"/>
                        <w:bCs/>
                        <w:iCs/>
                        <w:kern w:val="0"/>
                        <w:sz w:val="24"/>
                      </w:rPr>
                    </m:ctrlPr>
                  </m:e>
                  <m:sup>
                    <m:sSub>
                      <m:sSubPr>
                        <m:ctrlPr>
                          <w:rPr>
                            <w:rFonts w:ascii="Cambria Math" w:hAnsi="Cambria Math"/>
                            <w:bCs/>
                            <w:iCs/>
                            <w:kern w:val="0"/>
                            <w:sz w:val="24"/>
                          </w:rPr>
                        </m:ctrlPr>
                      </m:sSubPr>
                      <m:e>
                        <m:r>
                          <m:rPr>
                            <m:sty m:val="p"/>
                          </m:rPr>
                          <w:rPr>
                            <w:rFonts w:ascii="Cambria Math" w:hAnsi="Cambria Math"/>
                            <w:kern w:val="0"/>
                            <w:sz w:val="24"/>
                          </w:rPr>
                          <m:t>0.1L</m:t>
                        </m:r>
                        <m:ctrlPr>
                          <w:rPr>
                            <w:rFonts w:ascii="Cambria Math" w:hAnsi="Cambria Math"/>
                            <w:bCs/>
                            <w:iCs/>
                            <w:kern w:val="0"/>
                            <w:sz w:val="24"/>
                          </w:rPr>
                        </m:ctrlPr>
                      </m:e>
                      <m:sub>
                        <m:r>
                          <m:rPr>
                            <m:sty m:val="p"/>
                          </m:rPr>
                          <w:rPr>
                            <w:rFonts w:ascii="Cambria Math" w:hAnsi="Cambria Math"/>
                            <w:kern w:val="0"/>
                            <w:sz w:val="24"/>
                          </w:rPr>
                          <m:t>eqb</m:t>
                        </m:r>
                        <m:ctrlPr>
                          <w:rPr>
                            <w:rFonts w:ascii="Cambria Math" w:hAnsi="Cambria Math"/>
                            <w:bCs/>
                            <w:iCs/>
                            <w:kern w:val="0"/>
                            <w:sz w:val="24"/>
                          </w:rPr>
                        </m:ctrlPr>
                      </m:sub>
                    </m:sSub>
                    <m:ctrlPr>
                      <w:rPr>
                        <w:rFonts w:ascii="Cambria Math" w:hAnsi="Cambria Math"/>
                        <w:bCs/>
                        <w:iCs/>
                        <w:kern w:val="0"/>
                        <w:sz w:val="24"/>
                      </w:rPr>
                    </m:ctrlPr>
                  </m:sup>
                </m:sSup>
                <m:r>
                  <m:rPr>
                    <m:sty m:val="p"/>
                  </m:rPr>
                  <w:rPr>
                    <w:rFonts w:ascii="Cambria Math" w:hAnsi="Cambria Math"/>
                    <w:kern w:val="0"/>
                    <w:sz w:val="24"/>
                  </w:rPr>
                  <m:t>）</m:t>
                </m:r>
              </m:oMath>
            </m:oMathPara>
          </w:p>
          <w:p>
            <w:pPr>
              <w:adjustRightInd w:val="0"/>
              <w:snapToGrid w:val="0"/>
              <w:spacing w:line="480" w:lineRule="exact"/>
              <w:ind w:firstLine="480" w:firstLineChars="200"/>
              <w:rPr>
                <w:bCs/>
                <w:kern w:val="0"/>
                <w:sz w:val="24"/>
              </w:rPr>
            </w:pPr>
            <w:r>
              <w:rPr>
                <w:bCs/>
                <w:kern w:val="0"/>
                <w:sz w:val="24"/>
              </w:rPr>
              <w:t>式中：</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eq</w:t>
            </w:r>
            <w:r>
              <w:rPr>
                <w:bCs/>
                <w:kern w:val="0"/>
                <w:sz w:val="24"/>
              </w:rPr>
              <w:t>—预测点的噪声预测值，dB；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eqg</w:t>
            </w:r>
            <w:r>
              <w:rPr>
                <w:bCs/>
                <w:kern w:val="0"/>
                <w:sz w:val="24"/>
              </w:rPr>
              <w:t>—建设项目声源在预测点产生的噪声贡献值，dB；</w:t>
            </w:r>
          </w:p>
          <w:p>
            <w:pPr>
              <w:adjustRightInd w:val="0"/>
              <w:snapToGrid w:val="0"/>
              <w:spacing w:line="480" w:lineRule="exact"/>
              <w:ind w:firstLine="960" w:firstLineChars="400"/>
              <w:rPr>
                <w:bCs/>
                <w:kern w:val="0"/>
                <w:sz w:val="24"/>
              </w:rPr>
            </w:pPr>
            <w:r>
              <w:rPr>
                <w:bCs/>
                <w:kern w:val="0"/>
                <w:sz w:val="24"/>
              </w:rPr>
              <w:t>L</w:t>
            </w:r>
            <w:r>
              <w:rPr>
                <w:bCs/>
                <w:kern w:val="0"/>
                <w:sz w:val="24"/>
                <w:vertAlign w:val="subscript"/>
              </w:rPr>
              <w:t>eqb</w:t>
            </w:r>
            <w:r>
              <w:rPr>
                <w:bCs/>
                <w:kern w:val="0"/>
                <w:sz w:val="24"/>
              </w:rPr>
              <w:t>—预测点的背景噪声值，dB。</w:t>
            </w:r>
          </w:p>
          <w:p>
            <w:pPr>
              <w:adjustRightInd w:val="0"/>
              <w:snapToGrid w:val="0"/>
              <w:spacing w:line="480" w:lineRule="exact"/>
              <w:ind w:firstLine="480" w:firstLineChars="200"/>
              <w:rPr>
                <w:bCs/>
                <w:kern w:val="0"/>
                <w:sz w:val="24"/>
              </w:rPr>
            </w:pPr>
            <w:r>
              <w:rPr>
                <w:bCs/>
                <w:kern w:val="0"/>
                <w:sz w:val="24"/>
              </w:rPr>
              <w:t>由于本项目运营期仅在白天生产加工，夜间不生产，也不进行物料运输，因此本次预测仅预测昼间情况。</w:t>
            </w:r>
          </w:p>
          <w:p>
            <w:pPr>
              <w:adjustRightInd w:val="0"/>
              <w:snapToGrid w:val="0"/>
              <w:spacing w:line="480" w:lineRule="exact"/>
              <w:ind w:firstLine="480" w:firstLineChars="200"/>
              <w:rPr>
                <w:bCs/>
                <w:kern w:val="0"/>
                <w:sz w:val="24"/>
              </w:rPr>
            </w:pPr>
            <w:r>
              <w:rPr>
                <w:bCs/>
                <w:kern w:val="0"/>
                <w:sz w:val="24"/>
              </w:rPr>
              <w:t>根据上述预测模型，本项目厂界噪声达标性及环境保护目标噪声达标性分析如下：</w:t>
            </w:r>
          </w:p>
          <w:p>
            <w:pPr>
              <w:adjustRightInd w:val="0"/>
              <w:snapToGrid w:val="0"/>
              <w:spacing w:line="480" w:lineRule="exact"/>
              <w:jc w:val="center"/>
              <w:rPr>
                <w:b/>
                <w:kern w:val="0"/>
                <w:szCs w:val="21"/>
              </w:rPr>
            </w:pPr>
            <w:r>
              <w:rPr>
                <w:b/>
                <w:kern w:val="0"/>
                <w:szCs w:val="21"/>
              </w:rPr>
              <w:t>表4-13 厂界噪声达标分析表        单位：dB（A）</w:t>
            </w:r>
          </w:p>
          <w:tbl>
            <w:tblPr>
              <w:tblStyle w:val="26"/>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986"/>
              <w:gridCol w:w="2599"/>
              <w:gridCol w:w="1511"/>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序号</w:t>
                  </w:r>
                </w:p>
              </w:tc>
              <w:tc>
                <w:tcPr>
                  <w:tcW w:w="1166" w:type="pct"/>
                  <w:vAlign w:val="center"/>
                </w:tcPr>
                <w:p>
                  <w:pPr>
                    <w:adjustRightInd w:val="0"/>
                    <w:snapToGrid w:val="0"/>
                    <w:jc w:val="center"/>
                    <w:rPr>
                      <w:b/>
                      <w:kern w:val="0"/>
                      <w:szCs w:val="21"/>
                    </w:rPr>
                  </w:pPr>
                  <w:r>
                    <w:rPr>
                      <w:rFonts w:hint="eastAsia"/>
                      <w:b/>
                      <w:kern w:val="0"/>
                      <w:szCs w:val="21"/>
                    </w:rPr>
                    <w:t>项目厂界</w:t>
                  </w:r>
                </w:p>
              </w:tc>
              <w:tc>
                <w:tcPr>
                  <w:tcW w:w="1526" w:type="pct"/>
                  <w:vAlign w:val="center"/>
                </w:tcPr>
                <w:p>
                  <w:pPr>
                    <w:adjustRightInd w:val="0"/>
                    <w:snapToGrid w:val="0"/>
                    <w:jc w:val="center"/>
                    <w:rPr>
                      <w:b/>
                      <w:kern w:val="0"/>
                      <w:szCs w:val="21"/>
                    </w:rPr>
                  </w:pPr>
                  <w:r>
                    <w:rPr>
                      <w:rFonts w:hint="eastAsia"/>
                      <w:b/>
                      <w:kern w:val="0"/>
                      <w:szCs w:val="21"/>
                    </w:rPr>
                    <w:t>厂界噪声预测值</w:t>
                  </w:r>
                </w:p>
              </w:tc>
              <w:tc>
                <w:tcPr>
                  <w:tcW w:w="887" w:type="pct"/>
                  <w:vAlign w:val="center"/>
                </w:tcPr>
                <w:p>
                  <w:pPr>
                    <w:adjustRightInd w:val="0"/>
                    <w:snapToGrid w:val="0"/>
                    <w:jc w:val="center"/>
                    <w:rPr>
                      <w:b/>
                      <w:kern w:val="0"/>
                      <w:szCs w:val="21"/>
                    </w:rPr>
                  </w:pPr>
                  <w:r>
                    <w:rPr>
                      <w:rFonts w:hint="eastAsia"/>
                      <w:b/>
                      <w:kern w:val="0"/>
                      <w:szCs w:val="21"/>
                    </w:rPr>
                    <w:t>噪声标准值</w:t>
                  </w:r>
                </w:p>
              </w:tc>
              <w:tc>
                <w:tcPr>
                  <w:tcW w:w="1028" w:type="pct"/>
                  <w:vAlign w:val="center"/>
                </w:tcPr>
                <w:p>
                  <w:pPr>
                    <w:adjustRightInd w:val="0"/>
                    <w:snapToGrid w:val="0"/>
                    <w:jc w:val="center"/>
                    <w:rPr>
                      <w:b/>
                      <w:kern w:val="0"/>
                      <w:szCs w:val="21"/>
                    </w:rPr>
                  </w:pPr>
                  <w:r>
                    <w:rPr>
                      <w:rFonts w:hint="eastAsia"/>
                      <w:b/>
                      <w:kern w:val="0"/>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1</w:t>
                  </w:r>
                </w:p>
              </w:tc>
              <w:tc>
                <w:tcPr>
                  <w:tcW w:w="1166" w:type="pct"/>
                  <w:vAlign w:val="center"/>
                </w:tcPr>
                <w:p>
                  <w:pPr>
                    <w:adjustRightInd w:val="0"/>
                    <w:snapToGrid w:val="0"/>
                    <w:jc w:val="center"/>
                    <w:rPr>
                      <w:bCs/>
                      <w:kern w:val="0"/>
                      <w:szCs w:val="21"/>
                    </w:rPr>
                  </w:pPr>
                  <w:r>
                    <w:rPr>
                      <w:rFonts w:hint="eastAsia"/>
                      <w:bCs/>
                      <w:kern w:val="0"/>
                      <w:szCs w:val="21"/>
                    </w:rPr>
                    <w:t>东</w:t>
                  </w:r>
                </w:p>
              </w:tc>
              <w:tc>
                <w:tcPr>
                  <w:tcW w:w="1526" w:type="pct"/>
                  <w:vAlign w:val="center"/>
                </w:tcPr>
                <w:p>
                  <w:pPr>
                    <w:adjustRightInd w:val="0"/>
                    <w:snapToGrid w:val="0"/>
                    <w:jc w:val="center"/>
                    <w:rPr>
                      <w:bCs/>
                      <w:kern w:val="0"/>
                      <w:szCs w:val="21"/>
                    </w:rPr>
                  </w:pPr>
                  <w:r>
                    <w:rPr>
                      <w:bCs/>
                      <w:kern w:val="0"/>
                      <w:szCs w:val="21"/>
                    </w:rPr>
                    <w:t>43.8</w:t>
                  </w:r>
                </w:p>
              </w:tc>
              <w:tc>
                <w:tcPr>
                  <w:tcW w:w="887" w:type="pct"/>
                  <w:vMerge w:val="restar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1028"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2</w:t>
                  </w:r>
                </w:p>
              </w:tc>
              <w:tc>
                <w:tcPr>
                  <w:tcW w:w="1166" w:type="pct"/>
                  <w:vAlign w:val="center"/>
                </w:tcPr>
                <w:p>
                  <w:pPr>
                    <w:adjustRightInd w:val="0"/>
                    <w:snapToGrid w:val="0"/>
                    <w:jc w:val="center"/>
                    <w:rPr>
                      <w:bCs/>
                      <w:kern w:val="0"/>
                      <w:szCs w:val="21"/>
                    </w:rPr>
                  </w:pPr>
                  <w:r>
                    <w:rPr>
                      <w:rFonts w:hint="eastAsia"/>
                      <w:bCs/>
                      <w:kern w:val="0"/>
                      <w:szCs w:val="21"/>
                    </w:rPr>
                    <w:t>南</w:t>
                  </w:r>
                </w:p>
              </w:tc>
              <w:tc>
                <w:tcPr>
                  <w:tcW w:w="1526" w:type="pct"/>
                  <w:vAlign w:val="center"/>
                </w:tcPr>
                <w:p>
                  <w:pPr>
                    <w:adjustRightInd w:val="0"/>
                    <w:snapToGrid w:val="0"/>
                    <w:jc w:val="center"/>
                    <w:rPr>
                      <w:bCs/>
                      <w:kern w:val="0"/>
                      <w:szCs w:val="21"/>
                    </w:rPr>
                  </w:pPr>
                  <w:r>
                    <w:rPr>
                      <w:bCs/>
                      <w:kern w:val="0"/>
                      <w:szCs w:val="21"/>
                    </w:rPr>
                    <w:t>58</w:t>
                  </w:r>
                  <w:r>
                    <w:rPr>
                      <w:rFonts w:hint="eastAsia"/>
                      <w:bCs/>
                      <w:kern w:val="0"/>
                      <w:szCs w:val="21"/>
                    </w:rPr>
                    <w:t>.</w:t>
                  </w:r>
                  <w:r>
                    <w:rPr>
                      <w:bCs/>
                      <w:kern w:val="0"/>
                      <w:szCs w:val="21"/>
                    </w:rPr>
                    <w:t>0</w:t>
                  </w:r>
                </w:p>
              </w:tc>
              <w:tc>
                <w:tcPr>
                  <w:tcW w:w="887" w:type="pct"/>
                  <w:vMerge w:val="continue"/>
                  <w:vAlign w:val="center"/>
                </w:tcPr>
                <w:p>
                  <w:pPr>
                    <w:adjustRightInd w:val="0"/>
                    <w:snapToGrid w:val="0"/>
                    <w:jc w:val="center"/>
                    <w:rPr>
                      <w:bCs/>
                      <w:kern w:val="0"/>
                      <w:szCs w:val="21"/>
                    </w:rPr>
                  </w:pPr>
                </w:p>
              </w:tc>
              <w:tc>
                <w:tcPr>
                  <w:tcW w:w="1028"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3</w:t>
                  </w:r>
                </w:p>
              </w:tc>
              <w:tc>
                <w:tcPr>
                  <w:tcW w:w="1166" w:type="pct"/>
                  <w:vAlign w:val="center"/>
                </w:tcPr>
                <w:p>
                  <w:pPr>
                    <w:adjustRightInd w:val="0"/>
                    <w:snapToGrid w:val="0"/>
                    <w:jc w:val="center"/>
                    <w:rPr>
                      <w:bCs/>
                      <w:kern w:val="0"/>
                      <w:szCs w:val="21"/>
                    </w:rPr>
                  </w:pPr>
                  <w:r>
                    <w:rPr>
                      <w:rFonts w:hint="eastAsia"/>
                      <w:bCs/>
                      <w:kern w:val="0"/>
                      <w:szCs w:val="21"/>
                    </w:rPr>
                    <w:t>西</w:t>
                  </w:r>
                </w:p>
              </w:tc>
              <w:tc>
                <w:tcPr>
                  <w:tcW w:w="1526" w:type="pct"/>
                  <w:vAlign w:val="center"/>
                </w:tcPr>
                <w:p>
                  <w:pPr>
                    <w:adjustRightInd w:val="0"/>
                    <w:snapToGrid w:val="0"/>
                    <w:jc w:val="center"/>
                    <w:rPr>
                      <w:bCs/>
                      <w:kern w:val="0"/>
                      <w:szCs w:val="21"/>
                    </w:rPr>
                  </w:pPr>
                  <w:r>
                    <w:rPr>
                      <w:rFonts w:hint="eastAsia"/>
                      <w:bCs/>
                      <w:kern w:val="0"/>
                      <w:szCs w:val="21"/>
                    </w:rPr>
                    <w:t>5</w:t>
                  </w:r>
                  <w:r>
                    <w:rPr>
                      <w:bCs/>
                      <w:kern w:val="0"/>
                      <w:szCs w:val="21"/>
                    </w:rPr>
                    <w:t>7.3</w:t>
                  </w:r>
                </w:p>
              </w:tc>
              <w:tc>
                <w:tcPr>
                  <w:tcW w:w="887" w:type="pct"/>
                  <w:vMerge w:val="continue"/>
                  <w:vAlign w:val="center"/>
                </w:tcPr>
                <w:p>
                  <w:pPr>
                    <w:adjustRightInd w:val="0"/>
                    <w:snapToGrid w:val="0"/>
                    <w:jc w:val="center"/>
                    <w:rPr>
                      <w:bCs/>
                      <w:kern w:val="0"/>
                      <w:szCs w:val="21"/>
                    </w:rPr>
                  </w:pPr>
                </w:p>
              </w:tc>
              <w:tc>
                <w:tcPr>
                  <w:tcW w:w="1028"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4</w:t>
                  </w:r>
                </w:p>
              </w:tc>
              <w:tc>
                <w:tcPr>
                  <w:tcW w:w="1166" w:type="pct"/>
                  <w:vAlign w:val="center"/>
                </w:tcPr>
                <w:p>
                  <w:pPr>
                    <w:adjustRightInd w:val="0"/>
                    <w:snapToGrid w:val="0"/>
                    <w:jc w:val="center"/>
                    <w:rPr>
                      <w:bCs/>
                      <w:kern w:val="0"/>
                      <w:szCs w:val="21"/>
                    </w:rPr>
                  </w:pPr>
                  <w:r>
                    <w:rPr>
                      <w:rFonts w:hint="eastAsia"/>
                      <w:bCs/>
                      <w:kern w:val="0"/>
                      <w:szCs w:val="21"/>
                    </w:rPr>
                    <w:t>北</w:t>
                  </w:r>
                </w:p>
              </w:tc>
              <w:tc>
                <w:tcPr>
                  <w:tcW w:w="1526" w:type="pct"/>
                  <w:vAlign w:val="center"/>
                </w:tcPr>
                <w:p>
                  <w:pPr>
                    <w:adjustRightInd w:val="0"/>
                    <w:snapToGrid w:val="0"/>
                    <w:jc w:val="center"/>
                    <w:rPr>
                      <w:bCs/>
                      <w:kern w:val="0"/>
                      <w:szCs w:val="21"/>
                    </w:rPr>
                  </w:pPr>
                  <w:r>
                    <w:rPr>
                      <w:rFonts w:hint="eastAsia"/>
                      <w:bCs/>
                      <w:kern w:val="0"/>
                      <w:szCs w:val="21"/>
                    </w:rPr>
                    <w:t>5</w:t>
                  </w:r>
                  <w:r>
                    <w:rPr>
                      <w:bCs/>
                      <w:kern w:val="0"/>
                      <w:szCs w:val="21"/>
                    </w:rPr>
                    <w:t>9.1</w:t>
                  </w:r>
                </w:p>
              </w:tc>
              <w:tc>
                <w:tcPr>
                  <w:tcW w:w="887" w:type="pct"/>
                  <w:vMerge w:val="continue"/>
                  <w:vAlign w:val="center"/>
                </w:tcPr>
                <w:p>
                  <w:pPr>
                    <w:adjustRightInd w:val="0"/>
                    <w:snapToGrid w:val="0"/>
                    <w:jc w:val="center"/>
                    <w:rPr>
                      <w:bCs/>
                      <w:kern w:val="0"/>
                      <w:szCs w:val="21"/>
                    </w:rPr>
                  </w:pPr>
                </w:p>
              </w:tc>
              <w:tc>
                <w:tcPr>
                  <w:tcW w:w="1028"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b/>
                      <w:kern w:val="0"/>
                      <w:szCs w:val="21"/>
                    </w:rPr>
                    <w:t>5</w:t>
                  </w:r>
                </w:p>
              </w:tc>
              <w:tc>
                <w:tcPr>
                  <w:tcW w:w="1166" w:type="pct"/>
                  <w:vAlign w:val="center"/>
                </w:tcPr>
                <w:p>
                  <w:pPr>
                    <w:adjustRightInd w:val="0"/>
                    <w:snapToGrid w:val="0"/>
                    <w:jc w:val="center"/>
                    <w:rPr>
                      <w:bCs/>
                      <w:kern w:val="0"/>
                      <w:szCs w:val="21"/>
                    </w:rPr>
                  </w:pPr>
                  <w:r>
                    <w:rPr>
                      <w:rFonts w:hint="eastAsia"/>
                      <w:bCs/>
                      <w:kern w:val="0"/>
                      <w:szCs w:val="21"/>
                    </w:rPr>
                    <w:t>东南</w:t>
                  </w:r>
                </w:p>
              </w:tc>
              <w:tc>
                <w:tcPr>
                  <w:tcW w:w="1526" w:type="pct"/>
                  <w:vAlign w:val="center"/>
                </w:tcPr>
                <w:p>
                  <w:pPr>
                    <w:adjustRightInd w:val="0"/>
                    <w:snapToGrid w:val="0"/>
                    <w:jc w:val="center"/>
                    <w:rPr>
                      <w:bCs/>
                      <w:kern w:val="0"/>
                      <w:szCs w:val="21"/>
                    </w:rPr>
                  </w:pPr>
                  <w:r>
                    <w:rPr>
                      <w:bCs/>
                      <w:kern w:val="0"/>
                      <w:szCs w:val="21"/>
                    </w:rPr>
                    <w:t>49.1</w:t>
                  </w:r>
                </w:p>
              </w:tc>
              <w:tc>
                <w:tcPr>
                  <w:tcW w:w="887" w:type="pct"/>
                  <w:vMerge w:val="continue"/>
                  <w:vAlign w:val="center"/>
                </w:tcPr>
                <w:p>
                  <w:pPr>
                    <w:adjustRightInd w:val="0"/>
                    <w:snapToGrid w:val="0"/>
                    <w:jc w:val="center"/>
                    <w:rPr>
                      <w:bCs/>
                      <w:kern w:val="0"/>
                      <w:szCs w:val="21"/>
                    </w:rPr>
                  </w:pPr>
                </w:p>
              </w:tc>
              <w:tc>
                <w:tcPr>
                  <w:tcW w:w="1028"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b/>
                      <w:kern w:val="0"/>
                      <w:szCs w:val="21"/>
                    </w:rPr>
                  </w:pPr>
                  <w:r>
                    <w:rPr>
                      <w:rFonts w:hint="eastAsia"/>
                      <w:b/>
                      <w:kern w:val="0"/>
                      <w:szCs w:val="21"/>
                    </w:rPr>
                    <w:t>6</w:t>
                  </w:r>
                </w:p>
              </w:tc>
              <w:tc>
                <w:tcPr>
                  <w:tcW w:w="1166" w:type="pct"/>
                  <w:vAlign w:val="center"/>
                </w:tcPr>
                <w:p>
                  <w:pPr>
                    <w:adjustRightInd w:val="0"/>
                    <w:snapToGrid w:val="0"/>
                    <w:jc w:val="center"/>
                    <w:rPr>
                      <w:bCs/>
                      <w:kern w:val="0"/>
                      <w:szCs w:val="21"/>
                    </w:rPr>
                  </w:pPr>
                  <w:r>
                    <w:rPr>
                      <w:rFonts w:hint="eastAsia"/>
                      <w:bCs/>
                      <w:kern w:val="0"/>
                      <w:szCs w:val="21"/>
                    </w:rPr>
                    <w:t>西南</w:t>
                  </w:r>
                </w:p>
              </w:tc>
              <w:tc>
                <w:tcPr>
                  <w:tcW w:w="1526" w:type="pct"/>
                  <w:vAlign w:val="center"/>
                </w:tcPr>
                <w:p>
                  <w:pPr>
                    <w:adjustRightInd w:val="0"/>
                    <w:snapToGrid w:val="0"/>
                    <w:jc w:val="center"/>
                    <w:rPr>
                      <w:bCs/>
                      <w:kern w:val="0"/>
                      <w:szCs w:val="21"/>
                    </w:rPr>
                  </w:pPr>
                  <w:r>
                    <w:rPr>
                      <w:bCs/>
                      <w:kern w:val="0"/>
                      <w:szCs w:val="21"/>
                    </w:rPr>
                    <w:t>49.5</w:t>
                  </w:r>
                </w:p>
              </w:tc>
              <w:tc>
                <w:tcPr>
                  <w:tcW w:w="887" w:type="pct"/>
                  <w:vMerge w:val="continue"/>
                  <w:vAlign w:val="center"/>
                </w:tcPr>
                <w:p>
                  <w:pPr>
                    <w:adjustRightInd w:val="0"/>
                    <w:snapToGrid w:val="0"/>
                    <w:jc w:val="center"/>
                    <w:rPr>
                      <w:bCs/>
                      <w:kern w:val="0"/>
                      <w:szCs w:val="21"/>
                    </w:rPr>
                  </w:pPr>
                </w:p>
              </w:tc>
              <w:tc>
                <w:tcPr>
                  <w:tcW w:w="1028" w:type="pct"/>
                  <w:vAlign w:val="center"/>
                </w:tcPr>
                <w:p>
                  <w:pPr>
                    <w:adjustRightInd w:val="0"/>
                    <w:snapToGrid w:val="0"/>
                    <w:jc w:val="center"/>
                    <w:rPr>
                      <w:b/>
                      <w:kern w:val="0"/>
                      <w:szCs w:val="21"/>
                    </w:rPr>
                  </w:pPr>
                  <w:r>
                    <w:rPr>
                      <w:rFonts w:hint="eastAsia"/>
                      <w:b/>
                      <w:kern w:val="0"/>
                      <w:szCs w:val="21"/>
                    </w:rPr>
                    <w:t>达标</w:t>
                  </w:r>
                </w:p>
              </w:tc>
            </w:tr>
          </w:tbl>
          <w:p>
            <w:pPr>
              <w:widowControl/>
              <w:spacing w:before="120" w:beforeLines="50"/>
              <w:jc w:val="center"/>
              <w:rPr>
                <w:rFonts w:ascii="宋体" w:hAnsi="宋体" w:cs="宋体"/>
                <w:kern w:val="0"/>
                <w:sz w:val="24"/>
              </w:rPr>
            </w:pPr>
            <w:r>
              <w:rPr>
                <w:rFonts w:ascii="宋体" w:hAnsi="宋体" w:cs="宋体"/>
                <w:kern w:val="0"/>
                <w:sz w:val="24"/>
              </w:rPr>
              <w:drawing>
                <wp:inline distT="0" distB="0" distL="0" distR="0">
                  <wp:extent cx="4046220" cy="3683000"/>
                  <wp:effectExtent l="0" t="0" r="0" b="0"/>
                  <wp:docPr id="2038036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36206"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31840" cy="3761404"/>
                          </a:xfrm>
                          <a:prstGeom prst="rect">
                            <a:avLst/>
                          </a:prstGeom>
                          <a:noFill/>
                          <a:ln>
                            <a:noFill/>
                          </a:ln>
                        </pic:spPr>
                      </pic:pic>
                    </a:graphicData>
                  </a:graphic>
                </wp:inline>
              </w:drawing>
            </w:r>
          </w:p>
          <w:p>
            <w:pPr>
              <w:adjustRightInd w:val="0"/>
              <w:snapToGrid w:val="0"/>
              <w:spacing w:line="480" w:lineRule="exact"/>
              <w:jc w:val="center"/>
              <w:rPr>
                <w:b/>
                <w:kern w:val="0"/>
                <w:szCs w:val="21"/>
              </w:rPr>
            </w:pPr>
            <w:r>
              <w:rPr>
                <w:rFonts w:hint="eastAsia" w:ascii="宋体" w:hAnsi="宋体"/>
                <w:b/>
                <w:szCs w:val="21"/>
              </w:rPr>
              <w:t>项目</w:t>
            </w:r>
            <w:r>
              <w:rPr>
                <w:rFonts w:ascii="宋体" w:hAnsi="宋体"/>
                <w:b/>
                <w:szCs w:val="21"/>
              </w:rPr>
              <w:t>昼间噪声</w:t>
            </w:r>
            <w:r>
              <w:rPr>
                <w:rFonts w:hint="eastAsia" w:ascii="宋体" w:hAnsi="宋体"/>
                <w:b/>
                <w:szCs w:val="21"/>
              </w:rPr>
              <w:t>贡献值</w:t>
            </w:r>
            <w:r>
              <w:rPr>
                <w:rFonts w:hint="eastAsia" w:ascii="宋体" w:hAnsi="宋体" w:cs="宋体"/>
                <w:b/>
                <w:kern w:val="0"/>
                <w:szCs w:val="21"/>
              </w:rPr>
              <w:t>等声级线图</w:t>
            </w:r>
          </w:p>
          <w:p>
            <w:pPr>
              <w:adjustRightInd w:val="0"/>
              <w:snapToGrid w:val="0"/>
              <w:spacing w:line="480" w:lineRule="exact"/>
              <w:jc w:val="center"/>
              <w:rPr>
                <w:b/>
                <w:kern w:val="0"/>
                <w:szCs w:val="21"/>
              </w:rPr>
            </w:pPr>
            <w:r>
              <w:rPr>
                <w:rFonts w:hint="eastAsia"/>
                <w:b/>
                <w:kern w:val="0"/>
                <w:szCs w:val="21"/>
              </w:rPr>
              <w:t>表4</w:t>
            </w:r>
            <w:r>
              <w:rPr>
                <w:b/>
                <w:kern w:val="0"/>
                <w:szCs w:val="21"/>
              </w:rPr>
              <w:t>-</w:t>
            </w:r>
            <w:r>
              <w:rPr>
                <w:rFonts w:hint="eastAsia"/>
                <w:b/>
                <w:kern w:val="0"/>
                <w:szCs w:val="21"/>
              </w:rPr>
              <w:t>14 工业企业声环境保护目标噪声预测结果</w:t>
            </w:r>
            <w:r>
              <w:rPr>
                <w:rFonts w:hint="eastAsia"/>
                <w:b/>
                <w:kern w:val="0"/>
                <w:szCs w:val="21"/>
                <w:lang w:eastAsia="zh-CN"/>
              </w:rPr>
              <w:t>与</w:t>
            </w:r>
            <w:r>
              <w:rPr>
                <w:rFonts w:hint="eastAsia"/>
                <w:b/>
                <w:kern w:val="0"/>
                <w:szCs w:val="21"/>
              </w:rPr>
              <w:t xml:space="preserve">达标分析表（昼间） </w:t>
            </w:r>
            <w:r>
              <w:rPr>
                <w:b/>
                <w:kern w:val="0"/>
                <w:szCs w:val="21"/>
              </w:rPr>
              <w:t xml:space="preserve">  </w:t>
            </w:r>
            <w:r>
              <w:rPr>
                <w:rFonts w:hint="eastAsia"/>
                <w:b/>
                <w:kern w:val="0"/>
                <w:szCs w:val="21"/>
              </w:rPr>
              <w:t>单位：d</w:t>
            </w:r>
            <w:r>
              <w:rPr>
                <w:b/>
                <w:kern w:val="0"/>
                <w:szCs w:val="21"/>
              </w:rPr>
              <w:t>B</w:t>
            </w:r>
            <w:r>
              <w:rPr>
                <w:rFonts w:hint="eastAsia"/>
                <w:b/>
                <w:kern w:val="0"/>
                <w:szCs w:val="21"/>
              </w:rPr>
              <w: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454"/>
              <w:gridCol w:w="972"/>
              <w:gridCol w:w="972"/>
              <w:gridCol w:w="972"/>
              <w:gridCol w:w="972"/>
              <w:gridCol w:w="972"/>
              <w:gridCol w:w="81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rFonts w:hint="eastAsia"/>
                      <w:b/>
                      <w:kern w:val="0"/>
                      <w:szCs w:val="21"/>
                    </w:rPr>
                    <w:t>序号</w:t>
                  </w:r>
                </w:p>
              </w:tc>
              <w:tc>
                <w:tcPr>
                  <w:tcW w:w="830" w:type="pct"/>
                  <w:vAlign w:val="center"/>
                </w:tcPr>
                <w:p>
                  <w:pPr>
                    <w:adjustRightInd w:val="0"/>
                    <w:snapToGrid w:val="0"/>
                    <w:jc w:val="center"/>
                    <w:rPr>
                      <w:b/>
                      <w:kern w:val="0"/>
                      <w:szCs w:val="21"/>
                    </w:rPr>
                  </w:pPr>
                  <w:r>
                    <w:rPr>
                      <w:rFonts w:hint="eastAsia"/>
                      <w:b/>
                      <w:kern w:val="0"/>
                      <w:szCs w:val="21"/>
                    </w:rPr>
                    <w:t>声环境保护目标名称</w:t>
                  </w:r>
                </w:p>
              </w:tc>
              <w:tc>
                <w:tcPr>
                  <w:tcW w:w="555" w:type="pct"/>
                  <w:vAlign w:val="center"/>
                </w:tcPr>
                <w:p>
                  <w:pPr>
                    <w:adjustRightInd w:val="0"/>
                    <w:snapToGrid w:val="0"/>
                    <w:jc w:val="center"/>
                    <w:rPr>
                      <w:b/>
                      <w:kern w:val="0"/>
                      <w:szCs w:val="21"/>
                    </w:rPr>
                  </w:pPr>
                  <w:r>
                    <w:rPr>
                      <w:rFonts w:hint="eastAsia"/>
                      <w:b/>
                      <w:kern w:val="0"/>
                      <w:szCs w:val="21"/>
                    </w:rPr>
                    <w:t>噪声背景值</w:t>
                  </w:r>
                </w:p>
              </w:tc>
              <w:tc>
                <w:tcPr>
                  <w:tcW w:w="555" w:type="pct"/>
                  <w:vAlign w:val="center"/>
                </w:tcPr>
                <w:p>
                  <w:pPr>
                    <w:adjustRightInd w:val="0"/>
                    <w:snapToGrid w:val="0"/>
                    <w:jc w:val="center"/>
                    <w:rPr>
                      <w:b/>
                      <w:kern w:val="0"/>
                      <w:szCs w:val="21"/>
                    </w:rPr>
                  </w:pPr>
                  <w:r>
                    <w:rPr>
                      <w:rFonts w:hint="eastAsia"/>
                      <w:b/>
                      <w:kern w:val="0"/>
                      <w:szCs w:val="21"/>
                    </w:rPr>
                    <w:t>噪声现状值</w:t>
                  </w:r>
                </w:p>
              </w:tc>
              <w:tc>
                <w:tcPr>
                  <w:tcW w:w="555" w:type="pct"/>
                  <w:vAlign w:val="center"/>
                </w:tcPr>
                <w:p>
                  <w:pPr>
                    <w:adjustRightInd w:val="0"/>
                    <w:snapToGrid w:val="0"/>
                    <w:jc w:val="center"/>
                    <w:rPr>
                      <w:b/>
                      <w:kern w:val="0"/>
                      <w:szCs w:val="21"/>
                    </w:rPr>
                  </w:pPr>
                  <w:r>
                    <w:rPr>
                      <w:rFonts w:hint="eastAsia"/>
                      <w:b/>
                      <w:kern w:val="0"/>
                      <w:szCs w:val="21"/>
                    </w:rPr>
                    <w:t>噪声标准</w:t>
                  </w:r>
                </w:p>
              </w:tc>
              <w:tc>
                <w:tcPr>
                  <w:tcW w:w="555" w:type="pct"/>
                  <w:vAlign w:val="center"/>
                </w:tcPr>
                <w:p>
                  <w:pPr>
                    <w:adjustRightInd w:val="0"/>
                    <w:snapToGrid w:val="0"/>
                    <w:jc w:val="center"/>
                    <w:rPr>
                      <w:b/>
                      <w:kern w:val="0"/>
                      <w:szCs w:val="21"/>
                    </w:rPr>
                  </w:pPr>
                  <w:r>
                    <w:rPr>
                      <w:rFonts w:hint="eastAsia"/>
                      <w:b/>
                      <w:kern w:val="0"/>
                      <w:szCs w:val="21"/>
                    </w:rPr>
                    <w:t>噪声贡献值</w:t>
                  </w:r>
                </w:p>
              </w:tc>
              <w:tc>
                <w:tcPr>
                  <w:tcW w:w="555" w:type="pct"/>
                  <w:vAlign w:val="center"/>
                </w:tcPr>
                <w:p>
                  <w:pPr>
                    <w:adjustRightInd w:val="0"/>
                    <w:snapToGrid w:val="0"/>
                    <w:jc w:val="center"/>
                    <w:rPr>
                      <w:b/>
                      <w:kern w:val="0"/>
                      <w:szCs w:val="21"/>
                    </w:rPr>
                  </w:pPr>
                  <w:r>
                    <w:rPr>
                      <w:rFonts w:hint="eastAsia"/>
                      <w:b/>
                      <w:kern w:val="0"/>
                      <w:szCs w:val="21"/>
                    </w:rPr>
                    <w:t>噪声预测值</w:t>
                  </w:r>
                </w:p>
              </w:tc>
              <w:tc>
                <w:tcPr>
                  <w:tcW w:w="464" w:type="pct"/>
                  <w:vAlign w:val="center"/>
                </w:tcPr>
                <w:p>
                  <w:pPr>
                    <w:adjustRightInd w:val="0"/>
                    <w:snapToGrid w:val="0"/>
                    <w:jc w:val="center"/>
                    <w:rPr>
                      <w:b/>
                      <w:kern w:val="0"/>
                      <w:szCs w:val="21"/>
                    </w:rPr>
                  </w:pPr>
                  <w:r>
                    <w:rPr>
                      <w:rFonts w:hint="eastAsia"/>
                      <w:b/>
                      <w:kern w:val="0"/>
                      <w:szCs w:val="21"/>
                    </w:rPr>
                    <w:t>较现状增量</w:t>
                  </w:r>
                </w:p>
              </w:tc>
              <w:tc>
                <w:tcPr>
                  <w:tcW w:w="650" w:type="pct"/>
                  <w:vAlign w:val="center"/>
                </w:tcPr>
                <w:p>
                  <w:pPr>
                    <w:adjustRightInd w:val="0"/>
                    <w:snapToGrid w:val="0"/>
                    <w:jc w:val="center"/>
                    <w:rPr>
                      <w:b/>
                      <w:kern w:val="0"/>
                      <w:szCs w:val="21"/>
                    </w:rPr>
                  </w:pPr>
                  <w:r>
                    <w:rPr>
                      <w:rFonts w:hint="eastAsia"/>
                      <w:b/>
                      <w:kern w:val="0"/>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rFonts w:hint="eastAsia"/>
                      <w:b/>
                      <w:kern w:val="0"/>
                      <w:szCs w:val="21"/>
                    </w:rPr>
                    <w:t>1</w:t>
                  </w:r>
                </w:p>
              </w:tc>
              <w:tc>
                <w:tcPr>
                  <w:tcW w:w="830" w:type="pct"/>
                  <w:vAlign w:val="center"/>
                </w:tcPr>
                <w:p>
                  <w:pPr>
                    <w:adjustRightInd w:val="0"/>
                    <w:snapToGrid w:val="0"/>
                    <w:jc w:val="center"/>
                    <w:rPr>
                      <w:bCs/>
                      <w:kern w:val="0"/>
                      <w:szCs w:val="21"/>
                    </w:rPr>
                  </w:pPr>
                  <w:r>
                    <w:rPr>
                      <w:rFonts w:hint="eastAsia"/>
                      <w:bCs/>
                      <w:kern w:val="0"/>
                      <w:szCs w:val="21"/>
                    </w:rPr>
                    <w:t>北4</w:t>
                  </w:r>
                  <w:r>
                    <w:rPr>
                      <w:bCs/>
                      <w:kern w:val="0"/>
                      <w:szCs w:val="21"/>
                    </w:rPr>
                    <w:t>8</w:t>
                  </w:r>
                  <w:r>
                    <w:rPr>
                      <w:rFonts w:hint="eastAsia"/>
                      <w:bCs/>
                      <w:kern w:val="0"/>
                      <w:szCs w:val="21"/>
                    </w:rPr>
                    <w:t>m散居住户</w:t>
                  </w:r>
                </w:p>
              </w:tc>
              <w:tc>
                <w:tcPr>
                  <w:tcW w:w="555" w:type="pct"/>
                  <w:vAlign w:val="center"/>
                </w:tcPr>
                <w:p>
                  <w:pPr>
                    <w:adjustRightInd w:val="0"/>
                    <w:snapToGrid w:val="0"/>
                    <w:jc w:val="center"/>
                    <w:rPr>
                      <w:bCs/>
                      <w:kern w:val="0"/>
                      <w:szCs w:val="21"/>
                    </w:rPr>
                  </w:pPr>
                  <w:r>
                    <w:rPr>
                      <w:bCs/>
                      <w:kern w:val="0"/>
                      <w:szCs w:val="21"/>
                    </w:rPr>
                    <w:t>55</w:t>
                  </w:r>
                </w:p>
              </w:tc>
              <w:tc>
                <w:tcPr>
                  <w:tcW w:w="555" w:type="pct"/>
                  <w:vAlign w:val="center"/>
                </w:tcPr>
                <w:p>
                  <w:pPr>
                    <w:adjustRightInd w:val="0"/>
                    <w:snapToGrid w:val="0"/>
                    <w:jc w:val="center"/>
                    <w:rPr>
                      <w:bCs/>
                      <w:kern w:val="0"/>
                      <w:szCs w:val="21"/>
                    </w:rPr>
                  </w:pPr>
                  <w:r>
                    <w:rPr>
                      <w:bCs/>
                      <w:kern w:val="0"/>
                      <w:szCs w:val="21"/>
                    </w:rPr>
                    <w:t>55</w:t>
                  </w:r>
                </w:p>
              </w:tc>
              <w:tc>
                <w:tcPr>
                  <w:tcW w:w="555" w:type="pc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555" w:type="pct"/>
                  <w:vAlign w:val="center"/>
                </w:tcPr>
                <w:p>
                  <w:pPr>
                    <w:adjustRightInd w:val="0"/>
                    <w:snapToGrid w:val="0"/>
                    <w:jc w:val="center"/>
                    <w:rPr>
                      <w:bCs/>
                      <w:kern w:val="0"/>
                      <w:szCs w:val="21"/>
                    </w:rPr>
                  </w:pPr>
                  <w:r>
                    <w:rPr>
                      <w:szCs w:val="21"/>
                    </w:rPr>
                    <w:t>40.8</w:t>
                  </w:r>
                </w:p>
              </w:tc>
              <w:tc>
                <w:tcPr>
                  <w:tcW w:w="555" w:type="pct"/>
                  <w:vAlign w:val="center"/>
                </w:tcPr>
                <w:p>
                  <w:pPr>
                    <w:adjustRightInd w:val="0"/>
                    <w:snapToGrid w:val="0"/>
                    <w:jc w:val="center"/>
                    <w:rPr>
                      <w:bCs/>
                      <w:kern w:val="0"/>
                      <w:szCs w:val="21"/>
                    </w:rPr>
                  </w:pPr>
                  <w:r>
                    <w:rPr>
                      <w:szCs w:val="21"/>
                    </w:rPr>
                    <w:t>53.3</w:t>
                  </w:r>
                </w:p>
              </w:tc>
              <w:tc>
                <w:tcPr>
                  <w:tcW w:w="464" w:type="pct"/>
                  <w:vAlign w:val="center"/>
                </w:tcPr>
                <w:p>
                  <w:pPr>
                    <w:adjustRightInd w:val="0"/>
                    <w:snapToGrid w:val="0"/>
                    <w:jc w:val="center"/>
                    <w:rPr>
                      <w:bCs/>
                      <w:kern w:val="0"/>
                      <w:szCs w:val="21"/>
                    </w:rPr>
                  </w:pPr>
                  <w:r>
                    <w:rPr>
                      <w:bCs/>
                      <w:kern w:val="0"/>
                      <w:szCs w:val="21"/>
                    </w:rPr>
                    <w:t>0</w:t>
                  </w:r>
                </w:p>
              </w:tc>
              <w:tc>
                <w:tcPr>
                  <w:tcW w:w="650"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rFonts w:hint="eastAsia"/>
                      <w:b/>
                      <w:kern w:val="0"/>
                      <w:szCs w:val="21"/>
                    </w:rPr>
                    <w:t>2</w:t>
                  </w:r>
                </w:p>
              </w:tc>
              <w:tc>
                <w:tcPr>
                  <w:tcW w:w="830" w:type="pct"/>
                  <w:vAlign w:val="center"/>
                </w:tcPr>
                <w:p>
                  <w:pPr>
                    <w:adjustRightInd w:val="0"/>
                    <w:snapToGrid w:val="0"/>
                    <w:jc w:val="center"/>
                    <w:rPr>
                      <w:bCs/>
                      <w:kern w:val="0"/>
                      <w:szCs w:val="21"/>
                    </w:rPr>
                  </w:pPr>
                  <w:r>
                    <w:rPr>
                      <w:rFonts w:hint="eastAsia"/>
                      <w:bCs/>
                      <w:kern w:val="0"/>
                      <w:szCs w:val="21"/>
                    </w:rPr>
                    <w:t>北1</w:t>
                  </w:r>
                  <w:r>
                    <w:rPr>
                      <w:bCs/>
                      <w:kern w:val="0"/>
                      <w:szCs w:val="21"/>
                    </w:rPr>
                    <w:t>2</w:t>
                  </w:r>
                  <w:r>
                    <w:rPr>
                      <w:rFonts w:hint="eastAsia"/>
                      <w:bCs/>
                      <w:kern w:val="0"/>
                      <w:szCs w:val="21"/>
                    </w:rPr>
                    <w:t>m散居住户</w:t>
                  </w:r>
                </w:p>
              </w:tc>
              <w:tc>
                <w:tcPr>
                  <w:tcW w:w="555" w:type="pct"/>
                  <w:vAlign w:val="center"/>
                </w:tcPr>
                <w:p>
                  <w:pPr>
                    <w:adjustRightInd w:val="0"/>
                    <w:snapToGrid w:val="0"/>
                    <w:jc w:val="center"/>
                    <w:rPr>
                      <w:bCs/>
                      <w:kern w:val="0"/>
                      <w:szCs w:val="21"/>
                    </w:rPr>
                  </w:pPr>
                  <w:r>
                    <w:rPr>
                      <w:bCs/>
                      <w:kern w:val="0"/>
                      <w:szCs w:val="21"/>
                    </w:rPr>
                    <w:t>55</w:t>
                  </w:r>
                </w:p>
              </w:tc>
              <w:tc>
                <w:tcPr>
                  <w:tcW w:w="555" w:type="pct"/>
                  <w:vAlign w:val="center"/>
                </w:tcPr>
                <w:p>
                  <w:pPr>
                    <w:adjustRightInd w:val="0"/>
                    <w:snapToGrid w:val="0"/>
                    <w:jc w:val="center"/>
                    <w:rPr>
                      <w:bCs/>
                      <w:kern w:val="0"/>
                      <w:szCs w:val="21"/>
                    </w:rPr>
                  </w:pPr>
                  <w:r>
                    <w:rPr>
                      <w:bCs/>
                      <w:kern w:val="0"/>
                      <w:szCs w:val="21"/>
                    </w:rPr>
                    <w:t>55</w:t>
                  </w:r>
                </w:p>
              </w:tc>
              <w:tc>
                <w:tcPr>
                  <w:tcW w:w="555" w:type="pc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555" w:type="pct"/>
                  <w:vAlign w:val="center"/>
                </w:tcPr>
                <w:p>
                  <w:pPr>
                    <w:adjustRightInd w:val="0"/>
                    <w:snapToGrid w:val="0"/>
                    <w:jc w:val="center"/>
                    <w:rPr>
                      <w:bCs/>
                      <w:kern w:val="0"/>
                      <w:szCs w:val="21"/>
                    </w:rPr>
                  </w:pPr>
                  <w:r>
                    <w:rPr>
                      <w:szCs w:val="21"/>
                    </w:rPr>
                    <w:t>38</w:t>
                  </w:r>
                </w:p>
              </w:tc>
              <w:tc>
                <w:tcPr>
                  <w:tcW w:w="555" w:type="pct"/>
                  <w:vAlign w:val="center"/>
                </w:tcPr>
                <w:p>
                  <w:pPr>
                    <w:adjustRightInd w:val="0"/>
                    <w:snapToGrid w:val="0"/>
                    <w:jc w:val="center"/>
                    <w:rPr>
                      <w:bCs/>
                      <w:kern w:val="0"/>
                      <w:szCs w:val="21"/>
                    </w:rPr>
                  </w:pPr>
                  <w:r>
                    <w:rPr>
                      <w:szCs w:val="21"/>
                    </w:rPr>
                    <w:t>52.2</w:t>
                  </w:r>
                </w:p>
              </w:tc>
              <w:tc>
                <w:tcPr>
                  <w:tcW w:w="464" w:type="pct"/>
                  <w:vAlign w:val="center"/>
                </w:tcPr>
                <w:p>
                  <w:pPr>
                    <w:adjustRightInd w:val="0"/>
                    <w:snapToGrid w:val="0"/>
                    <w:jc w:val="center"/>
                    <w:rPr>
                      <w:bCs/>
                      <w:kern w:val="0"/>
                      <w:szCs w:val="21"/>
                    </w:rPr>
                  </w:pPr>
                  <w:r>
                    <w:rPr>
                      <w:bCs/>
                      <w:kern w:val="0"/>
                      <w:szCs w:val="21"/>
                    </w:rPr>
                    <w:t>0</w:t>
                  </w:r>
                </w:p>
              </w:tc>
              <w:tc>
                <w:tcPr>
                  <w:tcW w:w="650"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rFonts w:hint="eastAsia"/>
                      <w:b/>
                      <w:kern w:val="0"/>
                      <w:szCs w:val="21"/>
                    </w:rPr>
                    <w:t>3</w:t>
                  </w:r>
                </w:p>
              </w:tc>
              <w:tc>
                <w:tcPr>
                  <w:tcW w:w="830" w:type="pct"/>
                  <w:vAlign w:val="center"/>
                </w:tcPr>
                <w:p>
                  <w:pPr>
                    <w:adjustRightInd w:val="0"/>
                    <w:snapToGrid w:val="0"/>
                    <w:jc w:val="center"/>
                    <w:rPr>
                      <w:bCs/>
                      <w:kern w:val="0"/>
                      <w:szCs w:val="21"/>
                    </w:rPr>
                  </w:pPr>
                  <w:r>
                    <w:rPr>
                      <w:rFonts w:hint="eastAsia"/>
                      <w:bCs/>
                      <w:kern w:val="0"/>
                      <w:szCs w:val="21"/>
                    </w:rPr>
                    <w:t>东7散居住户</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3</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3</w:t>
                  </w:r>
                </w:p>
              </w:tc>
              <w:tc>
                <w:tcPr>
                  <w:tcW w:w="555" w:type="pc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555" w:type="pct"/>
                  <w:vAlign w:val="center"/>
                </w:tcPr>
                <w:p>
                  <w:pPr>
                    <w:adjustRightInd w:val="0"/>
                    <w:snapToGrid w:val="0"/>
                    <w:jc w:val="center"/>
                    <w:rPr>
                      <w:bCs/>
                      <w:kern w:val="0"/>
                      <w:szCs w:val="21"/>
                    </w:rPr>
                  </w:pPr>
                  <w:r>
                    <w:rPr>
                      <w:szCs w:val="21"/>
                    </w:rPr>
                    <w:t>45</w:t>
                  </w:r>
                </w:p>
              </w:tc>
              <w:tc>
                <w:tcPr>
                  <w:tcW w:w="555" w:type="pct"/>
                  <w:vAlign w:val="center"/>
                </w:tcPr>
                <w:p>
                  <w:pPr>
                    <w:adjustRightInd w:val="0"/>
                    <w:snapToGrid w:val="0"/>
                    <w:jc w:val="center"/>
                    <w:rPr>
                      <w:bCs/>
                      <w:kern w:val="0"/>
                      <w:szCs w:val="21"/>
                    </w:rPr>
                  </w:pPr>
                  <w:r>
                    <w:rPr>
                      <w:szCs w:val="21"/>
                    </w:rPr>
                    <w:t>55.4</w:t>
                  </w:r>
                </w:p>
              </w:tc>
              <w:tc>
                <w:tcPr>
                  <w:tcW w:w="464" w:type="pct"/>
                  <w:vAlign w:val="center"/>
                </w:tcPr>
                <w:p>
                  <w:pPr>
                    <w:adjustRightInd w:val="0"/>
                    <w:snapToGrid w:val="0"/>
                    <w:jc w:val="center"/>
                    <w:rPr>
                      <w:bCs/>
                      <w:kern w:val="0"/>
                      <w:szCs w:val="21"/>
                    </w:rPr>
                  </w:pPr>
                  <w:r>
                    <w:rPr>
                      <w:bCs/>
                      <w:kern w:val="0"/>
                      <w:szCs w:val="21"/>
                    </w:rPr>
                    <w:t>0</w:t>
                  </w:r>
                </w:p>
              </w:tc>
              <w:tc>
                <w:tcPr>
                  <w:tcW w:w="650"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rFonts w:hint="eastAsia"/>
                      <w:b/>
                      <w:kern w:val="0"/>
                      <w:szCs w:val="21"/>
                    </w:rPr>
                    <w:t>4</w:t>
                  </w:r>
                </w:p>
              </w:tc>
              <w:tc>
                <w:tcPr>
                  <w:tcW w:w="830" w:type="pct"/>
                  <w:vAlign w:val="center"/>
                </w:tcPr>
                <w:p>
                  <w:pPr>
                    <w:adjustRightInd w:val="0"/>
                    <w:snapToGrid w:val="0"/>
                    <w:jc w:val="center"/>
                    <w:rPr>
                      <w:bCs/>
                      <w:kern w:val="0"/>
                      <w:szCs w:val="21"/>
                    </w:rPr>
                  </w:pPr>
                  <w:r>
                    <w:rPr>
                      <w:rFonts w:hint="eastAsia"/>
                      <w:szCs w:val="21"/>
                    </w:rPr>
                    <w:t>虎林村村委会</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2</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2</w:t>
                  </w:r>
                </w:p>
              </w:tc>
              <w:tc>
                <w:tcPr>
                  <w:tcW w:w="555" w:type="pc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555" w:type="pct"/>
                  <w:vAlign w:val="center"/>
                </w:tcPr>
                <w:p>
                  <w:pPr>
                    <w:adjustRightInd w:val="0"/>
                    <w:snapToGrid w:val="0"/>
                    <w:jc w:val="center"/>
                    <w:rPr>
                      <w:bCs/>
                      <w:kern w:val="0"/>
                      <w:szCs w:val="21"/>
                    </w:rPr>
                  </w:pPr>
                  <w:r>
                    <w:rPr>
                      <w:szCs w:val="21"/>
                    </w:rPr>
                    <w:t>37.0</w:t>
                  </w:r>
                </w:p>
              </w:tc>
              <w:tc>
                <w:tcPr>
                  <w:tcW w:w="555" w:type="pct"/>
                  <w:vAlign w:val="center"/>
                </w:tcPr>
                <w:p>
                  <w:pPr>
                    <w:adjustRightInd w:val="0"/>
                    <w:snapToGrid w:val="0"/>
                    <w:jc w:val="center"/>
                    <w:rPr>
                      <w:bCs/>
                      <w:kern w:val="0"/>
                      <w:szCs w:val="21"/>
                    </w:rPr>
                  </w:pPr>
                  <w:r>
                    <w:rPr>
                      <w:szCs w:val="21"/>
                    </w:rPr>
                    <w:t>53.1</w:t>
                  </w:r>
                </w:p>
              </w:tc>
              <w:tc>
                <w:tcPr>
                  <w:tcW w:w="464" w:type="pct"/>
                  <w:vAlign w:val="center"/>
                </w:tcPr>
                <w:p>
                  <w:pPr>
                    <w:adjustRightInd w:val="0"/>
                    <w:snapToGrid w:val="0"/>
                    <w:jc w:val="center"/>
                    <w:rPr>
                      <w:bCs/>
                      <w:kern w:val="0"/>
                      <w:szCs w:val="21"/>
                    </w:rPr>
                  </w:pPr>
                  <w:r>
                    <w:rPr>
                      <w:rFonts w:hint="eastAsia"/>
                      <w:bCs/>
                      <w:kern w:val="0"/>
                      <w:szCs w:val="21"/>
                    </w:rPr>
                    <w:t>1</w:t>
                  </w:r>
                  <w:r>
                    <w:rPr>
                      <w:bCs/>
                      <w:kern w:val="0"/>
                      <w:szCs w:val="21"/>
                    </w:rPr>
                    <w:t>.1</w:t>
                  </w:r>
                </w:p>
              </w:tc>
              <w:tc>
                <w:tcPr>
                  <w:tcW w:w="650"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Align w:val="center"/>
                </w:tcPr>
                <w:p>
                  <w:pPr>
                    <w:adjustRightInd w:val="0"/>
                    <w:snapToGrid w:val="0"/>
                    <w:jc w:val="center"/>
                    <w:rPr>
                      <w:b/>
                      <w:kern w:val="0"/>
                      <w:szCs w:val="21"/>
                    </w:rPr>
                  </w:pPr>
                  <w:r>
                    <w:rPr>
                      <w:b/>
                      <w:kern w:val="0"/>
                      <w:szCs w:val="21"/>
                    </w:rPr>
                    <w:t>5</w:t>
                  </w:r>
                </w:p>
              </w:tc>
              <w:tc>
                <w:tcPr>
                  <w:tcW w:w="830" w:type="pct"/>
                  <w:vAlign w:val="center"/>
                </w:tcPr>
                <w:p>
                  <w:pPr>
                    <w:adjustRightInd w:val="0"/>
                    <w:snapToGrid w:val="0"/>
                    <w:jc w:val="center"/>
                    <w:rPr>
                      <w:bCs/>
                      <w:kern w:val="0"/>
                      <w:szCs w:val="21"/>
                    </w:rPr>
                  </w:pPr>
                  <w:r>
                    <w:rPr>
                      <w:rFonts w:hint="eastAsia"/>
                      <w:bCs/>
                      <w:kern w:val="0"/>
                      <w:szCs w:val="21"/>
                    </w:rPr>
                    <w:t>东4</w:t>
                  </w:r>
                  <w:r>
                    <w:rPr>
                      <w:bCs/>
                      <w:kern w:val="0"/>
                      <w:szCs w:val="21"/>
                    </w:rPr>
                    <w:t>8</w:t>
                  </w:r>
                  <w:r>
                    <w:rPr>
                      <w:rFonts w:hint="eastAsia"/>
                      <w:bCs/>
                      <w:kern w:val="0"/>
                      <w:szCs w:val="21"/>
                    </w:rPr>
                    <w:t>m散居住户</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3</w:t>
                  </w:r>
                </w:p>
              </w:tc>
              <w:tc>
                <w:tcPr>
                  <w:tcW w:w="555" w:type="pct"/>
                  <w:vAlign w:val="center"/>
                </w:tcPr>
                <w:p>
                  <w:pPr>
                    <w:adjustRightInd w:val="0"/>
                    <w:snapToGrid w:val="0"/>
                    <w:jc w:val="center"/>
                    <w:rPr>
                      <w:bCs/>
                      <w:kern w:val="0"/>
                      <w:szCs w:val="21"/>
                    </w:rPr>
                  </w:pPr>
                  <w:r>
                    <w:rPr>
                      <w:rFonts w:hint="eastAsia"/>
                      <w:bCs/>
                      <w:kern w:val="0"/>
                      <w:szCs w:val="21"/>
                    </w:rPr>
                    <w:t>5</w:t>
                  </w:r>
                  <w:r>
                    <w:rPr>
                      <w:bCs/>
                      <w:kern w:val="0"/>
                      <w:szCs w:val="21"/>
                    </w:rPr>
                    <w:t>3</w:t>
                  </w:r>
                </w:p>
              </w:tc>
              <w:tc>
                <w:tcPr>
                  <w:tcW w:w="555" w:type="pct"/>
                  <w:vAlign w:val="center"/>
                </w:tcPr>
                <w:p>
                  <w:pPr>
                    <w:adjustRightInd w:val="0"/>
                    <w:snapToGrid w:val="0"/>
                    <w:jc w:val="center"/>
                    <w:rPr>
                      <w:bCs/>
                      <w:kern w:val="0"/>
                      <w:szCs w:val="21"/>
                    </w:rPr>
                  </w:pPr>
                  <w:r>
                    <w:rPr>
                      <w:rFonts w:hint="eastAsia"/>
                      <w:bCs/>
                      <w:kern w:val="0"/>
                      <w:szCs w:val="21"/>
                    </w:rPr>
                    <w:t>6</w:t>
                  </w:r>
                  <w:r>
                    <w:rPr>
                      <w:bCs/>
                      <w:kern w:val="0"/>
                      <w:szCs w:val="21"/>
                    </w:rPr>
                    <w:t>0</w:t>
                  </w:r>
                </w:p>
              </w:tc>
              <w:tc>
                <w:tcPr>
                  <w:tcW w:w="555" w:type="pct"/>
                  <w:vAlign w:val="center"/>
                </w:tcPr>
                <w:p>
                  <w:pPr>
                    <w:adjustRightInd w:val="0"/>
                    <w:snapToGrid w:val="0"/>
                    <w:jc w:val="center"/>
                    <w:rPr>
                      <w:bCs/>
                      <w:kern w:val="0"/>
                      <w:szCs w:val="21"/>
                    </w:rPr>
                  </w:pPr>
                  <w:r>
                    <w:rPr>
                      <w:szCs w:val="21"/>
                    </w:rPr>
                    <w:t>38.3</w:t>
                  </w:r>
                </w:p>
              </w:tc>
              <w:tc>
                <w:tcPr>
                  <w:tcW w:w="555" w:type="pct"/>
                  <w:vAlign w:val="center"/>
                </w:tcPr>
                <w:p>
                  <w:pPr>
                    <w:adjustRightInd w:val="0"/>
                    <w:snapToGrid w:val="0"/>
                    <w:jc w:val="center"/>
                    <w:rPr>
                      <w:bCs/>
                      <w:kern w:val="0"/>
                      <w:szCs w:val="21"/>
                    </w:rPr>
                  </w:pPr>
                  <w:r>
                    <w:rPr>
                      <w:szCs w:val="21"/>
                    </w:rPr>
                    <w:t>55.1</w:t>
                  </w:r>
                </w:p>
              </w:tc>
              <w:tc>
                <w:tcPr>
                  <w:tcW w:w="464" w:type="pct"/>
                  <w:vAlign w:val="center"/>
                </w:tcPr>
                <w:p>
                  <w:pPr>
                    <w:adjustRightInd w:val="0"/>
                    <w:snapToGrid w:val="0"/>
                    <w:jc w:val="center"/>
                    <w:rPr>
                      <w:bCs/>
                      <w:kern w:val="0"/>
                      <w:szCs w:val="21"/>
                    </w:rPr>
                  </w:pPr>
                  <w:r>
                    <w:rPr>
                      <w:rFonts w:hint="eastAsia"/>
                      <w:bCs/>
                      <w:kern w:val="0"/>
                      <w:szCs w:val="21"/>
                    </w:rPr>
                    <w:t>2</w:t>
                  </w:r>
                  <w:r>
                    <w:rPr>
                      <w:bCs/>
                      <w:kern w:val="0"/>
                      <w:szCs w:val="21"/>
                    </w:rPr>
                    <w:t>.1</w:t>
                  </w:r>
                </w:p>
              </w:tc>
              <w:tc>
                <w:tcPr>
                  <w:tcW w:w="650" w:type="pct"/>
                  <w:vAlign w:val="center"/>
                </w:tcPr>
                <w:p>
                  <w:pPr>
                    <w:adjustRightInd w:val="0"/>
                    <w:snapToGrid w:val="0"/>
                    <w:jc w:val="center"/>
                    <w:rPr>
                      <w:b/>
                      <w:kern w:val="0"/>
                      <w:szCs w:val="21"/>
                    </w:rPr>
                  </w:pPr>
                  <w:r>
                    <w:rPr>
                      <w:rFonts w:hint="eastAsia"/>
                      <w:b/>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pPr>
                    <w:adjustRightInd w:val="0"/>
                    <w:snapToGrid w:val="0"/>
                    <w:rPr>
                      <w:bCs/>
                      <w:kern w:val="0"/>
                      <w:szCs w:val="21"/>
                    </w:rPr>
                  </w:pPr>
                  <w:r>
                    <w:rPr>
                      <w:rFonts w:hint="eastAsia"/>
                      <w:bCs/>
                      <w:kern w:val="0"/>
                      <w:szCs w:val="21"/>
                    </w:rPr>
                    <w:t>注：由于目前原有项目未运营，且保护目标周围未新增其他噪声源，因此使用原项目临近厂界噪声现状值作为保护目标噪声背景值进行计算。</w:t>
                  </w:r>
                </w:p>
              </w:tc>
            </w:tr>
          </w:tbl>
          <w:p>
            <w:pPr>
              <w:adjustRightInd w:val="0"/>
              <w:snapToGrid w:val="0"/>
              <w:spacing w:before="120" w:beforeLines="50" w:line="480" w:lineRule="exact"/>
              <w:ind w:firstLine="480" w:firstLineChars="200"/>
              <w:rPr>
                <w:bCs/>
                <w:kern w:val="0"/>
                <w:sz w:val="24"/>
              </w:rPr>
            </w:pPr>
            <w:r>
              <w:rPr>
                <w:rFonts w:hint="eastAsia"/>
                <w:bCs/>
                <w:kern w:val="0"/>
                <w:sz w:val="24"/>
              </w:rPr>
              <w:t>因此，根据上表分析，建设项目在做好环评提出的噪声防治措施后，厂界噪声和声环境保护目标均能达标。同时建设单位承诺夜间不生产（详见附件），</w:t>
            </w:r>
            <w:r>
              <w:rPr>
                <w:rFonts w:asciiTheme="minorEastAsia" w:hAnsiTheme="minorEastAsia" w:eastAsiaTheme="minorEastAsia"/>
                <w:b/>
                <w:bCs/>
                <w:sz w:val="24"/>
              </w:rPr>
              <w:t>因此项目运行对周边的敏感目标影响较小</w:t>
            </w:r>
            <w:r>
              <w:rPr>
                <w:rFonts w:hint="eastAsia" w:asciiTheme="minorEastAsia" w:hAnsiTheme="minorEastAsia" w:eastAsiaTheme="minorEastAsia"/>
                <w:b/>
                <w:bCs/>
                <w:sz w:val="24"/>
              </w:rPr>
              <w:t>。</w:t>
            </w:r>
          </w:p>
          <w:p>
            <w:pPr>
              <w:spacing w:before="120" w:beforeLines="50" w:line="360" w:lineRule="auto"/>
              <w:ind w:firstLine="482" w:firstLineChars="200"/>
              <w:rPr>
                <w:rFonts w:eastAsiaTheme="minorEastAsia"/>
                <w:b/>
                <w:sz w:val="24"/>
              </w:rPr>
            </w:pPr>
            <w:r>
              <w:rPr>
                <w:rFonts w:eastAsiaTheme="minorEastAsia"/>
                <w:b/>
                <w:sz w:val="24"/>
              </w:rPr>
              <w:t>3.4噪声监测要求</w:t>
            </w:r>
          </w:p>
          <w:p>
            <w:pPr>
              <w:spacing w:line="360" w:lineRule="auto"/>
              <w:ind w:firstLine="480" w:firstLineChars="200"/>
              <w:rPr>
                <w:rFonts w:eastAsiaTheme="minorEastAsia"/>
                <w:sz w:val="24"/>
              </w:rPr>
            </w:pPr>
            <w:r>
              <w:rPr>
                <w:rFonts w:eastAsiaTheme="minorEastAsia"/>
                <w:sz w:val="24"/>
              </w:rPr>
              <w:t>根据《排污单位自行监测技术指南总则》（HJ819-2017），对项目厂界噪声监测要求如下。</w:t>
            </w:r>
          </w:p>
          <w:p>
            <w:pPr>
              <w:pStyle w:val="61"/>
              <w:spacing w:line="360" w:lineRule="auto"/>
              <w:ind w:firstLine="482" w:firstLineChars="200"/>
              <w:rPr>
                <w:rFonts w:eastAsiaTheme="minorEastAsia"/>
              </w:rPr>
            </w:pPr>
            <w:r>
              <w:rPr>
                <w:rFonts w:eastAsiaTheme="minorEastAsia"/>
              </w:rPr>
              <w:t>表4-15监测要求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88"/>
              <w:gridCol w:w="1263"/>
              <w:gridCol w:w="1256"/>
              <w:gridCol w:w="1216"/>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类型</w:t>
                  </w:r>
                </w:p>
              </w:tc>
              <w:tc>
                <w:tcPr>
                  <w:tcW w:w="735"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污染源</w:t>
                  </w:r>
                </w:p>
              </w:tc>
              <w:tc>
                <w:tcPr>
                  <w:tcW w:w="721"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监测点位</w:t>
                  </w:r>
                </w:p>
              </w:tc>
              <w:tc>
                <w:tcPr>
                  <w:tcW w:w="717"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监测指标</w:t>
                  </w:r>
                </w:p>
              </w:tc>
              <w:tc>
                <w:tcPr>
                  <w:tcW w:w="694"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监测频次</w:t>
                  </w:r>
                </w:p>
              </w:tc>
              <w:tc>
                <w:tcPr>
                  <w:tcW w:w="1527" w:type="pct"/>
                  <w:vAlign w:val="center"/>
                </w:tcPr>
                <w:p>
                  <w:pPr>
                    <w:pStyle w:val="80"/>
                    <w:jc w:val="both"/>
                    <w:rPr>
                      <w:rFonts w:ascii="Times New Roman" w:hAnsi="Times New Roman" w:eastAsiaTheme="minorEastAsia"/>
                      <w:sz w:val="22"/>
                      <w:szCs w:val="22"/>
                    </w:rPr>
                  </w:pPr>
                  <w:r>
                    <w:rPr>
                      <w:rFonts w:ascii="Times New Roman" w:hAnsi="Times New Roman" w:eastAsiaTheme="minorEastAsia"/>
                      <w:sz w:val="22"/>
                      <w:szCs w:val="22"/>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噪声</w:t>
                  </w:r>
                </w:p>
              </w:tc>
              <w:tc>
                <w:tcPr>
                  <w:tcW w:w="735"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厂界噪声</w:t>
                  </w:r>
                </w:p>
              </w:tc>
              <w:tc>
                <w:tcPr>
                  <w:tcW w:w="721"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厂界四周</w:t>
                  </w:r>
                </w:p>
              </w:tc>
              <w:tc>
                <w:tcPr>
                  <w:tcW w:w="717"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等效连续A声级</w:t>
                  </w:r>
                </w:p>
              </w:tc>
              <w:tc>
                <w:tcPr>
                  <w:tcW w:w="694"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1次/季度</w:t>
                  </w:r>
                </w:p>
              </w:tc>
              <w:tc>
                <w:tcPr>
                  <w:tcW w:w="1527" w:type="pct"/>
                  <w:vAlign w:val="center"/>
                </w:tcPr>
                <w:p>
                  <w:pPr>
                    <w:pStyle w:val="79"/>
                    <w:jc w:val="both"/>
                    <w:rPr>
                      <w:rFonts w:ascii="Times New Roman" w:hAnsi="Times New Roman" w:eastAsiaTheme="minorEastAsia"/>
                      <w:sz w:val="22"/>
                      <w:szCs w:val="22"/>
                    </w:rPr>
                  </w:pPr>
                  <w:r>
                    <w:rPr>
                      <w:rFonts w:ascii="Times New Roman" w:hAnsi="Times New Roman" w:eastAsiaTheme="minorEastAsia"/>
                      <w:sz w:val="22"/>
                      <w:szCs w:val="22"/>
                    </w:rPr>
                    <w:t>《工业企业厂界环境噪声排放标准》中2类</w:t>
                  </w:r>
                </w:p>
              </w:tc>
            </w:tr>
          </w:tbl>
          <w:p>
            <w:pPr>
              <w:pStyle w:val="7"/>
              <w:spacing w:before="120" w:beforeLines="50"/>
              <w:ind w:firstLine="0" w:firstLineChars="0"/>
              <w:jc w:val="both"/>
              <w:rPr>
                <w:rFonts w:ascii="Times New Roman" w:hAnsi="Times New Roman" w:cs="Times New Roman" w:eastAsiaTheme="minorEastAsia"/>
              </w:rPr>
            </w:pPr>
            <w:r>
              <w:rPr>
                <w:rFonts w:ascii="Times New Roman" w:hAnsi="Times New Roman" w:cs="Times New Roman" w:eastAsiaTheme="minorEastAsia"/>
              </w:rPr>
              <w:t>4</w:t>
            </w:r>
            <w:r>
              <w:rPr>
                <w:rFonts w:ascii="Times New Roman" w:hAnsi="Times New Roman" w:cs="Times New Roman"/>
                <w:b w:val="0"/>
              </w:rPr>
              <w:t>、</w:t>
            </w:r>
            <w:r>
              <w:rPr>
                <w:rFonts w:ascii="Times New Roman" w:hAnsi="Times New Roman" w:cs="Times New Roman" w:eastAsiaTheme="minorEastAsia"/>
              </w:rPr>
              <w:t>固体废物</w:t>
            </w:r>
          </w:p>
          <w:p>
            <w:pPr>
              <w:spacing w:line="360" w:lineRule="auto"/>
              <w:ind w:firstLine="480" w:firstLineChars="200"/>
              <w:rPr>
                <w:rFonts w:eastAsiaTheme="minorEastAsia"/>
                <w:bCs/>
                <w:sz w:val="24"/>
              </w:rPr>
            </w:pPr>
            <w:r>
              <w:rPr>
                <w:rFonts w:eastAsiaTheme="minorEastAsia"/>
                <w:bCs/>
                <w:sz w:val="24"/>
              </w:rPr>
              <w:t>本项目运营期固体废物主要有生活垃圾、沉淀池沉渣、布袋除尘器收集粉尘以及不合格品，其具体处理排放情况与治理措施如下：</w:t>
            </w:r>
          </w:p>
          <w:p>
            <w:pPr>
              <w:spacing w:line="360" w:lineRule="auto"/>
              <w:ind w:firstLine="480" w:firstLineChars="200"/>
              <w:rPr>
                <w:rFonts w:eastAsiaTheme="minorEastAsia"/>
                <w:bCs/>
                <w:sz w:val="24"/>
              </w:rPr>
            </w:pPr>
            <w:r>
              <w:rPr>
                <w:rFonts w:eastAsiaTheme="minorEastAsia"/>
                <w:bCs/>
                <w:sz w:val="24"/>
              </w:rPr>
              <w:t>（1）生活垃圾</w:t>
            </w:r>
          </w:p>
          <w:p>
            <w:pPr>
              <w:spacing w:line="360" w:lineRule="auto"/>
              <w:ind w:firstLine="480" w:firstLineChars="200"/>
              <w:rPr>
                <w:rFonts w:eastAsiaTheme="minorEastAsia"/>
                <w:bCs/>
                <w:sz w:val="24"/>
              </w:rPr>
            </w:pPr>
            <w:r>
              <w:rPr>
                <w:rFonts w:eastAsiaTheme="minorEastAsia"/>
                <w:bCs/>
                <w:sz w:val="24"/>
              </w:rPr>
              <w:t>预计项目每人每天产生生活垃圾量为0.5kg/人</w:t>
            </w:r>
            <w:r>
              <w:rPr>
                <w:rFonts w:eastAsiaTheme="minorEastAsia"/>
                <w:bCs/>
                <w:sz w:val="24"/>
                <w:lang w:val="pt-PT"/>
              </w:rPr>
              <w:t>·</w:t>
            </w:r>
            <w:r>
              <w:rPr>
                <w:rFonts w:eastAsiaTheme="minorEastAsia"/>
                <w:bCs/>
                <w:sz w:val="24"/>
              </w:rPr>
              <w:t>d，项目有职工28人，年工作天数300d，则年产生活垃圾总量约为4.2t/a。厂区内合理布设垃圾桶，生活垃圾由环卫部门统一清运，做到日产日清。</w:t>
            </w:r>
          </w:p>
          <w:p>
            <w:pPr>
              <w:spacing w:line="360" w:lineRule="auto"/>
              <w:ind w:firstLine="480" w:firstLineChars="200"/>
              <w:rPr>
                <w:rFonts w:eastAsiaTheme="minorEastAsia"/>
                <w:bCs/>
                <w:sz w:val="24"/>
              </w:rPr>
            </w:pPr>
            <w:r>
              <w:rPr>
                <w:rFonts w:eastAsiaTheme="minorEastAsia"/>
                <w:bCs/>
                <w:sz w:val="24"/>
              </w:rPr>
              <w:t>（2）沉淀池沉渣</w:t>
            </w:r>
          </w:p>
          <w:p>
            <w:pPr>
              <w:spacing w:line="360" w:lineRule="auto"/>
              <w:ind w:firstLine="480" w:firstLineChars="200"/>
              <w:rPr>
                <w:rFonts w:eastAsiaTheme="minorEastAsia"/>
                <w:bCs/>
                <w:sz w:val="24"/>
              </w:rPr>
            </w:pPr>
            <w:r>
              <w:rPr>
                <w:rFonts w:eastAsiaTheme="minorEastAsia"/>
                <w:bCs/>
                <w:sz w:val="24"/>
              </w:rPr>
              <w:t>厂区内设沉淀池收集冲洗废水，沉渣主要成分为切割过程的边角料，沉淀池沉渣产生量约为4t/a，用作原料进入生产线，不外排。</w:t>
            </w:r>
          </w:p>
          <w:p>
            <w:pPr>
              <w:spacing w:line="360" w:lineRule="auto"/>
              <w:ind w:firstLine="480" w:firstLineChars="200"/>
              <w:rPr>
                <w:rFonts w:eastAsiaTheme="minorEastAsia"/>
                <w:bCs/>
                <w:sz w:val="24"/>
              </w:rPr>
            </w:pPr>
            <w:r>
              <w:rPr>
                <w:rFonts w:eastAsiaTheme="minorEastAsia"/>
                <w:bCs/>
                <w:sz w:val="24"/>
              </w:rPr>
              <w:t>（3）布袋除尘器收集的粉尘</w:t>
            </w:r>
          </w:p>
          <w:p>
            <w:pPr>
              <w:spacing w:line="360" w:lineRule="auto"/>
              <w:ind w:firstLine="480" w:firstLineChars="200"/>
              <w:rPr>
                <w:rFonts w:eastAsiaTheme="minorEastAsia"/>
                <w:bCs/>
                <w:sz w:val="24"/>
              </w:rPr>
            </w:pPr>
            <w:r>
              <w:rPr>
                <w:rFonts w:eastAsiaTheme="minorEastAsia"/>
                <w:bCs/>
                <w:sz w:val="24"/>
              </w:rPr>
              <w:t>本项目生产过程各产尘源设置布袋除尘系统，根据核算，本项目经除尘系统收集的粉尘量为13.2t/a，全部回用于生产线，不外排。</w:t>
            </w:r>
          </w:p>
          <w:p>
            <w:pPr>
              <w:spacing w:line="360" w:lineRule="auto"/>
              <w:ind w:firstLine="480" w:firstLineChars="200"/>
              <w:rPr>
                <w:rFonts w:eastAsiaTheme="minorEastAsia"/>
                <w:bCs/>
                <w:sz w:val="24"/>
              </w:rPr>
            </w:pPr>
            <w:r>
              <w:rPr>
                <w:rFonts w:eastAsiaTheme="minorEastAsia"/>
                <w:bCs/>
                <w:sz w:val="24"/>
              </w:rPr>
              <w:t>（4）不合格品</w:t>
            </w:r>
          </w:p>
          <w:p>
            <w:pPr>
              <w:spacing w:line="360" w:lineRule="auto"/>
              <w:ind w:firstLine="480" w:firstLineChars="200"/>
              <w:rPr>
                <w:rFonts w:eastAsiaTheme="minorEastAsia"/>
                <w:bCs/>
                <w:sz w:val="24"/>
              </w:rPr>
            </w:pPr>
            <w:r>
              <w:rPr>
                <w:rFonts w:eastAsiaTheme="minorEastAsia"/>
                <w:bCs/>
                <w:sz w:val="24"/>
              </w:rPr>
              <w:t>根据建设单位提供，不合格品的产生量约为29.76t/a，全部用作原料进入生产线，不外排。</w:t>
            </w:r>
          </w:p>
          <w:p>
            <w:pPr>
              <w:pStyle w:val="2"/>
              <w:ind w:left="0" w:leftChars="0" w:firstLine="480"/>
              <w:rPr>
                <w:sz w:val="24"/>
              </w:rPr>
            </w:pPr>
            <w:r>
              <w:rPr>
                <w:rFonts w:hint="eastAsia"/>
                <w:sz w:val="24"/>
              </w:rPr>
              <w:t>（5）废油等</w:t>
            </w:r>
          </w:p>
          <w:p>
            <w:pPr>
              <w:autoSpaceDE w:val="0"/>
              <w:autoSpaceDN w:val="0"/>
              <w:adjustRightInd w:val="0"/>
              <w:spacing w:line="360" w:lineRule="auto"/>
              <w:ind w:firstLine="480" w:firstLineChars="200"/>
              <w:rPr>
                <w:rFonts w:ascii="宋体" w:hAnsi="Calibri" w:cs="宋体"/>
                <w:kern w:val="0"/>
                <w:sz w:val="24"/>
              </w:rPr>
            </w:pPr>
            <w:r>
              <w:rPr>
                <w:rFonts w:hint="eastAsia"/>
                <w:sz w:val="24"/>
              </w:rPr>
              <w:t>项目生产过程中设备润滑等会产生废机油及废机油桶，产生量约0.</w:t>
            </w:r>
            <w:r>
              <w:rPr>
                <w:sz w:val="24"/>
              </w:rPr>
              <w:t>01</w:t>
            </w:r>
            <w:r>
              <w:rPr>
                <w:rFonts w:hint="eastAsia"/>
                <w:sz w:val="24"/>
              </w:rPr>
              <w:t>t/a，根据《国家危险废物目录》（20</w:t>
            </w:r>
            <w:r>
              <w:rPr>
                <w:sz w:val="24"/>
              </w:rPr>
              <w:t>21</w:t>
            </w:r>
            <w:r>
              <w:rPr>
                <w:rFonts w:hint="eastAsia"/>
                <w:sz w:val="24"/>
              </w:rPr>
              <w:t xml:space="preserve"> 版），废机油废物类别为：HW08</w:t>
            </w:r>
            <w:r>
              <w:rPr>
                <w:rFonts w:hint="eastAsia" w:ascii="宋体" w:hAnsi="Calibri" w:cs="宋体"/>
                <w:kern w:val="0"/>
                <w:sz w:val="24"/>
              </w:rPr>
              <w:t>废矿物油与含矿物油废物</w:t>
            </w:r>
            <w:r>
              <w:rPr>
                <w:rFonts w:hint="eastAsia"/>
                <w:sz w:val="24"/>
              </w:rPr>
              <w:t>，废机油废物代码为：900-</w:t>
            </w:r>
            <w:r>
              <w:rPr>
                <w:sz w:val="24"/>
              </w:rPr>
              <w:t>249</w:t>
            </w:r>
            <w:r>
              <w:rPr>
                <w:rFonts w:hint="eastAsia"/>
                <w:sz w:val="24"/>
              </w:rPr>
              <w:t>-08，废机油桶产生量约为0.</w:t>
            </w:r>
            <w:r>
              <w:rPr>
                <w:sz w:val="24"/>
              </w:rPr>
              <w:t>01</w:t>
            </w:r>
            <w:r>
              <w:rPr>
                <w:rFonts w:hint="eastAsia"/>
                <w:sz w:val="24"/>
              </w:rPr>
              <w:t>t/a，代码为HW</w:t>
            </w:r>
            <w:r>
              <w:rPr>
                <w:sz w:val="24"/>
              </w:rPr>
              <w:t>49-</w:t>
            </w:r>
            <w:r>
              <w:rPr>
                <w:rFonts w:cs="宋体"/>
                <w:kern w:val="0"/>
                <w:szCs w:val="21"/>
              </w:rPr>
              <w:t>900</w:t>
            </w:r>
            <w:r>
              <w:rPr>
                <w:rFonts w:ascii="宋体" w:hAnsi="Calibri" w:cs="宋体"/>
                <w:kern w:val="0"/>
                <w:szCs w:val="21"/>
              </w:rPr>
              <w:t>-</w:t>
            </w:r>
            <w:r>
              <w:rPr>
                <w:rFonts w:cs="宋体"/>
                <w:kern w:val="0"/>
                <w:szCs w:val="21"/>
              </w:rPr>
              <w:t>041</w:t>
            </w:r>
            <w:r>
              <w:rPr>
                <w:rFonts w:ascii="宋体" w:hAnsi="Calibri" w:cs="宋体"/>
                <w:kern w:val="0"/>
                <w:szCs w:val="21"/>
              </w:rPr>
              <w:t>-</w:t>
            </w:r>
            <w:r>
              <w:rPr>
                <w:rFonts w:cs="宋体"/>
                <w:kern w:val="0"/>
                <w:szCs w:val="21"/>
              </w:rPr>
              <w:t>49</w:t>
            </w:r>
            <w:r>
              <w:rPr>
                <w:rFonts w:hint="eastAsia" w:ascii="宋体" w:hAnsi="Calibri" w:cs="宋体"/>
                <w:kern w:val="0"/>
                <w:szCs w:val="21"/>
              </w:rPr>
              <w:t>，</w:t>
            </w:r>
            <w:r>
              <w:rPr>
                <w:rFonts w:hint="eastAsia"/>
                <w:sz w:val="24"/>
              </w:rPr>
              <w:t>项目洗车处的隔油池产生的浮油约0.</w:t>
            </w:r>
            <w:r>
              <w:rPr>
                <w:sz w:val="24"/>
              </w:rPr>
              <w:t>005</w:t>
            </w:r>
            <w:r>
              <w:rPr>
                <w:rFonts w:hint="eastAsia"/>
                <w:sz w:val="24"/>
              </w:rPr>
              <w:t>t/a，废物类别为：HW08</w:t>
            </w:r>
            <w:r>
              <w:rPr>
                <w:rFonts w:hint="eastAsia" w:ascii="宋体" w:hAnsi="Calibri" w:cs="宋体"/>
                <w:kern w:val="0"/>
                <w:sz w:val="24"/>
              </w:rPr>
              <w:t>废矿物油与含矿物油废物，</w:t>
            </w:r>
            <w:r>
              <w:rPr>
                <w:rFonts w:hint="eastAsia"/>
                <w:sz w:val="24"/>
              </w:rPr>
              <w:t>代码为：</w:t>
            </w:r>
            <w:r>
              <w:rPr>
                <w:rFonts w:cs="宋体"/>
                <w:kern w:val="0"/>
                <w:sz w:val="24"/>
              </w:rPr>
              <w:t>900</w:t>
            </w:r>
            <w:r>
              <w:rPr>
                <w:rFonts w:ascii="宋体" w:hAnsi="Calibri" w:cs="宋体"/>
                <w:kern w:val="0"/>
                <w:sz w:val="24"/>
              </w:rPr>
              <w:t>-</w:t>
            </w:r>
            <w:r>
              <w:rPr>
                <w:rFonts w:cs="宋体"/>
                <w:kern w:val="0"/>
                <w:sz w:val="24"/>
              </w:rPr>
              <w:t>210</w:t>
            </w:r>
            <w:r>
              <w:rPr>
                <w:rFonts w:ascii="宋体" w:hAnsi="Calibri" w:cs="宋体"/>
                <w:kern w:val="0"/>
                <w:sz w:val="24"/>
              </w:rPr>
              <w:t>-</w:t>
            </w:r>
            <w:r>
              <w:rPr>
                <w:rFonts w:cs="宋体"/>
                <w:kern w:val="0"/>
                <w:sz w:val="24"/>
              </w:rPr>
              <w:t>08</w:t>
            </w:r>
            <w:r>
              <w:rPr>
                <w:rFonts w:hint="eastAsia"/>
                <w:sz w:val="24"/>
              </w:rPr>
              <w:t>。分类收集后暂存于危废暂存间，定期交由有资质单位进行处置。</w:t>
            </w:r>
            <w:r>
              <w:rPr>
                <w:rFonts w:hint="eastAsia"/>
                <w:b/>
                <w:bCs/>
                <w:sz w:val="24"/>
              </w:rPr>
              <w:t>评价要求本项目营运前须与有资质的单位签订完成危险废物处置协议。</w:t>
            </w:r>
          </w:p>
          <w:p>
            <w:pPr>
              <w:pStyle w:val="2"/>
              <w:spacing w:after="0" w:line="360" w:lineRule="auto"/>
              <w:ind w:left="0" w:leftChars="0" w:firstLine="480"/>
              <w:rPr>
                <w:rFonts w:ascii="宋体" w:hAnsi="宋体"/>
                <w:sz w:val="24"/>
              </w:rPr>
            </w:pPr>
            <w:r>
              <w:rPr>
                <w:rFonts w:hint="eastAsia" w:ascii="宋体" w:hAnsi="宋体"/>
                <w:sz w:val="24"/>
              </w:rPr>
              <w:t>项目运营期产生的危险废物，于厂区危废暂存间进行妥善存放。按照《危险废物贮存污染控制标准》(</w:t>
            </w:r>
            <w:r>
              <w:rPr>
                <w:rFonts w:hint="eastAsia"/>
                <w:sz w:val="24"/>
              </w:rPr>
              <w:t>GB18597</w:t>
            </w:r>
            <w:r>
              <w:rPr>
                <w:rFonts w:hint="eastAsia" w:ascii="宋体" w:hAnsi="宋体"/>
                <w:sz w:val="24"/>
              </w:rPr>
              <w:t>-</w:t>
            </w:r>
            <w:r>
              <w:rPr>
                <w:rFonts w:hint="eastAsia"/>
                <w:sz w:val="24"/>
              </w:rPr>
              <w:t>2023</w:t>
            </w:r>
            <w:r>
              <w:rPr>
                <w:rFonts w:hint="eastAsia" w:ascii="宋体" w:hAnsi="宋体"/>
                <w:sz w:val="24"/>
              </w:rPr>
              <w:t>）要求，环评建议危废暂存间地面与裙脚应采取表面防渗措施;表面防渗材料应与所接触的物料或污染物相容，采用抗渗混凝土、高密度聚乙烯膜、钠基膨润土防水毯或其他防渗性能等效的材料。危废暂存间地面采用</w:t>
            </w:r>
            <w:r>
              <w:rPr>
                <w:rFonts w:hint="eastAsia"/>
                <w:sz w:val="24"/>
              </w:rPr>
              <w:t>2mm</w:t>
            </w:r>
            <w:r>
              <w:rPr>
                <w:rFonts w:hint="eastAsia" w:ascii="宋体" w:hAnsi="宋体"/>
                <w:sz w:val="24"/>
              </w:rPr>
              <w:t>厚高密度聚乙烯膜等人工防渗材料(渗透系数不大于</w:t>
            </w:r>
            <w:r>
              <w:rPr>
                <w:rFonts w:hint="eastAsia"/>
                <w:sz w:val="24"/>
              </w:rPr>
              <w:t>1</w:t>
            </w:r>
            <w:r>
              <w:rPr>
                <w:rFonts w:hint="eastAsia" w:ascii="宋体" w:hAnsi="宋体"/>
                <w:sz w:val="24"/>
              </w:rPr>
              <w:t>.</w:t>
            </w:r>
            <w:r>
              <w:rPr>
                <w:rFonts w:hint="eastAsia"/>
                <w:sz w:val="24"/>
              </w:rPr>
              <w:t>0</w:t>
            </w:r>
            <w:r>
              <w:rPr>
                <w:rFonts w:hint="eastAsia" w:ascii="宋体" w:hAnsi="宋体"/>
                <w:sz w:val="24"/>
              </w:rPr>
              <w:t>×</w:t>
            </w:r>
            <w:r>
              <w:rPr>
                <w:rFonts w:hint="eastAsia"/>
                <w:sz w:val="24"/>
              </w:rPr>
              <w:t>10</w:t>
            </w:r>
            <w:r>
              <w:rPr>
                <w:rFonts w:hint="eastAsia" w:ascii="宋体" w:hAnsi="宋体"/>
                <w:sz w:val="24"/>
                <w:vertAlign w:val="superscript"/>
              </w:rPr>
              <w:t>-</w:t>
            </w:r>
            <w:r>
              <w:rPr>
                <w:rFonts w:hint="eastAsia"/>
                <w:sz w:val="24"/>
                <w:vertAlign w:val="superscript"/>
              </w:rPr>
              <w:t>10</w:t>
            </w:r>
            <w:r>
              <w:rPr>
                <w:rFonts w:hint="eastAsia"/>
                <w:sz w:val="24"/>
              </w:rPr>
              <w:t>cm</w:t>
            </w:r>
            <w:r>
              <w:rPr>
                <w:rFonts w:hint="eastAsia" w:ascii="宋体" w:hAnsi="宋体"/>
                <w:sz w:val="24"/>
              </w:rPr>
              <w:t>/</w:t>
            </w:r>
            <w:r>
              <w:rPr>
                <w:rFonts w:hint="eastAsia"/>
                <w:sz w:val="24"/>
              </w:rPr>
              <w:t>s</w:t>
            </w:r>
            <w:r>
              <w:rPr>
                <w:rFonts w:hint="eastAsia" w:ascii="宋体" w:hAnsi="宋体"/>
                <w:sz w:val="24"/>
              </w:rPr>
              <w:t>)。</w:t>
            </w:r>
          </w:p>
          <w:p>
            <w:pPr>
              <w:pStyle w:val="2"/>
              <w:spacing w:after="0" w:line="360" w:lineRule="auto"/>
              <w:ind w:left="0" w:leftChars="0" w:firstLine="480"/>
              <w:rPr>
                <w:rFonts w:ascii="宋体" w:hAnsi="宋体"/>
                <w:sz w:val="24"/>
              </w:rPr>
            </w:pPr>
            <w:r>
              <w:rPr>
                <w:rFonts w:hint="eastAsia" w:ascii="宋体" w:hAnsi="宋体"/>
                <w:sz w:val="24"/>
              </w:rPr>
              <w:t>①危险废物暂存要求</w:t>
            </w:r>
          </w:p>
          <w:p>
            <w:pPr>
              <w:pStyle w:val="2"/>
              <w:spacing w:after="0" w:line="360" w:lineRule="auto"/>
              <w:ind w:left="0" w:leftChars="0" w:firstLine="480"/>
              <w:rPr>
                <w:rFonts w:ascii="宋体" w:hAnsi="宋体"/>
                <w:sz w:val="24"/>
              </w:rPr>
            </w:pPr>
            <w:r>
              <w:rPr>
                <w:rFonts w:hint="eastAsia"/>
                <w:sz w:val="24"/>
              </w:rPr>
              <w:t>a</w:t>
            </w:r>
            <w:r>
              <w:rPr>
                <w:rFonts w:hint="eastAsia" w:ascii="宋体" w:hAnsi="宋体"/>
                <w:sz w:val="24"/>
              </w:rPr>
              <w:t>、应按危险废物类别分别采用符合标准的容器贮存，加上标签，由专人负责管理。</w:t>
            </w:r>
            <w:r>
              <w:rPr>
                <w:rFonts w:hint="eastAsia"/>
                <w:sz w:val="24"/>
              </w:rPr>
              <w:t>b</w:t>
            </w:r>
            <w:r>
              <w:rPr>
                <w:rFonts w:hint="eastAsia" w:ascii="宋体" w:hAnsi="宋体"/>
                <w:sz w:val="24"/>
              </w:rPr>
              <w:t>、各种危废之间应单独放置，禁止混入不相容的危险废物。</w:t>
            </w:r>
          </w:p>
          <w:p>
            <w:pPr>
              <w:pStyle w:val="2"/>
              <w:spacing w:after="0" w:line="360" w:lineRule="auto"/>
              <w:ind w:left="0" w:leftChars="0" w:firstLine="480"/>
              <w:rPr>
                <w:rFonts w:ascii="宋体" w:hAnsi="宋体"/>
                <w:sz w:val="24"/>
              </w:rPr>
            </w:pPr>
            <w:r>
              <w:rPr>
                <w:rFonts w:hint="eastAsia"/>
                <w:sz w:val="24"/>
              </w:rPr>
              <w:t>c</w:t>
            </w:r>
            <w:r>
              <w:rPr>
                <w:rFonts w:hint="eastAsia" w:ascii="宋体" w:hAnsi="宋体"/>
                <w:sz w:val="24"/>
              </w:rPr>
              <w:t>、在交由有资质的危废处置单位清运处理时，应严格按照《危险废物转移联单管理办法》填写危险废物转移联单，并由双方单位保留备查。</w:t>
            </w:r>
          </w:p>
          <w:p>
            <w:pPr>
              <w:pStyle w:val="2"/>
              <w:spacing w:after="0" w:line="360" w:lineRule="auto"/>
              <w:ind w:left="0" w:leftChars="0" w:firstLine="480"/>
              <w:rPr>
                <w:rFonts w:ascii="宋体" w:hAnsi="宋体"/>
                <w:sz w:val="24"/>
              </w:rPr>
            </w:pPr>
            <w:r>
              <w:rPr>
                <w:rFonts w:hint="eastAsia"/>
                <w:sz w:val="24"/>
              </w:rPr>
              <w:t>d</w:t>
            </w:r>
            <w:r>
              <w:rPr>
                <w:rFonts w:hint="eastAsia" w:ascii="宋体" w:hAnsi="宋体"/>
                <w:sz w:val="24"/>
              </w:rPr>
              <w:t>、危废收运车应采用密闭运输方式，防止外泄。</w:t>
            </w:r>
          </w:p>
          <w:p>
            <w:pPr>
              <w:pStyle w:val="2"/>
              <w:spacing w:after="0" w:line="360" w:lineRule="auto"/>
              <w:ind w:left="0" w:leftChars="0" w:firstLine="480"/>
              <w:rPr>
                <w:rFonts w:ascii="宋体" w:hAnsi="宋体"/>
                <w:sz w:val="24"/>
              </w:rPr>
            </w:pPr>
            <w:r>
              <w:rPr>
                <w:rFonts w:hint="eastAsia"/>
                <w:sz w:val="24"/>
              </w:rPr>
              <w:t>e</w:t>
            </w:r>
            <w:r>
              <w:rPr>
                <w:rFonts w:hint="eastAsia" w:ascii="宋体" w:hAnsi="宋体"/>
                <w:sz w:val="24"/>
              </w:rPr>
              <w:t>、危废暂存间应由专人管理，按规定设置警示标志。危险废物暂存区内清理出来的泄漏物，一律按危险废物处理。</w:t>
            </w:r>
          </w:p>
          <w:p>
            <w:pPr>
              <w:pStyle w:val="2"/>
              <w:spacing w:after="0" w:line="360" w:lineRule="auto"/>
              <w:ind w:left="0" w:leftChars="0" w:firstLine="480"/>
              <w:rPr>
                <w:rFonts w:ascii="宋体" w:hAnsi="宋体"/>
                <w:sz w:val="24"/>
              </w:rPr>
            </w:pPr>
            <w:r>
              <w:rPr>
                <w:rFonts w:hint="eastAsia"/>
                <w:sz w:val="24"/>
              </w:rPr>
              <w:t>f</w:t>
            </w:r>
            <w:r>
              <w:rPr>
                <w:rFonts w:hint="eastAsia" w:ascii="宋体" w:hAnsi="宋体"/>
                <w:sz w:val="24"/>
              </w:rPr>
              <w:t>、贮存危险废物应根据危险废物的类别、形态、物理化学性质和污染防治要求进行分类贮存，且应避免危险废物与不相容的物质或材料接触。</w:t>
            </w:r>
          </w:p>
          <w:p>
            <w:pPr>
              <w:pStyle w:val="2"/>
              <w:spacing w:after="0" w:line="360" w:lineRule="auto"/>
              <w:ind w:left="0" w:leftChars="0" w:firstLine="480"/>
              <w:rPr>
                <w:rFonts w:ascii="宋体" w:hAnsi="宋体"/>
                <w:sz w:val="24"/>
              </w:rPr>
            </w:pPr>
            <w:r>
              <w:rPr>
                <w:rFonts w:hint="eastAsia"/>
                <w:sz w:val="24"/>
              </w:rPr>
              <w:t>g</w:t>
            </w:r>
            <w:r>
              <w:rPr>
                <w:rFonts w:hint="eastAsia" w:ascii="宋体" w:hAnsi="宋体"/>
                <w:sz w:val="24"/>
              </w:rPr>
              <w:t>、危险废物贮存过程产生的液态废物和固态废物应分类收集，按其环境管理要求妥善处理。</w:t>
            </w:r>
          </w:p>
          <w:p>
            <w:pPr>
              <w:pStyle w:val="2"/>
              <w:spacing w:after="0" w:line="360" w:lineRule="auto"/>
              <w:ind w:left="0" w:leftChars="0" w:firstLine="480"/>
              <w:rPr>
                <w:rFonts w:ascii="宋体" w:hAnsi="宋体"/>
                <w:sz w:val="24"/>
              </w:rPr>
            </w:pPr>
            <w:r>
              <w:rPr>
                <w:rFonts w:hint="eastAsia"/>
                <w:sz w:val="24"/>
              </w:rPr>
              <w:t>h</w:t>
            </w:r>
            <w:r>
              <w:rPr>
                <w:rFonts w:hint="eastAsia" w:ascii="宋体" w:hAnsi="宋体"/>
                <w:sz w:val="24"/>
              </w:rPr>
              <w:t>、贮存设施或场所、容器和包装物应按《危险废物识别标志设置技术规范》要求设置危险废物贮存设施或场所标志、危险废物贮存分区标志和危险废物标签等危险废物识别标志。</w:t>
            </w:r>
          </w:p>
          <w:p>
            <w:pPr>
              <w:spacing w:line="360" w:lineRule="auto"/>
              <w:ind w:firstLine="480" w:firstLineChars="200"/>
              <w:rPr>
                <w:rFonts w:ascii="宋体" w:hAnsi="宋体"/>
                <w:sz w:val="24"/>
              </w:rPr>
            </w:pPr>
            <w:r>
              <w:rPr>
                <w:rFonts w:ascii="宋体" w:hAnsi="宋体"/>
                <w:sz w:val="24"/>
              </w:rPr>
              <w:t>本项目运营期固体废物排放及治理措施汇总如下：</w:t>
            </w:r>
          </w:p>
          <w:p>
            <w:pPr>
              <w:pStyle w:val="61"/>
              <w:spacing w:line="360" w:lineRule="auto"/>
              <w:ind w:firstLine="482" w:firstLineChars="200"/>
              <w:rPr>
                <w:rFonts w:eastAsiaTheme="minorEastAsia"/>
              </w:rPr>
            </w:pPr>
            <w:r>
              <w:rPr>
                <w:rFonts w:eastAsiaTheme="minorEastAsia"/>
              </w:rPr>
              <w:t>表4-16固体废物排放及治理措施</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819"/>
              <w:gridCol w:w="1175"/>
              <w:gridCol w:w="1225"/>
              <w:gridCol w:w="3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rPr>
                  </w:pPr>
                  <w:r>
                    <w:rPr>
                      <w:rFonts w:ascii="Times New Roman" w:hAnsi="Times New Roman" w:eastAsiaTheme="minorEastAsia"/>
                      <w:b/>
                    </w:rPr>
                    <w:t>序号</w:t>
                  </w:r>
                </w:p>
              </w:tc>
              <w:tc>
                <w:tcPr>
                  <w:tcW w:w="1038" w:type="pct"/>
                  <w:vAlign w:val="center"/>
                </w:tcPr>
                <w:p>
                  <w:pPr>
                    <w:pStyle w:val="79"/>
                    <w:rPr>
                      <w:rFonts w:ascii="Times New Roman" w:hAnsi="Times New Roman" w:eastAsiaTheme="minorEastAsia"/>
                      <w:b/>
                    </w:rPr>
                  </w:pPr>
                  <w:r>
                    <w:rPr>
                      <w:rFonts w:ascii="Times New Roman" w:hAnsi="Times New Roman" w:eastAsiaTheme="minorEastAsia"/>
                      <w:b/>
                    </w:rPr>
                    <w:t>种类</w:t>
                  </w:r>
                </w:p>
              </w:tc>
              <w:tc>
                <w:tcPr>
                  <w:tcW w:w="671" w:type="pct"/>
                  <w:vAlign w:val="center"/>
                </w:tcPr>
                <w:p>
                  <w:pPr>
                    <w:pStyle w:val="79"/>
                    <w:rPr>
                      <w:rFonts w:ascii="Times New Roman" w:hAnsi="Times New Roman" w:eastAsiaTheme="minorEastAsia"/>
                      <w:b/>
                    </w:rPr>
                  </w:pPr>
                  <w:r>
                    <w:rPr>
                      <w:rFonts w:ascii="Times New Roman" w:hAnsi="Times New Roman" w:eastAsiaTheme="minorEastAsia"/>
                      <w:b/>
                    </w:rPr>
                    <w:t>产量</w:t>
                  </w:r>
                </w:p>
              </w:tc>
              <w:tc>
                <w:tcPr>
                  <w:tcW w:w="699" w:type="pct"/>
                  <w:vAlign w:val="center"/>
                </w:tcPr>
                <w:p>
                  <w:pPr>
                    <w:pStyle w:val="79"/>
                    <w:rPr>
                      <w:rFonts w:ascii="Times New Roman" w:hAnsi="Times New Roman" w:eastAsiaTheme="minorEastAsia"/>
                      <w:b/>
                    </w:rPr>
                  </w:pPr>
                  <w:r>
                    <w:rPr>
                      <w:rFonts w:ascii="Times New Roman" w:hAnsi="Times New Roman" w:eastAsiaTheme="minorEastAsia"/>
                      <w:b/>
                    </w:rPr>
                    <w:t>排放量</w:t>
                  </w:r>
                </w:p>
              </w:tc>
              <w:tc>
                <w:tcPr>
                  <w:tcW w:w="2066" w:type="pct"/>
                  <w:vAlign w:val="center"/>
                </w:tcPr>
                <w:p>
                  <w:pPr>
                    <w:pStyle w:val="79"/>
                    <w:rPr>
                      <w:rFonts w:ascii="Times New Roman" w:hAnsi="Times New Roman" w:eastAsiaTheme="minorEastAsia"/>
                      <w:b/>
                    </w:rPr>
                  </w:pPr>
                  <w:r>
                    <w:rPr>
                      <w:rFonts w:ascii="Times New Roman" w:hAnsi="Times New Roman" w:eastAsiaTheme="minorEastAsia"/>
                      <w:b/>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bCs/>
                    </w:rPr>
                  </w:pPr>
                  <w:r>
                    <w:rPr>
                      <w:rFonts w:ascii="Times New Roman" w:hAnsi="Times New Roman" w:eastAsiaTheme="minorEastAsia"/>
                      <w:b/>
                      <w:bCs/>
                    </w:rPr>
                    <w:t>1</w:t>
                  </w:r>
                </w:p>
              </w:tc>
              <w:tc>
                <w:tcPr>
                  <w:tcW w:w="1038" w:type="pct"/>
                  <w:vAlign w:val="center"/>
                </w:tcPr>
                <w:p>
                  <w:pPr>
                    <w:pStyle w:val="79"/>
                    <w:rPr>
                      <w:rFonts w:ascii="Times New Roman" w:hAnsi="Times New Roman" w:eastAsiaTheme="minorEastAsia"/>
                    </w:rPr>
                  </w:pPr>
                  <w:r>
                    <w:rPr>
                      <w:rFonts w:ascii="Times New Roman" w:hAnsi="Times New Roman" w:eastAsiaTheme="minorEastAsia"/>
                    </w:rPr>
                    <w:t>生活垃圾</w:t>
                  </w:r>
                </w:p>
              </w:tc>
              <w:tc>
                <w:tcPr>
                  <w:tcW w:w="671" w:type="pct"/>
                  <w:vAlign w:val="center"/>
                </w:tcPr>
                <w:p>
                  <w:pPr>
                    <w:pStyle w:val="79"/>
                    <w:rPr>
                      <w:rFonts w:ascii="Times New Roman" w:hAnsi="Times New Roman" w:eastAsiaTheme="minorEastAsia"/>
                    </w:rPr>
                  </w:pPr>
                  <w:r>
                    <w:rPr>
                      <w:rFonts w:ascii="Times New Roman" w:hAnsi="Times New Roman" w:eastAsiaTheme="minorEastAsia"/>
                    </w:rPr>
                    <w:t>4.2t/a</w:t>
                  </w:r>
                </w:p>
              </w:tc>
              <w:tc>
                <w:tcPr>
                  <w:tcW w:w="699" w:type="pct"/>
                  <w:vAlign w:val="center"/>
                </w:tcPr>
                <w:p>
                  <w:pPr>
                    <w:pStyle w:val="79"/>
                    <w:rPr>
                      <w:rFonts w:ascii="Times New Roman" w:hAnsi="Times New Roman" w:eastAsiaTheme="minorEastAsia"/>
                    </w:rPr>
                  </w:pPr>
                  <w:r>
                    <w:rPr>
                      <w:rFonts w:ascii="Times New Roman" w:hAnsi="Times New Roman" w:eastAsiaTheme="minorEastAsia"/>
                    </w:rPr>
                    <w:t>0</w:t>
                  </w:r>
                </w:p>
              </w:tc>
              <w:tc>
                <w:tcPr>
                  <w:tcW w:w="2066" w:type="pct"/>
                  <w:vAlign w:val="center"/>
                </w:tcPr>
                <w:p>
                  <w:pPr>
                    <w:pStyle w:val="79"/>
                    <w:rPr>
                      <w:rFonts w:ascii="Times New Roman" w:hAnsi="Times New Roman" w:eastAsiaTheme="minorEastAsia"/>
                    </w:rPr>
                  </w:pPr>
                  <w:r>
                    <w:rPr>
                      <w:rFonts w:ascii="Times New Roman" w:hAnsi="Times New Roman" w:eastAsiaTheme="minorEastAsia"/>
                    </w:rPr>
                    <w:t>垃圾桶收集，环卫部门统一清运处理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bCs/>
                    </w:rPr>
                  </w:pPr>
                  <w:r>
                    <w:rPr>
                      <w:rFonts w:ascii="Times New Roman" w:hAnsi="Times New Roman" w:eastAsiaTheme="minorEastAsia"/>
                      <w:b/>
                      <w:bCs/>
                    </w:rPr>
                    <w:t>2</w:t>
                  </w:r>
                </w:p>
              </w:tc>
              <w:tc>
                <w:tcPr>
                  <w:tcW w:w="1038" w:type="pct"/>
                  <w:vAlign w:val="center"/>
                </w:tcPr>
                <w:p>
                  <w:pPr>
                    <w:pStyle w:val="79"/>
                    <w:rPr>
                      <w:rFonts w:ascii="Times New Roman" w:hAnsi="Times New Roman" w:eastAsiaTheme="minorEastAsia"/>
                    </w:rPr>
                  </w:pPr>
                  <w:r>
                    <w:rPr>
                      <w:rFonts w:ascii="Times New Roman" w:hAnsi="Times New Roman" w:eastAsiaTheme="minorEastAsia"/>
                    </w:rPr>
                    <w:t>沉淀池沉渣</w:t>
                  </w:r>
                </w:p>
              </w:tc>
              <w:tc>
                <w:tcPr>
                  <w:tcW w:w="671" w:type="pct"/>
                  <w:vAlign w:val="center"/>
                </w:tcPr>
                <w:p>
                  <w:pPr>
                    <w:pStyle w:val="79"/>
                    <w:rPr>
                      <w:rFonts w:ascii="Times New Roman" w:hAnsi="Times New Roman" w:eastAsiaTheme="minorEastAsia"/>
                    </w:rPr>
                  </w:pPr>
                  <w:r>
                    <w:rPr>
                      <w:rFonts w:ascii="Times New Roman" w:hAnsi="Times New Roman" w:eastAsiaTheme="minorEastAsia"/>
                    </w:rPr>
                    <w:t>4t/a</w:t>
                  </w:r>
                </w:p>
              </w:tc>
              <w:tc>
                <w:tcPr>
                  <w:tcW w:w="699" w:type="pct"/>
                  <w:vAlign w:val="center"/>
                </w:tcPr>
                <w:p>
                  <w:pPr>
                    <w:pStyle w:val="79"/>
                    <w:rPr>
                      <w:rFonts w:ascii="Times New Roman" w:hAnsi="Times New Roman" w:eastAsiaTheme="minorEastAsia"/>
                    </w:rPr>
                  </w:pPr>
                  <w:r>
                    <w:rPr>
                      <w:rFonts w:ascii="Times New Roman" w:hAnsi="Times New Roman" w:eastAsiaTheme="minorEastAsia"/>
                    </w:rPr>
                    <w:t>0</w:t>
                  </w:r>
                </w:p>
              </w:tc>
              <w:tc>
                <w:tcPr>
                  <w:tcW w:w="2066" w:type="pct"/>
                  <w:vAlign w:val="center"/>
                </w:tcPr>
                <w:p>
                  <w:pPr>
                    <w:pStyle w:val="79"/>
                    <w:rPr>
                      <w:rFonts w:ascii="Times New Roman" w:hAnsi="Times New Roman" w:eastAsiaTheme="minorEastAsia"/>
                    </w:rPr>
                  </w:pPr>
                  <w:r>
                    <w:rPr>
                      <w:rFonts w:ascii="Times New Roman" w:hAnsi="Times New Roman" w:eastAsiaTheme="minorEastAsia"/>
                    </w:rPr>
                    <w:t>回用于生产线，不外排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bCs/>
                    </w:rPr>
                  </w:pPr>
                  <w:r>
                    <w:rPr>
                      <w:rFonts w:ascii="Times New Roman" w:hAnsi="Times New Roman" w:eastAsiaTheme="minorEastAsia"/>
                      <w:b/>
                      <w:bCs/>
                    </w:rPr>
                    <w:t>3</w:t>
                  </w:r>
                </w:p>
              </w:tc>
              <w:tc>
                <w:tcPr>
                  <w:tcW w:w="1038" w:type="pct"/>
                  <w:vAlign w:val="center"/>
                </w:tcPr>
                <w:p>
                  <w:pPr>
                    <w:pStyle w:val="79"/>
                    <w:rPr>
                      <w:rFonts w:ascii="Times New Roman" w:hAnsi="Times New Roman" w:eastAsiaTheme="minorEastAsia"/>
                    </w:rPr>
                  </w:pPr>
                  <w:r>
                    <w:rPr>
                      <w:rFonts w:ascii="Times New Roman" w:hAnsi="Times New Roman" w:eastAsiaTheme="minorEastAsia"/>
                    </w:rPr>
                    <w:t>布袋除尘器收集的粉尘</w:t>
                  </w:r>
                </w:p>
              </w:tc>
              <w:tc>
                <w:tcPr>
                  <w:tcW w:w="671" w:type="pct"/>
                  <w:vAlign w:val="center"/>
                </w:tcPr>
                <w:p>
                  <w:pPr>
                    <w:pStyle w:val="79"/>
                    <w:rPr>
                      <w:rFonts w:ascii="Times New Roman" w:hAnsi="Times New Roman" w:eastAsiaTheme="minorEastAsia"/>
                    </w:rPr>
                  </w:pPr>
                  <w:r>
                    <w:rPr>
                      <w:rFonts w:ascii="Times New Roman" w:hAnsi="Times New Roman" w:eastAsiaTheme="minorEastAsia"/>
                    </w:rPr>
                    <w:t>13.2t/a</w:t>
                  </w:r>
                </w:p>
              </w:tc>
              <w:tc>
                <w:tcPr>
                  <w:tcW w:w="699" w:type="pct"/>
                  <w:vAlign w:val="center"/>
                </w:tcPr>
                <w:p>
                  <w:pPr>
                    <w:pStyle w:val="79"/>
                    <w:rPr>
                      <w:rFonts w:ascii="Times New Roman" w:hAnsi="Times New Roman" w:eastAsiaTheme="minorEastAsia"/>
                    </w:rPr>
                  </w:pPr>
                  <w:r>
                    <w:rPr>
                      <w:rFonts w:ascii="Times New Roman" w:hAnsi="Times New Roman" w:eastAsiaTheme="minorEastAsia"/>
                    </w:rPr>
                    <w:t>0</w:t>
                  </w:r>
                </w:p>
              </w:tc>
              <w:tc>
                <w:tcPr>
                  <w:tcW w:w="2066" w:type="pct"/>
                  <w:vAlign w:val="center"/>
                </w:tcPr>
                <w:p>
                  <w:pPr>
                    <w:pStyle w:val="79"/>
                    <w:rPr>
                      <w:rFonts w:ascii="Times New Roman" w:hAnsi="Times New Roman" w:eastAsiaTheme="minorEastAsia"/>
                    </w:rPr>
                  </w:pPr>
                  <w:r>
                    <w:rPr>
                      <w:rFonts w:ascii="Times New Roman" w:hAnsi="Times New Roman" w:eastAsiaTheme="minorEastAsia"/>
                    </w:rPr>
                    <w:t>回用于生产线，不外排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bCs/>
                    </w:rPr>
                  </w:pPr>
                  <w:r>
                    <w:rPr>
                      <w:rFonts w:ascii="Times New Roman" w:hAnsi="Times New Roman" w:eastAsiaTheme="minorEastAsia"/>
                      <w:b/>
                      <w:bCs/>
                    </w:rPr>
                    <w:t>4</w:t>
                  </w:r>
                </w:p>
              </w:tc>
              <w:tc>
                <w:tcPr>
                  <w:tcW w:w="1038" w:type="pct"/>
                  <w:vAlign w:val="center"/>
                </w:tcPr>
                <w:p>
                  <w:pPr>
                    <w:pStyle w:val="79"/>
                    <w:rPr>
                      <w:rFonts w:ascii="Times New Roman" w:hAnsi="Times New Roman" w:eastAsiaTheme="minorEastAsia"/>
                    </w:rPr>
                  </w:pPr>
                  <w:r>
                    <w:rPr>
                      <w:rFonts w:ascii="Times New Roman" w:hAnsi="Times New Roman" w:eastAsiaTheme="minorEastAsia"/>
                    </w:rPr>
                    <w:t>不合格品</w:t>
                  </w:r>
                </w:p>
              </w:tc>
              <w:tc>
                <w:tcPr>
                  <w:tcW w:w="671" w:type="pct"/>
                  <w:vAlign w:val="center"/>
                </w:tcPr>
                <w:p>
                  <w:pPr>
                    <w:pStyle w:val="79"/>
                    <w:rPr>
                      <w:rFonts w:ascii="Times New Roman" w:hAnsi="Times New Roman" w:eastAsiaTheme="minorEastAsia"/>
                    </w:rPr>
                  </w:pPr>
                  <w:r>
                    <w:rPr>
                      <w:rFonts w:ascii="Times New Roman" w:hAnsi="Times New Roman" w:eastAsiaTheme="minorEastAsia"/>
                    </w:rPr>
                    <w:t>29.76t/a</w:t>
                  </w:r>
                </w:p>
              </w:tc>
              <w:tc>
                <w:tcPr>
                  <w:tcW w:w="699" w:type="pct"/>
                  <w:vAlign w:val="center"/>
                </w:tcPr>
                <w:p>
                  <w:pPr>
                    <w:pStyle w:val="79"/>
                    <w:rPr>
                      <w:rFonts w:ascii="Times New Roman" w:hAnsi="Times New Roman" w:eastAsiaTheme="minorEastAsia"/>
                    </w:rPr>
                  </w:pPr>
                  <w:r>
                    <w:rPr>
                      <w:rFonts w:ascii="Times New Roman" w:hAnsi="Times New Roman" w:eastAsiaTheme="minorEastAsia"/>
                    </w:rPr>
                    <w:t>0</w:t>
                  </w:r>
                </w:p>
              </w:tc>
              <w:tc>
                <w:tcPr>
                  <w:tcW w:w="2066" w:type="pct"/>
                  <w:vAlign w:val="center"/>
                </w:tcPr>
                <w:p>
                  <w:pPr>
                    <w:pStyle w:val="79"/>
                    <w:rPr>
                      <w:rFonts w:ascii="Times New Roman" w:hAnsi="Times New Roman" w:eastAsiaTheme="minorEastAsia"/>
                    </w:rPr>
                  </w:pPr>
                  <w:r>
                    <w:rPr>
                      <w:rFonts w:ascii="Times New Roman" w:hAnsi="Times New Roman" w:eastAsiaTheme="minorEastAsia"/>
                    </w:rPr>
                    <w:t>回用于生产线，不外排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pct"/>
                  <w:vAlign w:val="center"/>
                </w:tcPr>
                <w:p>
                  <w:pPr>
                    <w:pStyle w:val="79"/>
                    <w:rPr>
                      <w:rFonts w:ascii="Times New Roman" w:hAnsi="Times New Roman" w:eastAsiaTheme="minorEastAsia"/>
                      <w:b/>
                      <w:bCs/>
                    </w:rPr>
                  </w:pPr>
                  <w:r>
                    <w:rPr>
                      <w:rFonts w:hint="eastAsia" w:ascii="Times New Roman" w:hAnsi="Times New Roman" w:eastAsiaTheme="minorEastAsia"/>
                      <w:b/>
                      <w:bCs/>
                    </w:rPr>
                    <w:t>5</w:t>
                  </w:r>
                </w:p>
              </w:tc>
              <w:tc>
                <w:tcPr>
                  <w:tcW w:w="1038" w:type="pct"/>
                  <w:vAlign w:val="center"/>
                </w:tcPr>
                <w:p>
                  <w:pPr>
                    <w:pStyle w:val="79"/>
                    <w:rPr>
                      <w:rFonts w:ascii="Times New Roman" w:hAnsi="Times New Roman" w:eastAsiaTheme="minorEastAsia"/>
                    </w:rPr>
                  </w:pPr>
                  <w:r>
                    <w:rPr>
                      <w:rFonts w:hint="eastAsia" w:ascii="Times New Roman" w:hAnsi="Times New Roman" w:eastAsiaTheme="minorEastAsia"/>
                    </w:rPr>
                    <w:t>废机油等</w:t>
                  </w:r>
                </w:p>
              </w:tc>
              <w:tc>
                <w:tcPr>
                  <w:tcW w:w="671" w:type="pct"/>
                  <w:vAlign w:val="center"/>
                </w:tcPr>
                <w:p>
                  <w:pPr>
                    <w:pStyle w:val="79"/>
                    <w:rPr>
                      <w:rFonts w:ascii="Times New Roman" w:hAnsi="Times New Roman" w:eastAsiaTheme="minorEastAsia"/>
                    </w:rPr>
                  </w:pPr>
                  <w:r>
                    <w:rPr>
                      <w:rFonts w:hint="eastAsia" w:ascii="Times New Roman" w:hAnsi="Times New Roman" w:eastAsiaTheme="minorEastAsia"/>
                    </w:rPr>
                    <w:t>0</w:t>
                  </w:r>
                  <w:r>
                    <w:rPr>
                      <w:rFonts w:ascii="Times New Roman" w:hAnsi="Times New Roman" w:eastAsiaTheme="minorEastAsia"/>
                    </w:rPr>
                    <w:t>.025 t/a</w:t>
                  </w:r>
                </w:p>
              </w:tc>
              <w:tc>
                <w:tcPr>
                  <w:tcW w:w="699" w:type="pct"/>
                  <w:vAlign w:val="center"/>
                </w:tcPr>
                <w:p>
                  <w:pPr>
                    <w:pStyle w:val="79"/>
                    <w:rPr>
                      <w:rFonts w:ascii="Times New Roman" w:hAnsi="Times New Roman" w:eastAsiaTheme="minorEastAsia"/>
                    </w:rPr>
                  </w:pPr>
                  <w:r>
                    <w:rPr>
                      <w:rFonts w:hint="eastAsia" w:ascii="Times New Roman" w:hAnsi="Times New Roman" w:eastAsiaTheme="minorEastAsia"/>
                    </w:rPr>
                    <w:t>0</w:t>
                  </w:r>
                </w:p>
              </w:tc>
              <w:tc>
                <w:tcPr>
                  <w:tcW w:w="2066" w:type="pct"/>
                  <w:vAlign w:val="center"/>
                </w:tcPr>
                <w:p>
                  <w:pPr>
                    <w:pStyle w:val="79"/>
                    <w:rPr>
                      <w:rFonts w:ascii="Times New Roman" w:hAnsi="Times New Roman" w:eastAsiaTheme="minorEastAsia"/>
                    </w:rPr>
                  </w:pPr>
                  <w:r>
                    <w:rPr>
                      <w:rFonts w:hint="eastAsia" w:ascii="Times New Roman" w:hAnsi="Times New Roman" w:eastAsiaTheme="minorEastAsia"/>
                    </w:rPr>
                    <w:t>交由资质单位处置</w:t>
                  </w:r>
                </w:p>
              </w:tc>
            </w:tr>
          </w:tbl>
          <w:p>
            <w:pPr>
              <w:spacing w:before="120" w:beforeLines="50" w:line="360" w:lineRule="auto"/>
              <w:ind w:firstLine="482" w:firstLineChars="200"/>
              <w:rPr>
                <w:rFonts w:eastAsiaTheme="minorEastAsia"/>
                <w:b/>
                <w:sz w:val="24"/>
              </w:rPr>
            </w:pPr>
            <w:r>
              <w:rPr>
                <w:rFonts w:eastAsiaTheme="minorEastAsia"/>
                <w:b/>
                <w:sz w:val="24"/>
              </w:rPr>
              <w:t>综上，项目固废采取以上合理的处置措施后，去向明确，不会对周围环境造成明显影响。</w:t>
            </w:r>
          </w:p>
          <w:p>
            <w:pPr>
              <w:spacing w:line="360" w:lineRule="auto"/>
              <w:rPr>
                <w:rFonts w:eastAsiaTheme="minorEastAsia"/>
                <w:sz w:val="24"/>
              </w:rPr>
            </w:pPr>
            <w:r>
              <w:rPr>
                <w:rFonts w:eastAsiaTheme="minorEastAsia"/>
                <w:b/>
                <w:kern w:val="28"/>
                <w:sz w:val="24"/>
              </w:rPr>
              <w:t>5、地下水、土壤</w:t>
            </w:r>
          </w:p>
          <w:p>
            <w:pPr>
              <w:spacing w:line="360" w:lineRule="auto"/>
              <w:ind w:firstLine="480" w:firstLineChars="200"/>
              <w:rPr>
                <w:rFonts w:eastAsiaTheme="minorEastAsia"/>
                <w:bCs/>
                <w:sz w:val="24"/>
              </w:rPr>
            </w:pPr>
            <w:r>
              <w:rPr>
                <w:rFonts w:eastAsiaTheme="minorEastAsia"/>
                <w:bCs/>
                <w:sz w:val="24"/>
              </w:rPr>
              <w:t>根据项目特点，本项目的</w:t>
            </w:r>
            <w:r>
              <w:rPr>
                <w:rFonts w:hint="eastAsia" w:eastAsiaTheme="minorEastAsia"/>
                <w:bCs/>
                <w:sz w:val="24"/>
              </w:rPr>
              <w:t>危废间，</w:t>
            </w:r>
            <w:r>
              <w:rPr>
                <w:rFonts w:eastAsiaTheme="minorEastAsia"/>
                <w:bCs/>
                <w:sz w:val="24"/>
              </w:rPr>
              <w:t>沉淀池、导流沟可能存在一定污染地下水的途径</w:t>
            </w:r>
            <w:r>
              <w:rPr>
                <w:rFonts w:hint="eastAsia" w:eastAsiaTheme="minorEastAsia"/>
                <w:bCs/>
                <w:sz w:val="24"/>
              </w:rPr>
              <w:t>，根据“源头控制、分区防治、污染监控、应急响应”的地下水防治原则思路，厂区针对地下水污染采取分区防渗措施，将厂区分为重点防渗区、一般防渗区、简单防渗区，分别采取不同的防渗方案:</w:t>
            </w:r>
          </w:p>
          <w:p>
            <w:pPr>
              <w:spacing w:line="360" w:lineRule="auto"/>
              <w:ind w:firstLine="480" w:firstLineChars="200"/>
              <w:rPr>
                <w:rFonts w:eastAsiaTheme="minorEastAsia"/>
                <w:bCs/>
                <w:sz w:val="24"/>
              </w:rPr>
            </w:pPr>
            <w:r>
              <w:rPr>
                <w:rFonts w:hint="eastAsia" w:eastAsiaTheme="minorEastAsia"/>
                <w:bCs/>
                <w:sz w:val="24"/>
              </w:rPr>
              <w:t>A、重点防渗区:危废暂存间等。</w:t>
            </w:r>
          </w:p>
          <w:p>
            <w:pPr>
              <w:spacing w:line="360" w:lineRule="auto"/>
              <w:ind w:firstLine="480" w:firstLineChars="200"/>
              <w:rPr>
                <w:rFonts w:eastAsiaTheme="minorEastAsia"/>
                <w:bCs/>
                <w:sz w:val="24"/>
              </w:rPr>
            </w:pPr>
            <w:r>
              <w:rPr>
                <w:rFonts w:hint="eastAsia" w:eastAsiaTheme="minorEastAsia"/>
                <w:bCs/>
                <w:sz w:val="24"/>
              </w:rPr>
              <w:t>防渗方案:危废暂存间按照《危险废物贮存污染控制标准》(GB18597-2023）要求，地面均采用粘土铺底，再在上层铺10~15cm的水泥进行硬化+采用至少2mm厚的其他人工材料，确保各单元防渗层渗透系数≤10</w:t>
            </w:r>
            <w:r>
              <w:rPr>
                <w:rFonts w:hint="eastAsia" w:eastAsiaTheme="minorEastAsia"/>
                <w:bCs/>
                <w:sz w:val="24"/>
                <w:vertAlign w:val="superscript"/>
              </w:rPr>
              <w:t>-10</w:t>
            </w:r>
            <w:r>
              <w:rPr>
                <w:rFonts w:hint="eastAsia" w:eastAsiaTheme="minorEastAsia"/>
                <w:bCs/>
                <w:sz w:val="24"/>
              </w:rPr>
              <w:t>cm/s。</w:t>
            </w:r>
          </w:p>
          <w:p>
            <w:pPr>
              <w:spacing w:line="360" w:lineRule="auto"/>
              <w:ind w:firstLine="480" w:firstLineChars="200"/>
              <w:rPr>
                <w:rFonts w:eastAsiaTheme="minorEastAsia"/>
                <w:bCs/>
                <w:sz w:val="24"/>
              </w:rPr>
            </w:pPr>
            <w:r>
              <w:rPr>
                <w:rFonts w:hint="eastAsia" w:eastAsiaTheme="minorEastAsia"/>
                <w:bCs/>
                <w:sz w:val="24"/>
              </w:rPr>
              <w:t>B、一般防渗区:生产车间、一般固废暂存间，沉淀池等。</w:t>
            </w:r>
          </w:p>
          <w:p>
            <w:pPr>
              <w:spacing w:line="360" w:lineRule="auto"/>
              <w:ind w:firstLine="480" w:firstLineChars="200"/>
              <w:rPr>
                <w:rFonts w:eastAsiaTheme="minorEastAsia"/>
                <w:bCs/>
                <w:sz w:val="24"/>
              </w:rPr>
            </w:pPr>
            <w:r>
              <w:rPr>
                <w:rFonts w:hint="eastAsia" w:eastAsiaTheme="minorEastAsia"/>
                <w:bCs/>
                <w:sz w:val="24"/>
              </w:rPr>
              <w:t>防渗方案:地面硬化，并进行防腐防渗处理，P4强度商品混凝土铺底，确保符合等效黏土防渗层Mb≥1.5m，K≤10</w:t>
            </w:r>
            <w:r>
              <w:rPr>
                <w:rFonts w:hint="eastAsia" w:eastAsiaTheme="minorEastAsia"/>
                <w:bCs/>
                <w:sz w:val="24"/>
                <w:vertAlign w:val="superscript"/>
              </w:rPr>
              <w:t>-7</w:t>
            </w:r>
            <w:r>
              <w:rPr>
                <w:rFonts w:hint="eastAsia" w:eastAsiaTheme="minorEastAsia"/>
                <w:bCs/>
                <w:sz w:val="24"/>
              </w:rPr>
              <w:t>cm/s 的一般防渗区防渗技术要求。</w:t>
            </w:r>
          </w:p>
          <w:p>
            <w:pPr>
              <w:spacing w:line="360" w:lineRule="auto"/>
              <w:ind w:firstLine="480" w:firstLineChars="200"/>
              <w:rPr>
                <w:rFonts w:eastAsiaTheme="minorEastAsia"/>
                <w:bCs/>
                <w:sz w:val="24"/>
              </w:rPr>
            </w:pPr>
            <w:r>
              <w:rPr>
                <w:rFonts w:hint="eastAsia" w:eastAsiaTheme="minorEastAsia"/>
                <w:bCs/>
                <w:sz w:val="24"/>
              </w:rPr>
              <w:t>C、简单防渗区:其他区域。</w:t>
            </w:r>
          </w:p>
          <w:p>
            <w:pPr>
              <w:spacing w:line="360" w:lineRule="auto"/>
              <w:ind w:firstLine="480" w:firstLineChars="200"/>
              <w:rPr>
                <w:rFonts w:eastAsiaTheme="minorEastAsia"/>
                <w:bCs/>
                <w:sz w:val="24"/>
              </w:rPr>
            </w:pPr>
            <w:r>
              <w:rPr>
                <w:rFonts w:hint="eastAsia" w:eastAsiaTheme="minorEastAsia"/>
                <w:bCs/>
                <w:sz w:val="24"/>
              </w:rPr>
              <w:t>防渗方案:地面采取一般水泥硬化即可。</w:t>
            </w:r>
          </w:p>
          <w:p>
            <w:pPr>
              <w:pStyle w:val="2"/>
              <w:spacing w:after="0" w:line="360" w:lineRule="auto"/>
              <w:ind w:left="0" w:leftChars="0" w:firstLine="480"/>
              <w:rPr>
                <w:rFonts w:ascii="宋体" w:hAnsi="宋体"/>
                <w:sz w:val="24"/>
              </w:rPr>
            </w:pPr>
            <w:r>
              <w:rPr>
                <w:rFonts w:hint="eastAsia" w:ascii="宋体" w:hAnsi="宋体"/>
                <w:sz w:val="24"/>
              </w:rPr>
              <w:t>项目对土壤的潜在污染可能来自于项目使用的废机油等，污染因子为废矿物油，主要污染途径为物料储存过程发生泄漏、漫流，导致土壤污染;或因沾染有污染物的容器或设备露天堆放，经雨水冲刷导致污染物进入土壤造成污染。项目拟通过加强危废暂存间的防渗措施，同时配套设置围堰，防止泄漏事故情况下物料漫流或下渗造成土壤污染﹔同时加强管理，禁止露天堆放固废、废旧设备，避免雨水冲刷导致污染物进入土壤造成污染。采取措施后，项目对土壤污染较小，可不改变区域土壤环境功能等级。</w:t>
            </w:r>
          </w:p>
          <w:p>
            <w:pPr>
              <w:spacing w:line="360" w:lineRule="auto"/>
              <w:ind w:firstLine="480" w:firstLineChars="200"/>
              <w:rPr>
                <w:rFonts w:eastAsiaTheme="minorEastAsia"/>
                <w:sz w:val="24"/>
              </w:rPr>
            </w:pPr>
            <w:r>
              <w:rPr>
                <w:rFonts w:eastAsiaTheme="minorEastAsia"/>
                <w:sz w:val="24"/>
              </w:rPr>
              <w:t>综上，在确保防渗措施得以有效落实，并加强维护厂区环境管理的前提下，可有效控制污染物下渗现象，不会对评价区域地下水、土壤环境质量造成污染影响。</w:t>
            </w:r>
          </w:p>
          <w:p>
            <w:pPr>
              <w:spacing w:line="360" w:lineRule="auto"/>
              <w:rPr>
                <w:rFonts w:eastAsiaTheme="minorEastAsia"/>
                <w:b/>
                <w:kern w:val="28"/>
                <w:sz w:val="24"/>
              </w:rPr>
            </w:pPr>
            <w:r>
              <w:rPr>
                <w:rFonts w:eastAsiaTheme="minorEastAsia"/>
                <w:b/>
                <w:kern w:val="28"/>
                <w:sz w:val="24"/>
              </w:rPr>
              <w:t>6</w:t>
            </w:r>
            <w:r>
              <w:rPr>
                <w:b/>
                <w:sz w:val="24"/>
              </w:rPr>
              <w:t>、</w:t>
            </w:r>
            <w:r>
              <w:rPr>
                <w:rFonts w:eastAsiaTheme="minorEastAsia"/>
                <w:b/>
                <w:kern w:val="28"/>
                <w:sz w:val="24"/>
              </w:rPr>
              <w:t>生态</w:t>
            </w:r>
          </w:p>
          <w:p>
            <w:pPr>
              <w:spacing w:line="360" w:lineRule="auto"/>
              <w:ind w:firstLine="480" w:firstLineChars="200"/>
              <w:rPr>
                <w:rFonts w:eastAsiaTheme="minorEastAsia"/>
                <w:sz w:val="24"/>
              </w:rPr>
            </w:pPr>
            <w:r>
              <w:rPr>
                <w:rFonts w:eastAsiaTheme="minorEastAsia"/>
                <w:sz w:val="24"/>
              </w:rPr>
              <w:t>项目在砖厂已占地内建设，不新增占地，故无新增生态保护措施。</w:t>
            </w:r>
          </w:p>
          <w:p>
            <w:pPr>
              <w:spacing w:line="360" w:lineRule="auto"/>
              <w:rPr>
                <w:rFonts w:eastAsiaTheme="minorEastAsia"/>
                <w:b/>
                <w:kern w:val="28"/>
                <w:sz w:val="24"/>
              </w:rPr>
            </w:pPr>
            <w:r>
              <w:rPr>
                <w:rFonts w:eastAsiaTheme="minorEastAsia"/>
                <w:b/>
                <w:kern w:val="28"/>
                <w:sz w:val="24"/>
              </w:rPr>
              <w:t>7</w:t>
            </w:r>
            <w:r>
              <w:rPr>
                <w:b/>
                <w:sz w:val="24"/>
              </w:rPr>
              <w:t>、</w:t>
            </w:r>
            <w:r>
              <w:rPr>
                <w:rFonts w:eastAsiaTheme="minorEastAsia"/>
                <w:b/>
                <w:kern w:val="28"/>
                <w:sz w:val="24"/>
              </w:rPr>
              <w:t>环境风险</w:t>
            </w:r>
          </w:p>
          <w:p>
            <w:pPr>
              <w:spacing w:line="360" w:lineRule="auto"/>
              <w:ind w:firstLine="482" w:firstLineChars="200"/>
              <w:rPr>
                <w:rFonts w:eastAsiaTheme="minorEastAsia"/>
                <w:b/>
                <w:bCs/>
                <w:sz w:val="24"/>
              </w:rPr>
            </w:pPr>
            <w:r>
              <w:rPr>
                <w:rFonts w:eastAsiaTheme="minorEastAsia"/>
                <w:b/>
                <w:bCs/>
                <w:sz w:val="24"/>
              </w:rPr>
              <w:t>7.1风险识别</w:t>
            </w:r>
          </w:p>
          <w:p>
            <w:pPr>
              <w:pStyle w:val="11"/>
              <w:kinsoku w:val="0"/>
              <w:overflowPunct w:val="0"/>
              <w:spacing w:before="0" w:after="0" w:line="360" w:lineRule="auto"/>
              <w:ind w:right="0" w:firstLine="436" w:firstLineChars="182"/>
              <w:rPr>
                <w:sz w:val="24"/>
              </w:rPr>
            </w:pPr>
            <w:r>
              <w:rPr>
                <w:rFonts w:eastAsiaTheme="minorEastAsia"/>
                <w:sz w:val="24"/>
              </w:rPr>
              <w:t>本项目使用的原辅材料主要为建筑垃圾、碎石，水泥、粉煤灰、石灰等，无危险化学品，</w:t>
            </w:r>
            <w:r>
              <w:rPr>
                <w:rFonts w:hint="eastAsia" w:cs="宋体"/>
                <w:sz w:val="24"/>
                <w:lang w:bidi="ar"/>
              </w:rPr>
              <w:t>本项目使用的</w:t>
            </w:r>
            <w:r>
              <w:rPr>
                <w:rFonts w:hint="eastAsia"/>
                <w:sz w:val="24"/>
              </w:rPr>
              <w:t>原辅料</w:t>
            </w:r>
            <w:r>
              <w:rPr>
                <w:rFonts w:hint="eastAsia" w:cs="宋体"/>
                <w:sz w:val="24"/>
                <w:lang w:bidi="ar"/>
              </w:rPr>
              <w:t>不属于《危险化学品重大危险源辨识》（</w:t>
            </w:r>
            <w:r>
              <w:rPr>
                <w:sz w:val="24"/>
                <w:lang w:bidi="ar"/>
              </w:rPr>
              <w:t>GB18218-2018</w:t>
            </w:r>
            <w:r>
              <w:rPr>
                <w:rFonts w:hint="eastAsia" w:cs="宋体"/>
                <w:sz w:val="24"/>
                <w:lang w:bidi="ar"/>
              </w:rPr>
              <w:t>）和《建设项目环境风险评价技术导则》（</w:t>
            </w:r>
            <w:r>
              <w:rPr>
                <w:sz w:val="24"/>
                <w:lang w:bidi="ar"/>
              </w:rPr>
              <w:t>HJ169-2018</w:t>
            </w:r>
            <w:r>
              <w:rPr>
                <w:rFonts w:hint="eastAsia" w:cs="宋体"/>
                <w:sz w:val="24"/>
                <w:lang w:bidi="ar"/>
              </w:rPr>
              <w:t>）中所列危险物质。</w:t>
            </w:r>
            <w:r>
              <w:rPr>
                <w:rFonts w:hint="eastAsia"/>
                <w:sz w:val="24"/>
              </w:rPr>
              <w:t>机油储存区的最大存在量为临界量分别的</w:t>
            </w:r>
            <w:r>
              <w:rPr>
                <w:sz w:val="24"/>
              </w:rPr>
              <w:t>0.00001</w:t>
            </w:r>
            <w:r>
              <w:rPr>
                <w:rFonts w:hint="eastAsia"/>
                <w:sz w:val="24"/>
              </w:rPr>
              <w:t>倍，</w:t>
            </w:r>
            <w:r>
              <w:rPr>
                <w:sz w:val="24"/>
              </w:rPr>
              <w:t>Q&lt;1</w:t>
            </w:r>
            <w:r>
              <w:rPr>
                <w:rFonts w:hint="eastAsia"/>
                <w:sz w:val="24"/>
              </w:rPr>
              <w:t>，因此，本项目所涉及的危险品储存不构成重大危险源。</w:t>
            </w:r>
            <w:r>
              <w:rPr>
                <w:rFonts w:eastAsiaTheme="minorEastAsia"/>
                <w:sz w:val="24"/>
              </w:rPr>
              <w:t>故不需要设置风险专项评价。</w:t>
            </w:r>
          </w:p>
          <w:p>
            <w:pPr>
              <w:pStyle w:val="11"/>
              <w:kinsoku w:val="0"/>
              <w:overflowPunct w:val="0"/>
              <w:spacing w:before="0" w:after="0" w:line="360" w:lineRule="auto"/>
              <w:ind w:right="0" w:firstLine="436" w:firstLineChars="182"/>
              <w:rPr>
                <w:sz w:val="24"/>
              </w:rPr>
            </w:pPr>
            <w:r>
              <w:rPr>
                <w:rFonts w:eastAsiaTheme="minorEastAsia"/>
                <w:sz w:val="24"/>
              </w:rPr>
              <w:t>根据项目实际情况，最大可信事故为</w:t>
            </w:r>
            <w:r>
              <w:rPr>
                <w:rFonts w:hint="eastAsia" w:eastAsiaTheme="minorEastAsia"/>
                <w:sz w:val="24"/>
              </w:rPr>
              <w:t>废机油泄露，</w:t>
            </w:r>
            <w:r>
              <w:rPr>
                <w:rFonts w:hint="eastAsia"/>
                <w:bCs/>
                <w:kern w:val="2"/>
                <w:sz w:val="24"/>
                <w:szCs w:val="24"/>
              </w:rPr>
              <w:t>在一定条件下还有可能引起燃烧，引起火灾爆炸，</w:t>
            </w:r>
            <w:r>
              <w:rPr>
                <w:rFonts w:eastAsiaTheme="minorEastAsia"/>
                <w:sz w:val="24"/>
                <w:szCs w:val="24"/>
              </w:rPr>
              <w:t>布袋除尘器失效以及车间电器火灾。</w:t>
            </w:r>
          </w:p>
          <w:p>
            <w:pPr>
              <w:spacing w:line="360" w:lineRule="auto"/>
              <w:ind w:firstLine="482" w:firstLineChars="200"/>
              <w:rPr>
                <w:rFonts w:eastAsiaTheme="minorEastAsia"/>
                <w:b/>
                <w:bCs/>
                <w:sz w:val="24"/>
              </w:rPr>
            </w:pPr>
            <w:r>
              <w:rPr>
                <w:rFonts w:eastAsiaTheme="minorEastAsia"/>
                <w:b/>
                <w:bCs/>
                <w:sz w:val="24"/>
              </w:rPr>
              <w:t>7.2风险防范措施</w:t>
            </w:r>
          </w:p>
          <w:p>
            <w:pPr>
              <w:spacing w:line="360" w:lineRule="auto"/>
              <w:ind w:firstLine="482" w:firstLineChars="200"/>
              <w:rPr>
                <w:rFonts w:eastAsiaTheme="minorEastAsia"/>
                <w:b/>
                <w:bCs/>
                <w:sz w:val="24"/>
              </w:rPr>
            </w:pPr>
            <w:r>
              <w:rPr>
                <w:rFonts w:eastAsiaTheme="minorEastAsia"/>
                <w:b/>
                <w:bCs/>
                <w:sz w:val="24"/>
              </w:rPr>
              <w:t>（1）布袋除尘器风险防范措施</w:t>
            </w:r>
          </w:p>
          <w:p>
            <w:pPr>
              <w:spacing w:line="360" w:lineRule="auto"/>
              <w:ind w:firstLine="480" w:firstLineChars="200"/>
              <w:rPr>
                <w:rFonts w:eastAsiaTheme="minorEastAsia"/>
                <w:sz w:val="24"/>
              </w:rPr>
            </w:pPr>
            <w:r>
              <w:rPr>
                <w:rFonts w:eastAsiaTheme="minorEastAsia"/>
                <w:sz w:val="24"/>
              </w:rPr>
              <w:t>为预防废气设备故障导致废气超标排放，公司应采取以下预防措施：</w:t>
            </w:r>
          </w:p>
          <w:p>
            <w:pPr>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公司应按照环保主管部门的规定，严格实行废气的总量控制，废气产生量与废气处理设施的处理能力合理匹配。</w:t>
            </w:r>
          </w:p>
          <w:p>
            <w:pPr>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除尘设备定期维护，包括正常时的检查、管路和设备的清扫、</w:t>
            </w:r>
            <w:r>
              <w:rPr>
                <w:rFonts w:hint="eastAsia" w:eastAsiaTheme="minorEastAsia"/>
                <w:sz w:val="24"/>
                <w:lang w:eastAsia="zh-CN"/>
              </w:rPr>
              <w:t>疏通堵塞</w:t>
            </w:r>
            <w:r>
              <w:rPr>
                <w:rFonts w:eastAsiaTheme="minorEastAsia"/>
                <w:sz w:val="24"/>
              </w:rPr>
              <w:t>，定期进行中修和大修，维护范围包括工程配套设施。减少粉尘的非正常排放事故的污染影响程度和范围。</w:t>
            </w:r>
          </w:p>
          <w:p>
            <w:pPr>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除尘设备投运一周内应对各链接件进行紧固，对运行部件逐一检查。</w:t>
            </w:r>
          </w:p>
          <w:p>
            <w:pPr>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严格的工艺操作规程，加强安全监督和管理，提高职工的安全意识和环保意识。定期对布袋除尘器装置进行检查。</w:t>
            </w:r>
          </w:p>
          <w:p>
            <w:pPr>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定期排查并消除可能导致事故的诱因，加强安全管理，将非正常工况排放的机率减到最小、采取措施杜绝风险事故的发生。</w:t>
            </w:r>
          </w:p>
          <w:p>
            <w:pPr>
              <w:spacing w:line="360" w:lineRule="auto"/>
              <w:ind w:firstLine="482" w:firstLineChars="200"/>
              <w:rPr>
                <w:rFonts w:eastAsiaTheme="minorEastAsia"/>
                <w:b/>
                <w:bCs/>
                <w:sz w:val="24"/>
              </w:rPr>
            </w:pPr>
            <w:r>
              <w:rPr>
                <w:rFonts w:eastAsiaTheme="minorEastAsia"/>
                <w:b/>
                <w:bCs/>
                <w:sz w:val="24"/>
              </w:rPr>
              <w:t>（2）火灾</w:t>
            </w:r>
            <w:r>
              <w:rPr>
                <w:rFonts w:hint="eastAsia" w:eastAsiaTheme="minorEastAsia"/>
                <w:b/>
                <w:bCs/>
                <w:sz w:val="24"/>
              </w:rPr>
              <w:t>爆炸</w:t>
            </w:r>
            <w:r>
              <w:rPr>
                <w:rFonts w:eastAsiaTheme="minorEastAsia"/>
                <w:b/>
                <w:bCs/>
                <w:sz w:val="24"/>
              </w:rPr>
              <w:t>事故风险防范措施</w:t>
            </w:r>
          </w:p>
          <w:p>
            <w:pPr>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加强消防设施的日常管理，确保事故时消防设施能够正常使用，针对厂房等可能出现的火灾事故进行消防演练。</w:t>
            </w:r>
          </w:p>
          <w:p>
            <w:pPr>
              <w:spacing w:line="360" w:lineRule="auto"/>
              <w:ind w:firstLine="480" w:firstLineChars="200"/>
              <w:rPr>
                <w:rFonts w:ascii="宋体" w:hAnsi="宋体"/>
                <w:sz w:val="24"/>
              </w:rPr>
            </w:pPr>
            <w:r>
              <w:rPr>
                <w:rFonts w:hint="eastAsia" w:ascii="宋体" w:hAnsi="宋体" w:cs="宋体"/>
                <w:sz w:val="24"/>
              </w:rPr>
              <w:t>②</w:t>
            </w:r>
            <w:r>
              <w:rPr>
                <w:rFonts w:ascii="宋体" w:hAnsi="宋体"/>
                <w:sz w:val="24"/>
              </w:rPr>
              <w:t>严格明火管理，严禁吸烟、动火。严格按照《中华人民共和国爆炸危险场所安全规程》和现行有关标准、规程及要求执行。</w:t>
            </w:r>
          </w:p>
          <w:p>
            <w:pPr>
              <w:spacing w:line="360" w:lineRule="auto"/>
              <w:ind w:firstLine="480" w:firstLineChars="200"/>
              <w:rPr>
                <w:rFonts w:ascii="宋体" w:hAnsi="宋体"/>
                <w:sz w:val="24"/>
              </w:rPr>
            </w:pPr>
            <w:r>
              <w:rPr>
                <w:rFonts w:hint="eastAsia" w:ascii="宋体" w:hAnsi="宋体" w:cs="宋体"/>
                <w:sz w:val="24"/>
              </w:rPr>
              <w:t>③</w:t>
            </w:r>
            <w:r>
              <w:rPr>
                <w:rFonts w:ascii="宋体" w:hAnsi="宋体"/>
                <w:sz w:val="24"/>
              </w:rPr>
              <w:t>厂房内配备足够数量的二氧化碳灭火器或干粉灭火器等消防器材，消防器材应当设置在明显和便于取用的地点，周围不准堆放物品与杂物。消防器材</w:t>
            </w:r>
            <w:r>
              <w:rPr>
                <w:rFonts w:hint="eastAsia" w:ascii="宋体" w:hAnsi="宋体"/>
                <w:sz w:val="24"/>
                <w:lang w:eastAsia="zh-CN"/>
              </w:rPr>
              <w:t>应当</w:t>
            </w:r>
            <w:r>
              <w:rPr>
                <w:rFonts w:ascii="宋体" w:hAnsi="宋体"/>
                <w:sz w:val="24"/>
              </w:rPr>
              <w:t>由专人管理，负责检查、维修、保养和添置，保证完好有效，严禁圈占、埋压和挪用。配备的消防器材与设施应当标识明确。</w:t>
            </w:r>
          </w:p>
          <w:p>
            <w:pPr>
              <w:spacing w:line="360" w:lineRule="auto"/>
              <w:ind w:firstLine="480" w:firstLineChars="200"/>
              <w:jc w:val="left"/>
              <w:rPr>
                <w:rFonts w:ascii="宋体" w:hAnsi="宋体"/>
                <w:sz w:val="24"/>
              </w:rPr>
            </w:pPr>
            <w:r>
              <w:rPr>
                <w:rFonts w:hint="eastAsia" w:ascii="宋体" w:hAnsi="宋体"/>
                <w:sz w:val="24"/>
              </w:rPr>
              <w:t>④</w:t>
            </w:r>
            <w:r>
              <w:rPr>
                <w:rFonts w:ascii="宋体" w:hAnsi="宋体"/>
                <w:sz w:val="24"/>
              </w:rPr>
              <w:t>项目内定期进行电路、电气检查，消除安全隐患。</w:t>
            </w:r>
          </w:p>
          <w:p>
            <w:pPr>
              <w:pStyle w:val="78"/>
              <w:spacing w:line="360" w:lineRule="auto"/>
              <w:ind w:firstLine="480"/>
              <w:rPr>
                <w:rFonts w:ascii="宋体" w:hAnsi="宋体"/>
                <w:sz w:val="24"/>
              </w:rPr>
            </w:pPr>
            <w:r>
              <w:rPr>
                <w:rFonts w:hint="eastAsia" w:ascii="宋体" w:hAnsi="宋体"/>
                <w:sz w:val="24"/>
              </w:rPr>
              <w:t>⑤</w:t>
            </w:r>
            <w:r>
              <w:rPr>
                <w:rFonts w:ascii="宋体" w:hAnsi="宋体"/>
                <w:sz w:val="24"/>
              </w:rPr>
              <w:t>企业要加强消防安全管理，开展好消防安全检查和消防安全宣传教育，加强消防安全培训，建立健全各项消防安全制度，落实消防安全责任，提高职工的消防素质，规范配置灭火器材和消防装备。建设单位在项目竣工经过验收合格后，才能投入使用。</w:t>
            </w:r>
          </w:p>
          <w:p>
            <w:pPr>
              <w:spacing w:line="360" w:lineRule="auto"/>
              <w:ind w:firstLine="482" w:firstLineChars="200"/>
              <w:rPr>
                <w:rFonts w:ascii="宋体" w:hAnsi="宋体"/>
                <w:sz w:val="24"/>
              </w:rPr>
            </w:pPr>
            <w:r>
              <w:rPr>
                <w:rFonts w:hint="eastAsia" w:ascii="宋体" w:hAnsi="宋体"/>
                <w:b/>
                <w:bCs/>
                <w:sz w:val="24"/>
              </w:rPr>
              <w:t>（</w:t>
            </w:r>
            <w:r>
              <w:rPr>
                <w:rFonts w:hint="eastAsia"/>
                <w:b/>
                <w:bCs/>
                <w:sz w:val="24"/>
              </w:rPr>
              <w:t>3</w:t>
            </w:r>
            <w:r>
              <w:rPr>
                <w:rFonts w:hint="eastAsia" w:ascii="宋体" w:hAnsi="宋体"/>
                <w:b/>
                <w:bCs/>
                <w:sz w:val="24"/>
              </w:rPr>
              <w:t>）</w:t>
            </w:r>
            <w:r>
              <w:rPr>
                <w:rFonts w:ascii="宋体" w:hAnsi="宋体"/>
                <w:b/>
                <w:bCs/>
                <w:sz w:val="24"/>
              </w:rPr>
              <w:t>油品泄漏防范措施</w:t>
            </w:r>
          </w:p>
          <w:p>
            <w:pPr>
              <w:spacing w:line="360" w:lineRule="auto"/>
              <w:ind w:firstLine="480" w:firstLineChars="200"/>
              <w:rPr>
                <w:rFonts w:ascii="宋体" w:hAnsi="宋体"/>
                <w:sz w:val="24"/>
              </w:rPr>
            </w:pPr>
            <w:r>
              <w:rPr>
                <w:rFonts w:ascii="宋体" w:hAnsi="宋体"/>
                <w:sz w:val="24"/>
              </w:rPr>
              <w:t>项目涉油设备下方放置防渗托盘，购买的机油置于防渗托盘内并存储在油品库中，对危废间地面进行硬化处理和重点防渗处理并设置不低于</w:t>
            </w:r>
            <w:r>
              <w:rPr>
                <w:sz w:val="24"/>
              </w:rPr>
              <w:t>15cm</w:t>
            </w:r>
            <w:r>
              <w:rPr>
                <w:rFonts w:ascii="宋体" w:hAnsi="宋体"/>
                <w:sz w:val="24"/>
              </w:rPr>
              <w:t>围堰，设置相应标识标牌并配备消防器材，并在危废暂存间设置空桶作泄漏应急使用。油品在搬运和使用过程中禁止遗洒，如有遗洒应及时进行处理。</w:t>
            </w:r>
            <w:r>
              <w:rPr>
                <w:rFonts w:hint="eastAsia" w:ascii="宋体" w:hAnsi="宋体"/>
                <w:sz w:val="24"/>
              </w:rPr>
              <w:t>建设单位</w:t>
            </w:r>
            <w:r>
              <w:rPr>
                <w:rFonts w:ascii="宋体" w:hAnsi="宋体"/>
                <w:sz w:val="24"/>
              </w:rPr>
              <w:t>应定期对危废间进行检查，如发现泄漏应及时进行处理。项目产生的废油收集后存放在危险废物暂存间，后交由资质单位进行处理。项目的危废暂存间应严格按照</w:t>
            </w:r>
            <w:r>
              <w:rPr>
                <w:rFonts w:hint="eastAsia" w:ascii="宋体" w:hAnsi="宋体"/>
                <w:sz w:val="24"/>
              </w:rPr>
              <w:t>《危险废物贮存污染控制标准》(</w:t>
            </w:r>
            <w:r>
              <w:rPr>
                <w:rFonts w:hint="eastAsia"/>
                <w:sz w:val="24"/>
              </w:rPr>
              <w:t>GB18597</w:t>
            </w:r>
            <w:r>
              <w:rPr>
                <w:rFonts w:hint="eastAsia" w:ascii="宋体" w:hAnsi="宋体"/>
                <w:sz w:val="24"/>
              </w:rPr>
              <w:t>-</w:t>
            </w:r>
            <w:r>
              <w:rPr>
                <w:rFonts w:hint="eastAsia"/>
                <w:sz w:val="24"/>
              </w:rPr>
              <w:t>2023</w:t>
            </w:r>
            <w:r>
              <w:rPr>
                <w:rFonts w:hint="eastAsia" w:ascii="宋体" w:hAnsi="宋体"/>
                <w:sz w:val="24"/>
              </w:rPr>
              <w:t>）</w:t>
            </w:r>
            <w:r>
              <w:rPr>
                <w:rFonts w:ascii="宋体" w:hAnsi="宋体"/>
                <w:sz w:val="24"/>
              </w:rPr>
              <w:t>的要求设计，做好防雨、防腐和防渗“三防”措施，保证防渗层渗透系数≤</w:t>
            </w:r>
            <w:r>
              <w:rPr>
                <w:sz w:val="24"/>
              </w:rPr>
              <w:t>10</w:t>
            </w:r>
            <w:r>
              <w:rPr>
                <w:rFonts w:ascii="宋体" w:hAnsi="宋体"/>
                <w:sz w:val="24"/>
                <w:vertAlign w:val="superscript"/>
              </w:rPr>
              <w:t>-</w:t>
            </w:r>
            <w:r>
              <w:rPr>
                <w:sz w:val="24"/>
                <w:vertAlign w:val="superscript"/>
              </w:rPr>
              <w:t>10</w:t>
            </w:r>
            <w:r>
              <w:rPr>
                <w:sz w:val="24"/>
              </w:rPr>
              <w:t>cm</w:t>
            </w:r>
            <w:r>
              <w:rPr>
                <w:rFonts w:ascii="宋体" w:hAnsi="宋体"/>
                <w:sz w:val="24"/>
              </w:rPr>
              <w:t>/</w:t>
            </w:r>
            <w:r>
              <w:rPr>
                <w:sz w:val="24"/>
              </w:rPr>
              <w:t>s</w:t>
            </w:r>
            <w:r>
              <w:rPr>
                <w:rFonts w:ascii="宋体" w:hAnsi="宋体"/>
                <w:sz w:val="24"/>
              </w:rPr>
              <w:t>，从而避免其中的液态危废泄漏后对土壤及地下水造成明显影响。通过采取上述一系列安全和预防措施，可以有效地控制或缓解油品的使用的环境风险。</w:t>
            </w:r>
          </w:p>
          <w:p>
            <w:pPr>
              <w:spacing w:before="120" w:beforeLines="50" w:line="360" w:lineRule="auto"/>
              <w:ind w:firstLine="482" w:firstLineChars="200"/>
              <w:rPr>
                <w:bCs/>
                <w:sz w:val="24"/>
              </w:rPr>
            </w:pPr>
            <w:r>
              <w:rPr>
                <w:rFonts w:hint="eastAsia"/>
                <w:b/>
                <w:sz w:val="24"/>
              </w:rPr>
              <w:t>7</w:t>
            </w:r>
            <w:r>
              <w:rPr>
                <w:b/>
                <w:sz w:val="24"/>
              </w:rPr>
              <w:t>.3生产管理防范措施</w:t>
            </w:r>
          </w:p>
          <w:p>
            <w:pPr>
              <w:spacing w:line="360" w:lineRule="auto"/>
              <w:ind w:firstLine="480" w:firstLineChars="200"/>
              <w:rPr>
                <w:bCs/>
                <w:sz w:val="24"/>
              </w:rPr>
            </w:pPr>
            <w:r>
              <w:rPr>
                <w:rFonts w:hint="eastAsia" w:hAnsi="宋体" w:cs="宋体"/>
                <w:bCs/>
                <w:sz w:val="24"/>
              </w:rPr>
              <w:t>（</w:t>
            </w:r>
            <w:r>
              <w:rPr>
                <w:rFonts w:hint="eastAsia" w:cs="宋体"/>
                <w:bCs/>
                <w:sz w:val="24"/>
              </w:rPr>
              <w:t>1</w:t>
            </w:r>
            <w:r>
              <w:rPr>
                <w:rFonts w:hint="eastAsia" w:hAnsi="宋体" w:cs="宋体"/>
                <w:bCs/>
                <w:sz w:val="24"/>
              </w:rPr>
              <w:t>）</w:t>
            </w:r>
            <w:r>
              <w:rPr>
                <w:bCs/>
                <w:sz w:val="24"/>
              </w:rPr>
              <w:t>建立和完善各级安全生产责任制，并切实落到实处。各级领导和生产管理人员必须重视安全生产，积极推广科学安全管理方法，强化安全操作制度和劳动纪律。</w:t>
            </w:r>
          </w:p>
          <w:p>
            <w:pPr>
              <w:spacing w:line="360" w:lineRule="auto"/>
              <w:ind w:firstLine="480" w:firstLineChars="200"/>
              <w:rPr>
                <w:bCs/>
                <w:sz w:val="24"/>
              </w:rPr>
            </w:pPr>
            <w:r>
              <w:rPr>
                <w:rFonts w:hint="eastAsia" w:hAnsi="宋体" w:cs="宋体"/>
                <w:bCs/>
                <w:sz w:val="24"/>
              </w:rPr>
              <w:t>（</w:t>
            </w:r>
            <w:r>
              <w:rPr>
                <w:rFonts w:hint="eastAsia" w:cs="宋体"/>
                <w:bCs/>
                <w:sz w:val="24"/>
              </w:rPr>
              <w:t>2</w:t>
            </w:r>
            <w:r>
              <w:rPr>
                <w:rFonts w:hint="eastAsia" w:hAnsi="宋体" w:cs="宋体"/>
                <w:bCs/>
                <w:sz w:val="24"/>
              </w:rPr>
              <w:t>）</w:t>
            </w:r>
            <w:r>
              <w:rPr>
                <w:bCs/>
                <w:sz w:val="24"/>
              </w:rPr>
              <w:t>对职工要加强职业培训和安全教育。培养职工要有高度的安全生产责任心，并且要熟悉相应的业务，有熟练的操作技能；</w:t>
            </w:r>
          </w:p>
          <w:p>
            <w:pPr>
              <w:spacing w:line="360" w:lineRule="auto"/>
              <w:ind w:firstLine="480" w:firstLineChars="200"/>
              <w:rPr>
                <w:bCs/>
                <w:sz w:val="24"/>
              </w:rPr>
            </w:pPr>
            <w:r>
              <w:rPr>
                <w:rFonts w:hint="eastAsia" w:hAnsi="宋体" w:cs="宋体"/>
                <w:bCs/>
                <w:sz w:val="24"/>
              </w:rPr>
              <w:t>（</w:t>
            </w:r>
            <w:r>
              <w:rPr>
                <w:rFonts w:hint="eastAsia" w:cs="宋体"/>
                <w:bCs/>
                <w:sz w:val="24"/>
              </w:rPr>
              <w:t>3</w:t>
            </w:r>
            <w:r>
              <w:rPr>
                <w:rFonts w:hint="eastAsia" w:hAnsi="宋体" w:cs="宋体"/>
                <w:bCs/>
                <w:sz w:val="24"/>
              </w:rPr>
              <w:t>）</w:t>
            </w:r>
            <w:r>
              <w:rPr>
                <w:bCs/>
                <w:sz w:val="24"/>
              </w:rPr>
              <w:t>建立健全安全检查制度，定期进行安全检查，及时整改安全隐患，防止事故发生。</w:t>
            </w:r>
          </w:p>
          <w:p>
            <w:pPr>
              <w:spacing w:line="360" w:lineRule="auto"/>
              <w:ind w:firstLine="482" w:firstLineChars="200"/>
              <w:rPr>
                <w:bCs/>
                <w:sz w:val="24"/>
              </w:rPr>
            </w:pPr>
            <w:r>
              <w:rPr>
                <w:b/>
                <w:sz w:val="24"/>
              </w:rPr>
              <w:t>其它：</w:t>
            </w:r>
            <w:r>
              <w:rPr>
                <w:bCs/>
                <w:sz w:val="24"/>
              </w:rPr>
              <w:t>强化工作人员的责任心和安全意识，认真开展安全检查工作，发现隐患及时整改，将事故消灭在萌芽状态；建立健全安全、环境管理体系，一旦发生事故，要做到快速、高效、安全处置。</w:t>
            </w:r>
            <w:r>
              <w:rPr>
                <w:rFonts w:hint="eastAsia"/>
                <w:bCs/>
                <w:sz w:val="24"/>
              </w:rPr>
              <w:t>项目环境风险防范应急措施一览表见下表。</w:t>
            </w:r>
          </w:p>
          <w:p>
            <w:pPr>
              <w:autoSpaceDE w:val="0"/>
              <w:autoSpaceDN w:val="0"/>
              <w:adjustRightInd w:val="0"/>
              <w:ind w:firstLine="422" w:firstLineChars="200"/>
              <w:jc w:val="center"/>
              <w:rPr>
                <w:b/>
                <w:szCs w:val="21"/>
              </w:rPr>
            </w:pPr>
            <w:r>
              <w:rPr>
                <w:b/>
                <w:szCs w:val="21"/>
              </w:rPr>
              <w:t>表4-17风险防范措施及投资估算一览表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848"/>
              <w:gridCol w:w="6391"/>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13" w:type="pct"/>
                  <w:noWrap/>
                  <w:vAlign w:val="center"/>
                </w:tcPr>
                <w:p>
                  <w:pPr>
                    <w:autoSpaceDE w:val="0"/>
                    <w:autoSpaceDN w:val="0"/>
                    <w:adjustRightInd w:val="0"/>
                    <w:spacing w:line="240" w:lineRule="exact"/>
                    <w:jc w:val="center"/>
                    <w:rPr>
                      <w:b/>
                      <w:bCs/>
                      <w:szCs w:val="21"/>
                    </w:rPr>
                  </w:pPr>
                  <w:r>
                    <w:rPr>
                      <w:b/>
                      <w:bCs/>
                      <w:szCs w:val="21"/>
                    </w:rPr>
                    <w:t>序号</w:t>
                  </w:r>
                </w:p>
              </w:tc>
              <w:tc>
                <w:tcPr>
                  <w:tcW w:w="484" w:type="pct"/>
                  <w:noWrap/>
                  <w:vAlign w:val="center"/>
                </w:tcPr>
                <w:p>
                  <w:pPr>
                    <w:autoSpaceDE w:val="0"/>
                    <w:autoSpaceDN w:val="0"/>
                    <w:adjustRightInd w:val="0"/>
                    <w:spacing w:line="240" w:lineRule="exact"/>
                    <w:jc w:val="center"/>
                    <w:rPr>
                      <w:b/>
                      <w:bCs/>
                      <w:szCs w:val="21"/>
                    </w:rPr>
                  </w:pPr>
                  <w:r>
                    <w:rPr>
                      <w:rFonts w:hint="eastAsia"/>
                      <w:b/>
                      <w:bCs/>
                      <w:szCs w:val="21"/>
                    </w:rPr>
                    <w:t>风险类型</w:t>
                  </w:r>
                </w:p>
              </w:tc>
              <w:tc>
                <w:tcPr>
                  <w:tcW w:w="3648" w:type="pct"/>
                  <w:noWrap/>
                  <w:vAlign w:val="center"/>
                </w:tcPr>
                <w:p>
                  <w:pPr>
                    <w:autoSpaceDE w:val="0"/>
                    <w:autoSpaceDN w:val="0"/>
                    <w:adjustRightInd w:val="0"/>
                    <w:spacing w:line="240" w:lineRule="exact"/>
                    <w:jc w:val="center"/>
                    <w:rPr>
                      <w:b/>
                      <w:bCs/>
                      <w:szCs w:val="21"/>
                    </w:rPr>
                  </w:pPr>
                  <w:r>
                    <w:rPr>
                      <w:b/>
                      <w:bCs/>
                      <w:szCs w:val="21"/>
                    </w:rPr>
                    <w:t>主要风险防范措施</w:t>
                  </w:r>
                </w:p>
              </w:tc>
              <w:tc>
                <w:tcPr>
                  <w:tcW w:w="654" w:type="pct"/>
                  <w:noWrap/>
                  <w:vAlign w:val="center"/>
                </w:tcPr>
                <w:p>
                  <w:pPr>
                    <w:autoSpaceDE w:val="0"/>
                    <w:autoSpaceDN w:val="0"/>
                    <w:adjustRightInd w:val="0"/>
                    <w:spacing w:line="240" w:lineRule="exact"/>
                    <w:jc w:val="center"/>
                    <w:rPr>
                      <w:b/>
                      <w:bCs/>
                      <w:szCs w:val="21"/>
                    </w:rPr>
                  </w:pPr>
                  <w:r>
                    <w:rPr>
                      <w:b/>
                      <w:bCs/>
                      <w:szCs w:val="21"/>
                    </w:rPr>
                    <w:t>投资</w:t>
                  </w:r>
                </w:p>
                <w:p>
                  <w:pPr>
                    <w:autoSpaceDE w:val="0"/>
                    <w:autoSpaceDN w:val="0"/>
                    <w:adjustRightInd w:val="0"/>
                    <w:spacing w:line="240" w:lineRule="exact"/>
                    <w:jc w:val="center"/>
                    <w:rPr>
                      <w:b/>
                      <w:bCs/>
                      <w:szCs w:val="21"/>
                    </w:rPr>
                  </w:pPr>
                  <w:r>
                    <w:rPr>
                      <w:b/>
                      <w:bCs/>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3" w:type="pct"/>
                  <w:vMerge w:val="restart"/>
                  <w:noWrap/>
                  <w:vAlign w:val="center"/>
                </w:tcPr>
                <w:p>
                  <w:pPr>
                    <w:autoSpaceDE w:val="0"/>
                    <w:autoSpaceDN w:val="0"/>
                    <w:adjustRightInd w:val="0"/>
                    <w:spacing w:line="240" w:lineRule="exact"/>
                    <w:jc w:val="center"/>
                    <w:rPr>
                      <w:szCs w:val="21"/>
                    </w:rPr>
                  </w:pPr>
                  <w:r>
                    <w:rPr>
                      <w:szCs w:val="21"/>
                    </w:rPr>
                    <w:t>1</w:t>
                  </w:r>
                </w:p>
              </w:tc>
              <w:tc>
                <w:tcPr>
                  <w:tcW w:w="484" w:type="pct"/>
                  <w:vMerge w:val="restart"/>
                  <w:noWrap/>
                  <w:vAlign w:val="center"/>
                </w:tcPr>
                <w:p>
                  <w:pPr>
                    <w:autoSpaceDE w:val="0"/>
                    <w:autoSpaceDN w:val="0"/>
                    <w:adjustRightInd w:val="0"/>
                    <w:spacing w:line="240" w:lineRule="exact"/>
                    <w:jc w:val="center"/>
                    <w:rPr>
                      <w:szCs w:val="21"/>
                    </w:rPr>
                  </w:pPr>
                  <w:r>
                    <w:rPr>
                      <w:rFonts w:hint="eastAsia"/>
                      <w:szCs w:val="21"/>
                    </w:rPr>
                    <w:t>火灾爆炸风险</w:t>
                  </w:r>
                </w:p>
              </w:tc>
              <w:tc>
                <w:tcPr>
                  <w:tcW w:w="3648" w:type="pct"/>
                  <w:noWrap/>
                  <w:vAlign w:val="center"/>
                </w:tcPr>
                <w:p>
                  <w:pPr>
                    <w:autoSpaceDE w:val="0"/>
                    <w:autoSpaceDN w:val="0"/>
                    <w:adjustRightInd w:val="0"/>
                    <w:spacing w:line="240" w:lineRule="exact"/>
                    <w:jc w:val="center"/>
                    <w:rPr>
                      <w:szCs w:val="21"/>
                    </w:rPr>
                  </w:pPr>
                  <w:r>
                    <w:rPr>
                      <w:szCs w:val="21"/>
                    </w:rPr>
                    <w:t>设置严禁烟火的标</w:t>
                  </w:r>
                  <w:r>
                    <w:rPr>
                      <w:rFonts w:hint="eastAsia"/>
                      <w:szCs w:val="21"/>
                    </w:rPr>
                    <w:t>示</w:t>
                  </w:r>
                </w:p>
              </w:tc>
              <w:tc>
                <w:tcPr>
                  <w:tcW w:w="654" w:type="pct"/>
                  <w:noWrap/>
                  <w:vAlign w:val="center"/>
                </w:tcPr>
                <w:p>
                  <w:pPr>
                    <w:autoSpaceDE w:val="0"/>
                    <w:autoSpaceDN w:val="0"/>
                    <w:adjustRightInd w:val="0"/>
                    <w:spacing w:line="240" w:lineRule="exact"/>
                    <w:jc w:val="center"/>
                    <w:rPr>
                      <w:szCs w:val="21"/>
                    </w:rPr>
                  </w:pPr>
                  <w:r>
                    <w:rPr>
                      <w:rFonts w:hint="eastAsia"/>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3" w:type="pct"/>
                  <w:vMerge w:val="continue"/>
                  <w:noWrap/>
                  <w:vAlign w:val="center"/>
                </w:tcPr>
                <w:p>
                  <w:pPr>
                    <w:autoSpaceDE w:val="0"/>
                    <w:autoSpaceDN w:val="0"/>
                    <w:adjustRightInd w:val="0"/>
                    <w:spacing w:line="240" w:lineRule="exact"/>
                    <w:jc w:val="center"/>
                    <w:rPr>
                      <w:szCs w:val="21"/>
                    </w:rPr>
                  </w:pPr>
                </w:p>
              </w:tc>
              <w:tc>
                <w:tcPr>
                  <w:tcW w:w="484" w:type="pct"/>
                  <w:vMerge w:val="continue"/>
                  <w:noWrap/>
                  <w:vAlign w:val="center"/>
                </w:tcPr>
                <w:p>
                  <w:pPr>
                    <w:autoSpaceDE w:val="0"/>
                    <w:autoSpaceDN w:val="0"/>
                    <w:adjustRightInd w:val="0"/>
                    <w:spacing w:line="240" w:lineRule="exact"/>
                    <w:jc w:val="center"/>
                    <w:rPr>
                      <w:szCs w:val="21"/>
                    </w:rPr>
                  </w:pPr>
                </w:p>
              </w:tc>
              <w:tc>
                <w:tcPr>
                  <w:tcW w:w="3648" w:type="pct"/>
                  <w:noWrap/>
                  <w:vAlign w:val="center"/>
                </w:tcPr>
                <w:p>
                  <w:pPr>
                    <w:autoSpaceDE w:val="0"/>
                    <w:autoSpaceDN w:val="0"/>
                    <w:adjustRightInd w:val="0"/>
                    <w:spacing w:line="240" w:lineRule="exact"/>
                    <w:jc w:val="center"/>
                    <w:rPr>
                      <w:szCs w:val="21"/>
                    </w:rPr>
                  </w:pPr>
                  <w:r>
                    <w:rPr>
                      <w:szCs w:val="21"/>
                    </w:rPr>
                    <w:t>生产场所应配备足够数量的相应消防设施</w:t>
                  </w:r>
                </w:p>
              </w:tc>
              <w:tc>
                <w:tcPr>
                  <w:tcW w:w="654" w:type="pct"/>
                  <w:noWrap/>
                  <w:vAlign w:val="center"/>
                </w:tcPr>
                <w:p>
                  <w:pPr>
                    <w:autoSpaceDE w:val="0"/>
                    <w:autoSpaceDN w:val="0"/>
                    <w:adjustRightInd w:val="0"/>
                    <w:spacing w:line="240" w:lineRule="exact"/>
                    <w:jc w:val="center"/>
                    <w:rPr>
                      <w:szCs w:val="21"/>
                    </w:rPr>
                  </w:pPr>
                  <w:r>
                    <w:rPr>
                      <w:rFonts w:hint="eastAsia"/>
                      <w:szCs w:val="21"/>
                    </w:rPr>
                    <w:t>0.</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3" w:type="pct"/>
                  <w:vMerge w:val="continue"/>
                  <w:noWrap/>
                  <w:vAlign w:val="center"/>
                </w:tcPr>
                <w:p>
                  <w:pPr>
                    <w:autoSpaceDE w:val="0"/>
                    <w:autoSpaceDN w:val="0"/>
                    <w:adjustRightInd w:val="0"/>
                    <w:spacing w:line="240" w:lineRule="exact"/>
                    <w:jc w:val="center"/>
                    <w:rPr>
                      <w:szCs w:val="21"/>
                    </w:rPr>
                  </w:pPr>
                </w:p>
              </w:tc>
              <w:tc>
                <w:tcPr>
                  <w:tcW w:w="484" w:type="pct"/>
                  <w:vMerge w:val="continue"/>
                  <w:noWrap/>
                  <w:vAlign w:val="center"/>
                </w:tcPr>
                <w:p>
                  <w:pPr>
                    <w:autoSpaceDE w:val="0"/>
                    <w:autoSpaceDN w:val="0"/>
                    <w:adjustRightInd w:val="0"/>
                    <w:spacing w:line="240" w:lineRule="exact"/>
                    <w:jc w:val="center"/>
                    <w:rPr>
                      <w:szCs w:val="21"/>
                    </w:rPr>
                  </w:pPr>
                </w:p>
              </w:tc>
              <w:tc>
                <w:tcPr>
                  <w:tcW w:w="3648" w:type="pct"/>
                  <w:noWrap/>
                  <w:vAlign w:val="center"/>
                </w:tcPr>
                <w:p>
                  <w:pPr>
                    <w:autoSpaceDE w:val="0"/>
                    <w:autoSpaceDN w:val="0"/>
                    <w:adjustRightInd w:val="0"/>
                    <w:spacing w:line="240" w:lineRule="exact"/>
                    <w:jc w:val="center"/>
                    <w:rPr>
                      <w:szCs w:val="21"/>
                    </w:rPr>
                  </w:pPr>
                  <w:r>
                    <w:rPr>
                      <w:szCs w:val="21"/>
                    </w:rPr>
                    <w:t>消防设施定期检查、维护，电器线路定期检查、维修、保养</w:t>
                  </w:r>
                  <w:r>
                    <w:rPr>
                      <w:rFonts w:hint="eastAsia"/>
                      <w:szCs w:val="21"/>
                    </w:rPr>
                    <w:t>。</w:t>
                  </w:r>
                </w:p>
              </w:tc>
              <w:tc>
                <w:tcPr>
                  <w:tcW w:w="654" w:type="pct"/>
                  <w:noWrap/>
                  <w:vAlign w:val="center"/>
                </w:tcPr>
                <w:p>
                  <w:pPr>
                    <w:autoSpaceDE w:val="0"/>
                    <w:autoSpaceDN w:val="0"/>
                    <w:adjustRightInd w:val="0"/>
                    <w:spacing w:line="240" w:lineRule="exact"/>
                    <w:jc w:val="center"/>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13" w:type="pct"/>
                  <w:noWrap/>
                  <w:vAlign w:val="center"/>
                </w:tcPr>
                <w:p>
                  <w:pPr>
                    <w:autoSpaceDE w:val="0"/>
                    <w:autoSpaceDN w:val="0"/>
                    <w:adjustRightInd w:val="0"/>
                    <w:spacing w:line="240" w:lineRule="exact"/>
                    <w:jc w:val="center"/>
                    <w:rPr>
                      <w:szCs w:val="21"/>
                    </w:rPr>
                  </w:pPr>
                  <w:r>
                    <w:rPr>
                      <w:szCs w:val="21"/>
                    </w:rPr>
                    <w:t>2</w:t>
                  </w:r>
                </w:p>
              </w:tc>
              <w:tc>
                <w:tcPr>
                  <w:tcW w:w="484" w:type="pct"/>
                  <w:noWrap/>
                  <w:vAlign w:val="center"/>
                </w:tcPr>
                <w:p>
                  <w:pPr>
                    <w:autoSpaceDE w:val="0"/>
                    <w:autoSpaceDN w:val="0"/>
                    <w:adjustRightInd w:val="0"/>
                    <w:spacing w:line="240" w:lineRule="exact"/>
                    <w:jc w:val="center"/>
                    <w:rPr>
                      <w:szCs w:val="21"/>
                    </w:rPr>
                  </w:pPr>
                  <w:r>
                    <w:rPr>
                      <w:rFonts w:hint="eastAsia"/>
                      <w:szCs w:val="21"/>
                    </w:rPr>
                    <w:t>危险废物泄漏风险</w:t>
                  </w:r>
                </w:p>
              </w:tc>
              <w:tc>
                <w:tcPr>
                  <w:tcW w:w="3648" w:type="pct"/>
                  <w:noWrap/>
                  <w:vAlign w:val="center"/>
                </w:tcPr>
                <w:p>
                  <w:pPr>
                    <w:autoSpaceDE w:val="0"/>
                    <w:autoSpaceDN w:val="0"/>
                    <w:adjustRightInd w:val="0"/>
                    <w:spacing w:line="240" w:lineRule="exact"/>
                    <w:jc w:val="left"/>
                    <w:rPr>
                      <w:szCs w:val="21"/>
                    </w:rPr>
                  </w:pPr>
                  <w:r>
                    <w:rPr>
                      <w:szCs w:val="21"/>
                    </w:rPr>
                    <w:t>作业人员须了解其接触的危险废物的性质、危害特性、包装容器的使用特性和发生意外时的应急措施，并配备必要的应急处理器材和防护用品</w:t>
                  </w:r>
                  <w:r>
                    <w:rPr>
                      <w:rFonts w:hint="eastAsia"/>
                      <w:szCs w:val="21"/>
                    </w:rPr>
                    <w:t>。</w:t>
                  </w:r>
                </w:p>
              </w:tc>
              <w:tc>
                <w:tcPr>
                  <w:tcW w:w="654" w:type="pct"/>
                  <w:noWrap/>
                  <w:vAlign w:val="center"/>
                </w:tcPr>
                <w:p>
                  <w:pPr>
                    <w:autoSpaceDE w:val="0"/>
                    <w:autoSpaceDN w:val="0"/>
                    <w:adjustRightInd w:val="0"/>
                    <w:spacing w:line="240" w:lineRule="exact"/>
                    <w:jc w:val="center"/>
                    <w:rPr>
                      <w:szCs w:val="21"/>
                    </w:rPr>
                  </w:pPr>
                  <w:r>
                    <w:rPr>
                      <w:szCs w:val="21"/>
                    </w:rPr>
                    <w:t>0.</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213" w:type="pct"/>
                  <w:noWrap/>
                  <w:vAlign w:val="center"/>
                </w:tcPr>
                <w:p>
                  <w:pPr>
                    <w:autoSpaceDE w:val="0"/>
                    <w:autoSpaceDN w:val="0"/>
                    <w:adjustRightInd w:val="0"/>
                    <w:spacing w:line="240" w:lineRule="exact"/>
                    <w:jc w:val="center"/>
                    <w:rPr>
                      <w:szCs w:val="21"/>
                    </w:rPr>
                  </w:pPr>
                  <w:r>
                    <w:rPr>
                      <w:szCs w:val="21"/>
                    </w:rPr>
                    <w:t>4</w:t>
                  </w:r>
                </w:p>
              </w:tc>
              <w:tc>
                <w:tcPr>
                  <w:tcW w:w="484" w:type="pct"/>
                  <w:noWrap/>
                  <w:vAlign w:val="center"/>
                </w:tcPr>
                <w:p>
                  <w:pPr>
                    <w:autoSpaceDE w:val="0"/>
                    <w:autoSpaceDN w:val="0"/>
                    <w:adjustRightInd w:val="0"/>
                    <w:spacing w:line="240" w:lineRule="exact"/>
                    <w:jc w:val="center"/>
                    <w:rPr>
                      <w:szCs w:val="21"/>
                    </w:rPr>
                  </w:pPr>
                  <w:r>
                    <w:rPr>
                      <w:rFonts w:hint="eastAsia"/>
                      <w:szCs w:val="21"/>
                    </w:rPr>
                    <w:t>废气事故排放</w:t>
                  </w:r>
                </w:p>
              </w:tc>
              <w:tc>
                <w:tcPr>
                  <w:tcW w:w="3648" w:type="pct"/>
                  <w:noWrap/>
                  <w:vAlign w:val="center"/>
                </w:tcPr>
                <w:p>
                  <w:pPr>
                    <w:autoSpaceDE w:val="0"/>
                    <w:autoSpaceDN w:val="0"/>
                    <w:adjustRightInd w:val="0"/>
                    <w:spacing w:line="240" w:lineRule="exact"/>
                    <w:jc w:val="left"/>
                    <w:rPr>
                      <w:szCs w:val="21"/>
                    </w:rPr>
                  </w:pPr>
                  <w:r>
                    <w:rPr>
                      <w:szCs w:val="21"/>
                    </w:rPr>
                    <w:t>定期检查环保设备；定期</w:t>
                  </w:r>
                  <w:r>
                    <w:rPr>
                      <w:rFonts w:hint="eastAsia"/>
                      <w:szCs w:val="21"/>
                    </w:rPr>
                    <w:t>检修或</w:t>
                  </w:r>
                  <w:r>
                    <w:rPr>
                      <w:szCs w:val="21"/>
                    </w:rPr>
                    <w:t>更换，保证</w:t>
                  </w:r>
                  <w:r>
                    <w:rPr>
                      <w:rFonts w:hint="eastAsia"/>
                      <w:szCs w:val="21"/>
                    </w:rPr>
                    <w:t>环保设备</w:t>
                  </w:r>
                  <w:r>
                    <w:rPr>
                      <w:szCs w:val="21"/>
                    </w:rPr>
                    <w:t>的</w:t>
                  </w:r>
                  <w:r>
                    <w:rPr>
                      <w:rFonts w:hint="eastAsia"/>
                      <w:szCs w:val="21"/>
                    </w:rPr>
                    <w:t>净化</w:t>
                  </w:r>
                  <w:r>
                    <w:rPr>
                      <w:szCs w:val="21"/>
                    </w:rPr>
                    <w:t>效率；一旦出现相应废气超标排放，立即停止</w:t>
                  </w:r>
                  <w:r>
                    <w:rPr>
                      <w:rFonts w:hint="eastAsia"/>
                      <w:szCs w:val="21"/>
                    </w:rPr>
                    <w:t>破碎等</w:t>
                  </w:r>
                  <w:r>
                    <w:rPr>
                      <w:szCs w:val="21"/>
                    </w:rPr>
                    <w:t>产生废气的工序，进行设备检修，待设备检修好后才能进行</w:t>
                  </w:r>
                  <w:r>
                    <w:rPr>
                      <w:rFonts w:hint="eastAsia"/>
                      <w:szCs w:val="21"/>
                    </w:rPr>
                    <w:t>打磨</w:t>
                  </w:r>
                  <w:r>
                    <w:rPr>
                      <w:szCs w:val="21"/>
                    </w:rPr>
                    <w:t>、焊接等工序</w:t>
                  </w:r>
                  <w:r>
                    <w:rPr>
                      <w:rFonts w:hint="eastAsia"/>
                      <w:szCs w:val="21"/>
                    </w:rPr>
                    <w:t>。</w:t>
                  </w:r>
                </w:p>
              </w:tc>
              <w:tc>
                <w:tcPr>
                  <w:tcW w:w="654" w:type="pct"/>
                  <w:noWrap/>
                  <w:vAlign w:val="center"/>
                </w:tcPr>
                <w:p>
                  <w:pPr>
                    <w:autoSpaceDE w:val="0"/>
                    <w:autoSpaceDN w:val="0"/>
                    <w:adjustRightInd w:val="0"/>
                    <w:spacing w:line="240" w:lineRule="exact"/>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5000" w:type="pct"/>
                  <w:gridSpan w:val="4"/>
                  <w:noWrap/>
                  <w:vAlign w:val="center"/>
                </w:tcPr>
                <w:p>
                  <w:pPr>
                    <w:autoSpaceDE w:val="0"/>
                    <w:autoSpaceDN w:val="0"/>
                    <w:adjustRightInd w:val="0"/>
                    <w:spacing w:line="240" w:lineRule="exact"/>
                    <w:jc w:val="left"/>
                    <w:rPr>
                      <w:szCs w:val="21"/>
                    </w:rPr>
                  </w:pPr>
                  <w:r>
                    <w:rPr>
                      <w:rFonts w:hint="eastAsia"/>
                      <w:szCs w:val="21"/>
                    </w:rPr>
                    <w:t>其他：制定应</w:t>
                  </w:r>
                  <w:r>
                    <w:rPr>
                      <w:rFonts w:hint="eastAsia"/>
                      <w:szCs w:val="21"/>
                      <w:lang w:eastAsia="zh-CN"/>
                    </w:rPr>
                    <w:t>急</w:t>
                  </w:r>
                  <w:r>
                    <w:rPr>
                      <w:rFonts w:hint="eastAsia"/>
                      <w:szCs w:val="21"/>
                    </w:rPr>
                    <w:t>预案，强化工作人员责任心和安全意识，认真开展安全检查工作，发现隐患及时整改，将事故消灭在萌芽状态；建立健全安全、环境管理体系，一旦发生事故，要做到快速、高效、安全处置。</w:t>
                  </w:r>
                </w:p>
              </w:tc>
            </w:tr>
          </w:tbl>
          <w:p>
            <w:pPr>
              <w:spacing w:before="120" w:beforeLines="50" w:line="360" w:lineRule="auto"/>
              <w:ind w:firstLine="482" w:firstLineChars="200"/>
              <w:rPr>
                <w:b/>
                <w:sz w:val="24"/>
              </w:rPr>
            </w:pPr>
            <w:r>
              <w:rPr>
                <w:b/>
                <w:sz w:val="24"/>
              </w:rPr>
              <w:t>7.4</w:t>
            </w:r>
            <w:r>
              <w:rPr>
                <w:rFonts w:hint="eastAsia"/>
                <w:b/>
                <w:sz w:val="24"/>
              </w:rPr>
              <w:t>事故应急预案</w:t>
            </w:r>
          </w:p>
          <w:p>
            <w:pPr>
              <w:spacing w:line="360" w:lineRule="auto"/>
              <w:ind w:firstLine="480" w:firstLineChars="200"/>
              <w:rPr>
                <w:bCs/>
                <w:sz w:val="24"/>
              </w:rPr>
            </w:pPr>
            <w:r>
              <w:rPr>
                <w:bCs/>
                <w:sz w:val="24"/>
              </w:rPr>
              <w:t>根据国家相关规定的要求，项目方应制定环境风险应急预案，并且配备必要的设施。应急预案的主要内容可参考</w:t>
            </w:r>
            <w:r>
              <w:rPr>
                <w:rFonts w:hint="eastAsia"/>
                <w:bCs/>
                <w:sz w:val="24"/>
              </w:rPr>
              <w:t>下</w:t>
            </w:r>
            <w:r>
              <w:rPr>
                <w:bCs/>
                <w:sz w:val="24"/>
              </w:rPr>
              <w:t>表。</w:t>
            </w:r>
          </w:p>
          <w:p>
            <w:pPr>
              <w:jc w:val="center"/>
              <w:rPr>
                <w:bCs/>
                <w:szCs w:val="22"/>
              </w:rPr>
            </w:pPr>
            <w:r>
              <w:rPr>
                <w:b/>
              </w:rPr>
              <w:t>表4-18应急预案内容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409"/>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485" w:type="pct"/>
                  <w:vAlign w:val="center"/>
                </w:tcPr>
                <w:p>
                  <w:pPr>
                    <w:spacing w:line="300" w:lineRule="exact"/>
                    <w:jc w:val="center"/>
                    <w:rPr>
                      <w:b/>
                    </w:rPr>
                  </w:pPr>
                  <w:r>
                    <w:rPr>
                      <w:rFonts w:hint="eastAsia"/>
                      <w:b/>
                    </w:rPr>
                    <w:t>序号</w:t>
                  </w:r>
                </w:p>
              </w:tc>
              <w:tc>
                <w:tcPr>
                  <w:tcW w:w="1375" w:type="pct"/>
                  <w:vAlign w:val="center"/>
                </w:tcPr>
                <w:p>
                  <w:pPr>
                    <w:spacing w:line="300" w:lineRule="exact"/>
                    <w:rPr>
                      <w:b/>
                    </w:rPr>
                  </w:pPr>
                  <w:r>
                    <w:rPr>
                      <w:rFonts w:hint="eastAsia"/>
                      <w:b/>
                    </w:rPr>
                    <w:t>项目</w:t>
                  </w:r>
                </w:p>
              </w:tc>
              <w:tc>
                <w:tcPr>
                  <w:tcW w:w="3140" w:type="pct"/>
                  <w:vAlign w:val="center"/>
                </w:tcPr>
                <w:p>
                  <w:pPr>
                    <w:spacing w:line="300" w:lineRule="exact"/>
                    <w:rPr>
                      <w:b/>
                    </w:rPr>
                  </w:pPr>
                  <w:r>
                    <w:rPr>
                      <w:rFonts w:hint="eastAsia"/>
                      <w:b/>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485" w:type="pct"/>
                  <w:vAlign w:val="center"/>
                </w:tcPr>
                <w:p>
                  <w:pPr>
                    <w:spacing w:line="300" w:lineRule="exact"/>
                    <w:jc w:val="center"/>
                    <w:rPr>
                      <w:bCs/>
                    </w:rPr>
                  </w:pPr>
                  <w:r>
                    <w:rPr>
                      <w:rFonts w:hint="eastAsia"/>
                      <w:bCs/>
                    </w:rPr>
                    <w:t>1</w:t>
                  </w:r>
                </w:p>
              </w:tc>
              <w:tc>
                <w:tcPr>
                  <w:tcW w:w="1375" w:type="pct"/>
                  <w:vAlign w:val="center"/>
                </w:tcPr>
                <w:p>
                  <w:pPr>
                    <w:spacing w:line="300" w:lineRule="exact"/>
                    <w:rPr>
                      <w:bCs/>
                    </w:rPr>
                  </w:pPr>
                  <w:r>
                    <w:rPr>
                      <w:bCs/>
                    </w:rPr>
                    <w:t>应急计划区</w:t>
                  </w:r>
                </w:p>
              </w:tc>
              <w:tc>
                <w:tcPr>
                  <w:tcW w:w="3140" w:type="pct"/>
                  <w:vAlign w:val="center"/>
                </w:tcPr>
                <w:p>
                  <w:pPr>
                    <w:spacing w:line="300" w:lineRule="exact"/>
                    <w:rPr>
                      <w:bCs/>
                    </w:rPr>
                  </w:pPr>
                  <w:r>
                    <w:rPr>
                      <w:bCs/>
                    </w:rPr>
                    <w:t>危险目标：生产厂房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485" w:type="pct"/>
                  <w:vAlign w:val="center"/>
                </w:tcPr>
                <w:p>
                  <w:pPr>
                    <w:spacing w:line="300" w:lineRule="exact"/>
                    <w:jc w:val="center"/>
                    <w:rPr>
                      <w:bCs/>
                    </w:rPr>
                  </w:pPr>
                  <w:r>
                    <w:rPr>
                      <w:rFonts w:hint="eastAsia"/>
                      <w:bCs/>
                    </w:rPr>
                    <w:t>2</w:t>
                  </w:r>
                </w:p>
              </w:tc>
              <w:tc>
                <w:tcPr>
                  <w:tcW w:w="1375" w:type="pct"/>
                  <w:vAlign w:val="center"/>
                </w:tcPr>
                <w:p>
                  <w:pPr>
                    <w:spacing w:line="300" w:lineRule="exact"/>
                    <w:rPr>
                      <w:bCs/>
                    </w:rPr>
                  </w:pPr>
                  <w:r>
                    <w:rPr>
                      <w:bCs/>
                    </w:rPr>
                    <w:t>应急组织机构、人员</w:t>
                  </w:r>
                </w:p>
              </w:tc>
              <w:tc>
                <w:tcPr>
                  <w:tcW w:w="3140" w:type="pct"/>
                  <w:vAlign w:val="center"/>
                </w:tcPr>
                <w:p>
                  <w:pPr>
                    <w:spacing w:line="300" w:lineRule="exact"/>
                    <w:rPr>
                      <w:bCs/>
                    </w:rPr>
                  </w:pPr>
                  <w:r>
                    <w:rPr>
                      <w:bCs/>
                    </w:rPr>
                    <w:t>工程、地区应急组织机构、人员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485" w:type="pct"/>
                  <w:vAlign w:val="center"/>
                </w:tcPr>
                <w:p>
                  <w:pPr>
                    <w:spacing w:line="300" w:lineRule="exact"/>
                    <w:jc w:val="center"/>
                    <w:rPr>
                      <w:bCs/>
                    </w:rPr>
                  </w:pPr>
                  <w:r>
                    <w:rPr>
                      <w:rFonts w:hint="eastAsia"/>
                      <w:bCs/>
                    </w:rPr>
                    <w:t>3</w:t>
                  </w:r>
                </w:p>
              </w:tc>
              <w:tc>
                <w:tcPr>
                  <w:tcW w:w="1375" w:type="pct"/>
                  <w:vAlign w:val="center"/>
                </w:tcPr>
                <w:p>
                  <w:pPr>
                    <w:spacing w:line="300" w:lineRule="exact"/>
                    <w:rPr>
                      <w:bCs/>
                    </w:rPr>
                  </w:pPr>
                  <w:r>
                    <w:rPr>
                      <w:bCs/>
                    </w:rPr>
                    <w:t>预案分级响应条件</w:t>
                  </w:r>
                </w:p>
              </w:tc>
              <w:tc>
                <w:tcPr>
                  <w:tcW w:w="3140" w:type="pct"/>
                  <w:vAlign w:val="center"/>
                </w:tcPr>
                <w:p>
                  <w:pPr>
                    <w:spacing w:line="300" w:lineRule="exact"/>
                    <w:rPr>
                      <w:bCs/>
                    </w:rPr>
                  </w:pPr>
                  <w:r>
                    <w:rPr>
                      <w:bCs/>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485" w:type="pct"/>
                  <w:vAlign w:val="center"/>
                </w:tcPr>
                <w:p>
                  <w:pPr>
                    <w:spacing w:line="300" w:lineRule="exact"/>
                    <w:jc w:val="center"/>
                    <w:rPr>
                      <w:bCs/>
                    </w:rPr>
                  </w:pPr>
                  <w:r>
                    <w:rPr>
                      <w:rFonts w:hint="eastAsia"/>
                      <w:bCs/>
                    </w:rPr>
                    <w:t>4</w:t>
                  </w:r>
                </w:p>
              </w:tc>
              <w:tc>
                <w:tcPr>
                  <w:tcW w:w="1375" w:type="pct"/>
                  <w:vAlign w:val="center"/>
                </w:tcPr>
                <w:p>
                  <w:pPr>
                    <w:spacing w:line="300" w:lineRule="exact"/>
                    <w:rPr>
                      <w:bCs/>
                    </w:rPr>
                  </w:pPr>
                  <w:r>
                    <w:rPr>
                      <w:bCs/>
                    </w:rPr>
                    <w:t>应急救援保障</w:t>
                  </w:r>
                </w:p>
              </w:tc>
              <w:tc>
                <w:tcPr>
                  <w:tcW w:w="3140" w:type="pct"/>
                  <w:vAlign w:val="center"/>
                </w:tcPr>
                <w:p>
                  <w:pPr>
                    <w:spacing w:line="300" w:lineRule="exact"/>
                    <w:rPr>
                      <w:bCs/>
                    </w:rPr>
                  </w:pPr>
                  <w:r>
                    <w:rPr>
                      <w:bCs/>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485" w:type="pct"/>
                  <w:vAlign w:val="center"/>
                </w:tcPr>
                <w:p>
                  <w:pPr>
                    <w:spacing w:line="300" w:lineRule="exact"/>
                    <w:jc w:val="center"/>
                    <w:rPr>
                      <w:bCs/>
                    </w:rPr>
                  </w:pPr>
                  <w:r>
                    <w:rPr>
                      <w:rFonts w:hint="eastAsia"/>
                      <w:bCs/>
                    </w:rPr>
                    <w:t>5</w:t>
                  </w:r>
                </w:p>
              </w:tc>
              <w:tc>
                <w:tcPr>
                  <w:tcW w:w="1375" w:type="pct"/>
                  <w:vAlign w:val="center"/>
                </w:tcPr>
                <w:p>
                  <w:pPr>
                    <w:spacing w:line="300" w:lineRule="exact"/>
                    <w:rPr>
                      <w:bCs/>
                    </w:rPr>
                  </w:pPr>
                  <w:r>
                    <w:rPr>
                      <w:bCs/>
                    </w:rPr>
                    <w:t>报警、通讯联络方式</w:t>
                  </w:r>
                </w:p>
              </w:tc>
              <w:tc>
                <w:tcPr>
                  <w:tcW w:w="3140" w:type="pct"/>
                  <w:vAlign w:val="center"/>
                </w:tcPr>
                <w:p>
                  <w:pPr>
                    <w:spacing w:line="300" w:lineRule="exact"/>
                    <w:rPr>
                      <w:bCs/>
                    </w:rPr>
                  </w:pPr>
                  <w:r>
                    <w:rPr>
                      <w:bCs/>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485" w:type="pct"/>
                  <w:vAlign w:val="center"/>
                </w:tcPr>
                <w:p>
                  <w:pPr>
                    <w:spacing w:line="300" w:lineRule="exact"/>
                    <w:jc w:val="center"/>
                    <w:rPr>
                      <w:bCs/>
                    </w:rPr>
                  </w:pPr>
                  <w:r>
                    <w:rPr>
                      <w:rFonts w:hint="eastAsia"/>
                      <w:bCs/>
                    </w:rPr>
                    <w:t>6</w:t>
                  </w:r>
                </w:p>
              </w:tc>
              <w:tc>
                <w:tcPr>
                  <w:tcW w:w="1375" w:type="pct"/>
                  <w:vAlign w:val="center"/>
                </w:tcPr>
                <w:p>
                  <w:pPr>
                    <w:spacing w:line="300" w:lineRule="exact"/>
                    <w:rPr>
                      <w:bCs/>
                    </w:rPr>
                  </w:pPr>
                  <w:r>
                    <w:rPr>
                      <w:bCs/>
                    </w:rPr>
                    <w:t>应急环境监测、抢险、救援及控制措施</w:t>
                  </w:r>
                </w:p>
              </w:tc>
              <w:tc>
                <w:tcPr>
                  <w:tcW w:w="3140" w:type="pct"/>
                  <w:vAlign w:val="center"/>
                </w:tcPr>
                <w:p>
                  <w:pPr>
                    <w:spacing w:line="300" w:lineRule="exact"/>
                    <w:rPr>
                      <w:bCs/>
                    </w:rPr>
                  </w:pPr>
                  <w:r>
                    <w:rPr>
                      <w:bCs/>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485" w:type="pct"/>
                  <w:vAlign w:val="center"/>
                </w:tcPr>
                <w:p>
                  <w:pPr>
                    <w:spacing w:line="300" w:lineRule="exact"/>
                    <w:jc w:val="center"/>
                    <w:rPr>
                      <w:bCs/>
                    </w:rPr>
                  </w:pPr>
                  <w:r>
                    <w:rPr>
                      <w:rFonts w:hint="eastAsia"/>
                      <w:bCs/>
                    </w:rPr>
                    <w:t>7</w:t>
                  </w:r>
                </w:p>
              </w:tc>
              <w:tc>
                <w:tcPr>
                  <w:tcW w:w="1375" w:type="pct"/>
                  <w:vAlign w:val="center"/>
                </w:tcPr>
                <w:p>
                  <w:pPr>
                    <w:spacing w:line="300" w:lineRule="exact"/>
                    <w:rPr>
                      <w:bCs/>
                    </w:rPr>
                  </w:pPr>
                  <w:r>
                    <w:rPr>
                      <w:bCs/>
                    </w:rPr>
                    <w:t>应急监测、防护措施、清楚泄漏措施和器材</w:t>
                  </w:r>
                </w:p>
              </w:tc>
              <w:tc>
                <w:tcPr>
                  <w:tcW w:w="3140" w:type="pct"/>
                  <w:vAlign w:val="center"/>
                </w:tcPr>
                <w:p>
                  <w:pPr>
                    <w:spacing w:line="300" w:lineRule="exact"/>
                    <w:rPr>
                      <w:bCs/>
                    </w:rPr>
                  </w:pPr>
                  <w:r>
                    <w:rPr>
                      <w:bCs/>
                    </w:rPr>
                    <w:t>事故现场、临近区域、控制防火区域，控制和清除污染措施及相应设备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exact"/>
                <w:jc w:val="center"/>
              </w:trPr>
              <w:tc>
                <w:tcPr>
                  <w:tcW w:w="485" w:type="pct"/>
                  <w:vAlign w:val="center"/>
                </w:tcPr>
                <w:p>
                  <w:pPr>
                    <w:spacing w:line="300" w:lineRule="exact"/>
                    <w:jc w:val="center"/>
                    <w:rPr>
                      <w:bCs/>
                    </w:rPr>
                  </w:pPr>
                  <w:r>
                    <w:rPr>
                      <w:rFonts w:hint="eastAsia"/>
                      <w:bCs/>
                    </w:rPr>
                    <w:t>8</w:t>
                  </w:r>
                </w:p>
              </w:tc>
              <w:tc>
                <w:tcPr>
                  <w:tcW w:w="1375" w:type="pct"/>
                  <w:vAlign w:val="center"/>
                </w:tcPr>
                <w:p>
                  <w:pPr>
                    <w:spacing w:line="300" w:lineRule="exact"/>
                    <w:rPr>
                      <w:bCs/>
                    </w:rPr>
                  </w:pPr>
                  <w:r>
                    <w:rPr>
                      <w:bCs/>
                    </w:rPr>
                    <w:t>人员紧急撤离、疏散，应急剂量控制、撤离组织计划</w:t>
                  </w:r>
                </w:p>
              </w:tc>
              <w:tc>
                <w:tcPr>
                  <w:tcW w:w="3140" w:type="pct"/>
                  <w:vAlign w:val="center"/>
                </w:tcPr>
                <w:p>
                  <w:pPr>
                    <w:spacing w:line="300" w:lineRule="exact"/>
                    <w:rPr>
                      <w:bCs/>
                    </w:rPr>
                  </w:pPr>
                  <w:r>
                    <w:rPr>
                      <w:bCs/>
                    </w:rPr>
                    <w:t>事故现场、工厂临近区、受事故影响的区域人员及公众对毒物应急剂量控制规定，撤离组织计划及救护，医疗救护与公众健康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485" w:type="pct"/>
                  <w:vAlign w:val="center"/>
                </w:tcPr>
                <w:p>
                  <w:pPr>
                    <w:spacing w:line="300" w:lineRule="exact"/>
                    <w:jc w:val="center"/>
                    <w:rPr>
                      <w:bCs/>
                    </w:rPr>
                  </w:pPr>
                  <w:r>
                    <w:rPr>
                      <w:rFonts w:hint="eastAsia"/>
                      <w:bCs/>
                    </w:rPr>
                    <w:t>9</w:t>
                  </w:r>
                </w:p>
              </w:tc>
              <w:tc>
                <w:tcPr>
                  <w:tcW w:w="1375" w:type="pct"/>
                  <w:vAlign w:val="center"/>
                </w:tcPr>
                <w:p>
                  <w:pPr>
                    <w:spacing w:line="300" w:lineRule="exact"/>
                    <w:rPr>
                      <w:bCs/>
                    </w:rPr>
                  </w:pPr>
                  <w:r>
                    <w:rPr>
                      <w:bCs/>
                    </w:rPr>
                    <w:t>事故应急救援关闭程序与恢复措施</w:t>
                  </w:r>
                </w:p>
              </w:tc>
              <w:tc>
                <w:tcPr>
                  <w:tcW w:w="3140" w:type="pct"/>
                  <w:vAlign w:val="center"/>
                </w:tcPr>
                <w:p>
                  <w:pPr>
                    <w:spacing w:line="300" w:lineRule="exact"/>
                    <w:rPr>
                      <w:bCs/>
                    </w:rPr>
                  </w:pPr>
                  <w:r>
                    <w:rPr>
                      <w:bCs/>
                    </w:rPr>
                    <w:t>规定应急状态终止程序；事故现场善后处理，恢复措施；临近区域接触事故警戒及善后恢复措施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485" w:type="pct"/>
                  <w:vAlign w:val="center"/>
                </w:tcPr>
                <w:p>
                  <w:pPr>
                    <w:spacing w:line="300" w:lineRule="exact"/>
                    <w:jc w:val="center"/>
                    <w:rPr>
                      <w:bCs/>
                    </w:rPr>
                  </w:pPr>
                  <w:r>
                    <w:rPr>
                      <w:rFonts w:hint="eastAsia"/>
                      <w:bCs/>
                    </w:rPr>
                    <w:t>10</w:t>
                  </w:r>
                </w:p>
              </w:tc>
              <w:tc>
                <w:tcPr>
                  <w:tcW w:w="1375" w:type="pct"/>
                  <w:vAlign w:val="center"/>
                </w:tcPr>
                <w:p>
                  <w:pPr>
                    <w:spacing w:line="300" w:lineRule="exact"/>
                    <w:rPr>
                      <w:bCs/>
                    </w:rPr>
                  </w:pPr>
                  <w:r>
                    <w:rPr>
                      <w:bCs/>
                    </w:rPr>
                    <w:t>应急培训计划</w:t>
                  </w:r>
                </w:p>
              </w:tc>
              <w:tc>
                <w:tcPr>
                  <w:tcW w:w="3140" w:type="pct"/>
                  <w:vAlign w:val="center"/>
                </w:tcPr>
                <w:p>
                  <w:pPr>
                    <w:spacing w:line="300" w:lineRule="exact"/>
                    <w:rPr>
                      <w:bCs/>
                    </w:rPr>
                  </w:pPr>
                  <w:r>
                    <w:rPr>
                      <w:bCs/>
                    </w:rPr>
                    <w:t>应急计划制定后，平时安排人员培训与演练</w:t>
                  </w:r>
                </w:p>
              </w:tc>
            </w:tr>
          </w:tbl>
          <w:p>
            <w:pPr>
              <w:pStyle w:val="75"/>
              <w:kinsoku w:val="0"/>
              <w:overflowPunct w:val="0"/>
              <w:spacing w:before="120" w:beforeLines="50" w:line="360" w:lineRule="auto"/>
              <w:ind w:firstLine="460" w:firstLineChars="200"/>
              <w:rPr>
                <w:rFonts w:ascii="Times New Roman"/>
                <w:spacing w:val="-5"/>
                <w:sz w:val="24"/>
                <w:szCs w:val="24"/>
                <w:lang w:eastAsia="zh-CN"/>
              </w:rPr>
            </w:pPr>
            <w:r>
              <w:rPr>
                <w:rFonts w:hint="eastAsia" w:ascii="Times New Roman"/>
                <w:spacing w:val="-5"/>
                <w:sz w:val="24"/>
                <w:szCs w:val="24"/>
                <w:lang w:eastAsia="zh-CN"/>
              </w:rPr>
              <w:t>本项目存在火灾、尘爆、泄露风险事故，建设单位对上述风险采取了有效措施。本环评认为该项目措施有力，能够有效降低上述风险发生的概率或者减少风险造成的损失和对周边环境的影响。项目的风险措施有效提升了项目开展的社会、经济和环境效益，从风险角度分析，项目建设是可行的。</w:t>
            </w:r>
          </w:p>
          <w:p>
            <w:pPr>
              <w:spacing w:line="360" w:lineRule="auto"/>
              <w:ind w:firstLine="482" w:firstLineChars="200"/>
              <w:rPr>
                <w:bCs/>
                <w:sz w:val="24"/>
              </w:rPr>
            </w:pPr>
            <w:r>
              <w:rPr>
                <w:rFonts w:eastAsiaTheme="minorEastAsia"/>
                <w:b/>
                <w:kern w:val="28"/>
                <w:sz w:val="24"/>
              </w:rPr>
              <w:t>8</w:t>
            </w:r>
            <w:r>
              <w:rPr>
                <w:b/>
                <w:sz w:val="24"/>
              </w:rPr>
              <w:t>、新老污染源“三本账”</w:t>
            </w:r>
          </w:p>
          <w:p>
            <w:pPr>
              <w:spacing w:line="360" w:lineRule="auto"/>
              <w:ind w:firstLine="482" w:firstLineChars="200"/>
              <w:rPr>
                <w:sz w:val="24"/>
              </w:rPr>
            </w:pPr>
            <w:r>
              <w:rPr>
                <w:rFonts w:hint="eastAsia"/>
                <w:b/>
                <w:bCs/>
                <w:sz w:val="24"/>
              </w:rPr>
              <w:t>本项目技改前后产能不变，技改后原生产线原辅料用量及生产时间均减少6</w:t>
            </w:r>
            <w:r>
              <w:rPr>
                <w:b/>
                <w:bCs/>
                <w:sz w:val="24"/>
              </w:rPr>
              <w:t>0%</w:t>
            </w:r>
            <w:r>
              <w:rPr>
                <w:rFonts w:hint="eastAsia"/>
                <w:b/>
                <w:bCs/>
                <w:sz w:val="24"/>
              </w:rPr>
              <w:t>，同时原生产线用成品石灰粉替代石灰块生产，减少石灰块破碎粉尘的产生，同时加强了其他各产尘点喷雾降尘措施的实施，故原生产线粉尘产生量将大大减少，新建生产线有组织粉尘通过集气设施收集后经布袋除尘器处理，无组织粉尘采取喷雾降尘等措施，另将破碎工序置于封闭车间内，减少了粉尘的无组织排放，经采取以上措施后本项目废气未增加，故项目原址改建可行，具体</w:t>
            </w:r>
            <w:r>
              <w:rPr>
                <w:b/>
                <w:bCs/>
                <w:sz w:val="24"/>
              </w:rPr>
              <w:t>改建前后新老污染源“</w:t>
            </w:r>
            <w:r>
              <w:rPr>
                <w:rFonts w:hint="eastAsia"/>
                <w:b/>
                <w:bCs/>
                <w:sz w:val="24"/>
                <w:lang w:eastAsia="zh-CN"/>
              </w:rPr>
              <w:t>三本账</w:t>
            </w:r>
            <w:r>
              <w:rPr>
                <w:b/>
                <w:bCs/>
                <w:sz w:val="24"/>
              </w:rPr>
              <w:t>”见下表。</w:t>
            </w:r>
          </w:p>
          <w:p>
            <w:pPr>
              <w:ind w:firstLine="422"/>
              <w:jc w:val="center"/>
              <w:rPr>
                <w:sz w:val="22"/>
                <w:szCs w:val="28"/>
              </w:rPr>
            </w:pPr>
            <w:r>
              <w:rPr>
                <w:b/>
                <w:sz w:val="22"/>
                <w:szCs w:val="28"/>
              </w:rPr>
              <w:t>表4-19项目改建前后污染物排放“</w:t>
            </w:r>
            <w:r>
              <w:rPr>
                <w:rFonts w:hint="eastAsia"/>
                <w:b/>
                <w:sz w:val="22"/>
                <w:szCs w:val="28"/>
                <w:lang w:eastAsia="zh-CN"/>
              </w:rPr>
              <w:t>三本账</w:t>
            </w:r>
            <w:r>
              <w:rPr>
                <w:b/>
                <w:sz w:val="22"/>
                <w:szCs w:val="28"/>
              </w:rPr>
              <w:t>”比较（单位：t/a）</w:t>
            </w:r>
          </w:p>
          <w:tbl>
            <w:tblPr>
              <w:tblStyle w:val="25"/>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1"/>
              <w:gridCol w:w="1357"/>
              <w:gridCol w:w="1392"/>
              <w:gridCol w:w="1343"/>
              <w:gridCol w:w="1196"/>
              <w:gridCol w:w="1493"/>
              <w:gridCol w:w="1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jc w:val="center"/>
                    <w:rPr>
                      <w:b/>
                      <w:szCs w:val="21"/>
                    </w:rPr>
                  </w:pPr>
                  <w:r>
                    <w:rPr>
                      <w:b/>
                      <w:szCs w:val="21"/>
                    </w:rPr>
                    <w:t>类别</w:t>
                  </w:r>
                </w:p>
              </w:tc>
              <w:tc>
                <w:tcPr>
                  <w:tcW w:w="789" w:type="pct"/>
                  <w:shd w:val="clear" w:color="auto" w:fill="auto"/>
                  <w:vAlign w:val="center"/>
                </w:tcPr>
                <w:p>
                  <w:pPr>
                    <w:jc w:val="center"/>
                    <w:rPr>
                      <w:b/>
                      <w:szCs w:val="21"/>
                    </w:rPr>
                  </w:pPr>
                  <w:r>
                    <w:rPr>
                      <w:b/>
                      <w:szCs w:val="21"/>
                    </w:rPr>
                    <w:t>污染物</w:t>
                  </w:r>
                </w:p>
              </w:tc>
              <w:tc>
                <w:tcPr>
                  <w:tcW w:w="809" w:type="pct"/>
                  <w:shd w:val="clear" w:color="auto" w:fill="auto"/>
                  <w:vAlign w:val="center"/>
                </w:tcPr>
                <w:p>
                  <w:pPr>
                    <w:jc w:val="center"/>
                    <w:rPr>
                      <w:b/>
                      <w:szCs w:val="21"/>
                    </w:rPr>
                  </w:pPr>
                  <w:r>
                    <w:rPr>
                      <w:b/>
                      <w:szCs w:val="21"/>
                    </w:rPr>
                    <w:t>改建前项目排放量（t/a）</w:t>
                  </w:r>
                </w:p>
              </w:tc>
              <w:tc>
                <w:tcPr>
                  <w:tcW w:w="781" w:type="pct"/>
                  <w:shd w:val="clear" w:color="auto" w:fill="auto"/>
                  <w:vAlign w:val="center"/>
                </w:tcPr>
                <w:p>
                  <w:pPr>
                    <w:jc w:val="center"/>
                    <w:rPr>
                      <w:b/>
                      <w:szCs w:val="21"/>
                    </w:rPr>
                  </w:pPr>
                  <w:r>
                    <w:rPr>
                      <w:b/>
                      <w:szCs w:val="21"/>
                    </w:rPr>
                    <w:t>拟建项目排放量（t/a）</w:t>
                  </w:r>
                </w:p>
              </w:tc>
              <w:tc>
                <w:tcPr>
                  <w:tcW w:w="695" w:type="pct"/>
                  <w:shd w:val="clear" w:color="auto" w:fill="auto"/>
                  <w:vAlign w:val="center"/>
                </w:tcPr>
                <w:p>
                  <w:pPr>
                    <w:jc w:val="center"/>
                    <w:rPr>
                      <w:b/>
                      <w:szCs w:val="21"/>
                    </w:rPr>
                  </w:pPr>
                  <w:r>
                    <w:rPr>
                      <w:b/>
                      <w:szCs w:val="21"/>
                    </w:rPr>
                    <w:t>以新带老削减量（t/a）</w:t>
                  </w:r>
                </w:p>
              </w:tc>
              <w:tc>
                <w:tcPr>
                  <w:tcW w:w="868" w:type="pct"/>
                  <w:shd w:val="clear" w:color="auto" w:fill="auto"/>
                  <w:vAlign w:val="center"/>
                </w:tcPr>
                <w:p>
                  <w:pPr>
                    <w:jc w:val="center"/>
                    <w:rPr>
                      <w:b/>
                      <w:szCs w:val="21"/>
                    </w:rPr>
                  </w:pPr>
                  <w:r>
                    <w:rPr>
                      <w:b/>
                      <w:szCs w:val="21"/>
                    </w:rPr>
                    <w:t>改建工程完成后总排放量（t/a）</w:t>
                  </w:r>
                </w:p>
              </w:tc>
              <w:tc>
                <w:tcPr>
                  <w:tcW w:w="732" w:type="pct"/>
                  <w:shd w:val="clear" w:color="auto" w:fill="auto"/>
                  <w:vAlign w:val="center"/>
                </w:tcPr>
                <w:p>
                  <w:pPr>
                    <w:jc w:val="center"/>
                    <w:rPr>
                      <w:b/>
                      <w:szCs w:val="21"/>
                    </w:rPr>
                  </w:pPr>
                  <w:r>
                    <w:rPr>
                      <w:b/>
                      <w:szCs w:val="21"/>
                    </w:rPr>
                    <w:t>增减量变化（t/a）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restart"/>
                  <w:shd w:val="clear" w:color="auto" w:fill="auto"/>
                  <w:vAlign w:val="center"/>
                </w:tcPr>
                <w:p>
                  <w:pPr>
                    <w:rPr>
                      <w:b/>
                      <w:bCs/>
                      <w:szCs w:val="21"/>
                    </w:rPr>
                  </w:pPr>
                  <w:r>
                    <w:rPr>
                      <w:b/>
                      <w:bCs/>
                      <w:szCs w:val="21"/>
                    </w:rPr>
                    <w:t>废气</w:t>
                  </w:r>
                </w:p>
              </w:tc>
              <w:tc>
                <w:tcPr>
                  <w:tcW w:w="789" w:type="pct"/>
                  <w:shd w:val="clear" w:color="auto" w:fill="auto"/>
                  <w:vAlign w:val="center"/>
                </w:tcPr>
                <w:p>
                  <w:pPr>
                    <w:jc w:val="center"/>
                    <w:rPr>
                      <w:spacing w:val="-20"/>
                      <w:szCs w:val="21"/>
                    </w:rPr>
                  </w:pPr>
                  <w:r>
                    <w:rPr>
                      <w:szCs w:val="21"/>
                    </w:rPr>
                    <w:t>粉尘</w:t>
                  </w:r>
                </w:p>
              </w:tc>
              <w:tc>
                <w:tcPr>
                  <w:tcW w:w="809" w:type="pct"/>
                  <w:shd w:val="clear" w:color="auto" w:fill="auto"/>
                  <w:vAlign w:val="center"/>
                </w:tcPr>
                <w:p>
                  <w:pPr>
                    <w:pStyle w:val="15"/>
                    <w:spacing w:line="240" w:lineRule="auto"/>
                    <w:ind w:firstLine="0"/>
                    <w:jc w:val="center"/>
                    <w:rPr>
                      <w:rFonts w:ascii="Times New Roman"/>
                      <w:sz w:val="21"/>
                      <w:szCs w:val="21"/>
                    </w:rPr>
                  </w:pPr>
                  <w:r>
                    <w:rPr>
                      <w:rFonts w:ascii="Times New Roman"/>
                      <w:sz w:val="21"/>
                      <w:szCs w:val="21"/>
                    </w:rPr>
                    <w:t>0.3042</w:t>
                  </w:r>
                </w:p>
              </w:tc>
              <w:tc>
                <w:tcPr>
                  <w:tcW w:w="781" w:type="pct"/>
                  <w:shd w:val="clear" w:color="auto" w:fill="auto"/>
                  <w:vAlign w:val="center"/>
                </w:tcPr>
                <w:p>
                  <w:pPr>
                    <w:widowControl/>
                    <w:jc w:val="center"/>
                    <w:rPr>
                      <w:kern w:val="0"/>
                      <w:szCs w:val="21"/>
                    </w:rPr>
                  </w:pPr>
                  <w:r>
                    <w:rPr>
                      <w:rFonts w:eastAsia="等线"/>
                      <w:szCs w:val="21"/>
                    </w:rPr>
                    <w:t>/</w:t>
                  </w:r>
                </w:p>
              </w:tc>
              <w:tc>
                <w:tcPr>
                  <w:tcW w:w="695" w:type="pct"/>
                  <w:shd w:val="clear" w:color="auto" w:fill="auto"/>
                  <w:vAlign w:val="center"/>
                </w:tcPr>
                <w:p>
                  <w:pPr>
                    <w:widowControl/>
                    <w:jc w:val="center"/>
                    <w:rPr>
                      <w:kern w:val="0"/>
                      <w:szCs w:val="21"/>
                    </w:rPr>
                  </w:pPr>
                  <w:r>
                    <w:rPr>
                      <w:rFonts w:hint="eastAsia"/>
                      <w:sz w:val="22"/>
                      <w:szCs w:val="22"/>
                    </w:rPr>
                    <w:t>0.0764</w:t>
                  </w:r>
                </w:p>
              </w:tc>
              <w:tc>
                <w:tcPr>
                  <w:tcW w:w="868" w:type="pct"/>
                  <w:shd w:val="clear" w:color="auto" w:fill="auto"/>
                  <w:vAlign w:val="center"/>
                </w:tcPr>
                <w:p>
                  <w:pPr>
                    <w:jc w:val="center"/>
                    <w:rPr>
                      <w:szCs w:val="21"/>
                    </w:rPr>
                  </w:pPr>
                  <w:r>
                    <w:rPr>
                      <w:szCs w:val="21"/>
                    </w:rPr>
                    <w:t xml:space="preserve">0.2345  </w:t>
                  </w:r>
                </w:p>
              </w:tc>
              <w:tc>
                <w:tcPr>
                  <w:tcW w:w="732" w:type="pct"/>
                  <w:shd w:val="clear" w:color="auto" w:fill="auto"/>
                  <w:vAlign w:val="center"/>
                </w:tcPr>
                <w:p>
                  <w:pPr>
                    <w:jc w:val="center"/>
                    <w:rPr>
                      <w:rFonts w:eastAsia="等线"/>
                      <w:szCs w:val="21"/>
                    </w:rPr>
                  </w:pPr>
                  <w:r>
                    <w:rPr>
                      <w:rFonts w:eastAsia="等线"/>
                      <w:szCs w:val="21"/>
                    </w:rPr>
                    <w:t>-</w:t>
                  </w:r>
                  <w:r>
                    <w:rPr>
                      <w:szCs w:val="21"/>
                    </w:rPr>
                    <w:t xml:space="preserve">0.0697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ind w:firstLine="420"/>
                    <w:jc w:val="center"/>
                    <w:rPr>
                      <w:b/>
                      <w:bCs/>
                      <w:szCs w:val="21"/>
                    </w:rPr>
                  </w:pPr>
                </w:p>
              </w:tc>
              <w:tc>
                <w:tcPr>
                  <w:tcW w:w="789" w:type="pct"/>
                  <w:shd w:val="clear" w:color="auto" w:fill="auto"/>
                  <w:vAlign w:val="center"/>
                </w:tcPr>
                <w:p>
                  <w:pPr>
                    <w:jc w:val="center"/>
                    <w:rPr>
                      <w:spacing w:val="-20"/>
                      <w:szCs w:val="21"/>
                    </w:rPr>
                  </w:pPr>
                  <w:r>
                    <w:rPr>
                      <w:szCs w:val="21"/>
                    </w:rPr>
                    <w:t>SO</w:t>
                  </w:r>
                  <w:r>
                    <w:rPr>
                      <w:szCs w:val="21"/>
                      <w:vertAlign w:val="subscript"/>
                    </w:rPr>
                    <w:t>2</w:t>
                  </w:r>
                </w:p>
              </w:tc>
              <w:tc>
                <w:tcPr>
                  <w:tcW w:w="809" w:type="pct"/>
                  <w:shd w:val="clear" w:color="auto" w:fill="auto"/>
                  <w:vAlign w:val="center"/>
                </w:tcPr>
                <w:p>
                  <w:pPr>
                    <w:pStyle w:val="15"/>
                    <w:spacing w:line="240" w:lineRule="auto"/>
                    <w:ind w:firstLine="0"/>
                    <w:jc w:val="center"/>
                    <w:rPr>
                      <w:rFonts w:ascii="Times New Roman"/>
                      <w:sz w:val="21"/>
                      <w:szCs w:val="21"/>
                    </w:rPr>
                  </w:pPr>
                  <w:r>
                    <w:rPr>
                      <w:rFonts w:ascii="Times New Roman"/>
                      <w:sz w:val="21"/>
                      <w:szCs w:val="21"/>
                    </w:rPr>
                    <w:t>0.24</w:t>
                  </w:r>
                </w:p>
              </w:tc>
              <w:tc>
                <w:tcPr>
                  <w:tcW w:w="781" w:type="pct"/>
                  <w:shd w:val="clear" w:color="auto" w:fill="auto"/>
                  <w:vAlign w:val="center"/>
                </w:tcPr>
                <w:p>
                  <w:pPr>
                    <w:jc w:val="center"/>
                    <w:rPr>
                      <w:szCs w:val="21"/>
                    </w:rPr>
                  </w:pPr>
                  <w:r>
                    <w:rPr>
                      <w:rFonts w:eastAsia="等线"/>
                      <w:szCs w:val="21"/>
                    </w:rPr>
                    <w:t>/</w:t>
                  </w:r>
                </w:p>
              </w:tc>
              <w:tc>
                <w:tcPr>
                  <w:tcW w:w="695" w:type="pct"/>
                  <w:shd w:val="clear" w:color="auto" w:fill="auto"/>
                  <w:vAlign w:val="center"/>
                </w:tcPr>
                <w:p>
                  <w:pPr>
                    <w:jc w:val="center"/>
                    <w:rPr>
                      <w:szCs w:val="21"/>
                    </w:rPr>
                  </w:pPr>
                  <w:r>
                    <w:rPr>
                      <w:rFonts w:eastAsia="等线"/>
                      <w:szCs w:val="21"/>
                    </w:rPr>
                    <w:t>/</w:t>
                  </w:r>
                </w:p>
              </w:tc>
              <w:tc>
                <w:tcPr>
                  <w:tcW w:w="868" w:type="pct"/>
                  <w:shd w:val="clear" w:color="auto" w:fill="auto"/>
                  <w:vAlign w:val="center"/>
                </w:tcPr>
                <w:p>
                  <w:pPr>
                    <w:jc w:val="center"/>
                    <w:rPr>
                      <w:szCs w:val="21"/>
                    </w:rPr>
                  </w:pPr>
                  <w:r>
                    <w:rPr>
                      <w:szCs w:val="21"/>
                    </w:rPr>
                    <w:t>0.24</w:t>
                  </w:r>
                </w:p>
              </w:tc>
              <w:tc>
                <w:tcPr>
                  <w:tcW w:w="732" w:type="pct"/>
                  <w:shd w:val="clear" w:color="auto" w:fill="auto"/>
                  <w:vAlign w:val="center"/>
                </w:tcPr>
                <w:p>
                  <w:pPr>
                    <w:jc w:val="center"/>
                    <w:rPr>
                      <w:szCs w:val="21"/>
                    </w:rPr>
                  </w:pPr>
                  <w:r>
                    <w:rPr>
                      <w:rFonts w:eastAsia="等线"/>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ind w:firstLine="420"/>
                    <w:jc w:val="center"/>
                    <w:rPr>
                      <w:b/>
                      <w:bCs/>
                      <w:szCs w:val="21"/>
                    </w:rPr>
                  </w:pPr>
                </w:p>
              </w:tc>
              <w:tc>
                <w:tcPr>
                  <w:tcW w:w="789" w:type="pct"/>
                  <w:shd w:val="clear" w:color="auto" w:fill="auto"/>
                  <w:vAlign w:val="center"/>
                </w:tcPr>
                <w:p>
                  <w:pPr>
                    <w:jc w:val="center"/>
                    <w:rPr>
                      <w:spacing w:val="-20"/>
                      <w:szCs w:val="21"/>
                    </w:rPr>
                  </w:pPr>
                  <w:r>
                    <w:rPr>
                      <w:szCs w:val="21"/>
                    </w:rPr>
                    <w:t>NOx</w:t>
                  </w:r>
                </w:p>
              </w:tc>
              <w:tc>
                <w:tcPr>
                  <w:tcW w:w="809" w:type="pct"/>
                  <w:shd w:val="clear" w:color="auto" w:fill="auto"/>
                  <w:vAlign w:val="center"/>
                </w:tcPr>
                <w:p>
                  <w:pPr>
                    <w:pStyle w:val="15"/>
                    <w:spacing w:line="240" w:lineRule="auto"/>
                    <w:ind w:firstLine="0"/>
                    <w:jc w:val="center"/>
                    <w:rPr>
                      <w:rFonts w:ascii="Times New Roman"/>
                      <w:sz w:val="21"/>
                      <w:szCs w:val="21"/>
                    </w:rPr>
                  </w:pPr>
                  <w:r>
                    <w:rPr>
                      <w:rFonts w:ascii="Times New Roman"/>
                      <w:sz w:val="21"/>
                      <w:szCs w:val="21"/>
                    </w:rPr>
                    <w:t>0.42</w:t>
                  </w:r>
                </w:p>
              </w:tc>
              <w:tc>
                <w:tcPr>
                  <w:tcW w:w="781" w:type="pct"/>
                  <w:shd w:val="clear" w:color="auto" w:fill="auto"/>
                  <w:vAlign w:val="center"/>
                </w:tcPr>
                <w:p>
                  <w:pPr>
                    <w:jc w:val="center"/>
                    <w:rPr>
                      <w:szCs w:val="21"/>
                    </w:rPr>
                  </w:pPr>
                  <w:r>
                    <w:rPr>
                      <w:rFonts w:eastAsia="等线"/>
                      <w:szCs w:val="21"/>
                    </w:rPr>
                    <w:t>/</w:t>
                  </w:r>
                </w:p>
              </w:tc>
              <w:tc>
                <w:tcPr>
                  <w:tcW w:w="695" w:type="pct"/>
                  <w:shd w:val="clear" w:color="auto" w:fill="auto"/>
                  <w:vAlign w:val="center"/>
                </w:tcPr>
                <w:p>
                  <w:pPr>
                    <w:jc w:val="center"/>
                    <w:rPr>
                      <w:szCs w:val="21"/>
                    </w:rPr>
                  </w:pPr>
                  <w:r>
                    <w:rPr>
                      <w:rFonts w:eastAsia="等线"/>
                      <w:szCs w:val="21"/>
                    </w:rPr>
                    <w:t>/</w:t>
                  </w:r>
                </w:p>
              </w:tc>
              <w:tc>
                <w:tcPr>
                  <w:tcW w:w="868" w:type="pct"/>
                  <w:shd w:val="clear" w:color="auto" w:fill="auto"/>
                  <w:vAlign w:val="center"/>
                </w:tcPr>
                <w:p>
                  <w:pPr>
                    <w:jc w:val="center"/>
                    <w:rPr>
                      <w:szCs w:val="21"/>
                    </w:rPr>
                  </w:pPr>
                  <w:r>
                    <w:rPr>
                      <w:szCs w:val="21"/>
                    </w:rPr>
                    <w:t>0.42</w:t>
                  </w:r>
                </w:p>
              </w:tc>
              <w:tc>
                <w:tcPr>
                  <w:tcW w:w="732" w:type="pct"/>
                  <w:shd w:val="clear" w:color="auto" w:fill="auto"/>
                  <w:vAlign w:val="center"/>
                </w:tcPr>
                <w:p>
                  <w:pPr>
                    <w:jc w:val="center"/>
                    <w:rPr>
                      <w:szCs w:val="21"/>
                    </w:rPr>
                  </w:pPr>
                  <w:r>
                    <w:rPr>
                      <w:rFonts w:eastAsia="等线"/>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jc w:val="center"/>
                    <w:rPr>
                      <w:b/>
                      <w:bCs/>
                      <w:szCs w:val="21"/>
                    </w:rPr>
                  </w:pPr>
                  <w:r>
                    <w:rPr>
                      <w:b/>
                      <w:bCs/>
                      <w:szCs w:val="21"/>
                    </w:rPr>
                    <w:t>废水</w:t>
                  </w:r>
                </w:p>
              </w:tc>
              <w:tc>
                <w:tcPr>
                  <w:tcW w:w="789" w:type="pct"/>
                  <w:shd w:val="clear" w:color="auto" w:fill="auto"/>
                  <w:vAlign w:val="center"/>
                </w:tcPr>
                <w:p>
                  <w:pPr>
                    <w:jc w:val="center"/>
                    <w:rPr>
                      <w:szCs w:val="21"/>
                    </w:rPr>
                  </w:pPr>
                  <w:r>
                    <w:rPr>
                      <w:szCs w:val="21"/>
                    </w:rPr>
                    <w:t>生活污水</w:t>
                  </w:r>
                  <w:r>
                    <w:rPr>
                      <w:b/>
                      <w:szCs w:val="21"/>
                    </w:rPr>
                    <w:t>（</w:t>
                  </w:r>
                  <w:r>
                    <w:rPr>
                      <w:rFonts w:eastAsiaTheme="minorEastAsia"/>
                      <w:szCs w:val="21"/>
                    </w:rPr>
                    <w:t>m</w:t>
                  </w:r>
                  <w:r>
                    <w:rPr>
                      <w:rFonts w:eastAsiaTheme="minorEastAsia"/>
                      <w:szCs w:val="21"/>
                      <w:vertAlign w:val="superscript"/>
                    </w:rPr>
                    <w:t>3</w:t>
                  </w:r>
                  <w:r>
                    <w:rPr>
                      <w:b/>
                      <w:szCs w:val="21"/>
                    </w:rPr>
                    <w:t>/d）</w:t>
                  </w:r>
                </w:p>
              </w:tc>
              <w:tc>
                <w:tcPr>
                  <w:tcW w:w="809" w:type="pct"/>
                  <w:shd w:val="clear" w:color="auto" w:fill="auto"/>
                  <w:vAlign w:val="center"/>
                </w:tcPr>
                <w:p>
                  <w:pPr>
                    <w:jc w:val="center"/>
                    <w:rPr>
                      <w:szCs w:val="21"/>
                    </w:rPr>
                  </w:pPr>
                  <w:r>
                    <w:rPr>
                      <w:szCs w:val="21"/>
                    </w:rPr>
                    <w:t>0.64</w:t>
                  </w:r>
                </w:p>
              </w:tc>
              <w:tc>
                <w:tcPr>
                  <w:tcW w:w="781" w:type="pct"/>
                  <w:shd w:val="clear" w:color="auto" w:fill="auto"/>
                  <w:vAlign w:val="center"/>
                </w:tcPr>
                <w:p>
                  <w:pPr>
                    <w:jc w:val="center"/>
                    <w:rPr>
                      <w:szCs w:val="21"/>
                    </w:rPr>
                  </w:pPr>
                  <w:r>
                    <w:rPr>
                      <w:szCs w:val="21"/>
                    </w:rPr>
                    <w:t>0.55</w:t>
                  </w:r>
                </w:p>
              </w:tc>
              <w:tc>
                <w:tcPr>
                  <w:tcW w:w="695" w:type="pct"/>
                  <w:shd w:val="clear" w:color="auto" w:fill="auto"/>
                  <w:vAlign w:val="center"/>
                </w:tcPr>
                <w:p>
                  <w:pPr>
                    <w:jc w:val="center"/>
                    <w:rPr>
                      <w:szCs w:val="21"/>
                    </w:rPr>
                  </w:pPr>
                  <w:r>
                    <w:rPr>
                      <w:rFonts w:eastAsia="等线"/>
                      <w:szCs w:val="21"/>
                    </w:rPr>
                    <w:t>/</w:t>
                  </w:r>
                </w:p>
              </w:tc>
              <w:tc>
                <w:tcPr>
                  <w:tcW w:w="868" w:type="pct"/>
                  <w:shd w:val="clear" w:color="auto" w:fill="auto"/>
                  <w:vAlign w:val="center"/>
                </w:tcPr>
                <w:p>
                  <w:pPr>
                    <w:jc w:val="center"/>
                    <w:rPr>
                      <w:szCs w:val="21"/>
                    </w:rPr>
                  </w:pPr>
                  <w:r>
                    <w:rPr>
                      <w:szCs w:val="21"/>
                    </w:rPr>
                    <w:t>1.19</w:t>
                  </w:r>
                </w:p>
              </w:tc>
              <w:tc>
                <w:tcPr>
                  <w:tcW w:w="732" w:type="pct"/>
                  <w:shd w:val="clear" w:color="auto" w:fill="auto"/>
                  <w:vAlign w:val="center"/>
                </w:tcPr>
                <w:p>
                  <w:pPr>
                    <w:jc w:val="center"/>
                    <w:rPr>
                      <w:szCs w:val="21"/>
                    </w:rPr>
                  </w:pPr>
                  <w:r>
                    <w:rPr>
                      <w:szCs w:val="21"/>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restart"/>
                  <w:shd w:val="clear" w:color="auto" w:fill="auto"/>
                  <w:vAlign w:val="center"/>
                </w:tcPr>
                <w:p>
                  <w:pPr>
                    <w:jc w:val="center"/>
                    <w:rPr>
                      <w:b/>
                      <w:bCs/>
                      <w:szCs w:val="21"/>
                    </w:rPr>
                  </w:pPr>
                  <w:r>
                    <w:rPr>
                      <w:rFonts w:hint="eastAsia"/>
                      <w:b/>
                      <w:bCs/>
                      <w:szCs w:val="21"/>
                    </w:rPr>
                    <w:t>固废</w:t>
                  </w:r>
                </w:p>
              </w:tc>
              <w:tc>
                <w:tcPr>
                  <w:tcW w:w="789" w:type="pct"/>
                  <w:shd w:val="clear" w:color="auto" w:fill="auto"/>
                  <w:vAlign w:val="center"/>
                </w:tcPr>
                <w:p>
                  <w:pPr>
                    <w:jc w:val="center"/>
                    <w:rPr>
                      <w:szCs w:val="21"/>
                    </w:rPr>
                  </w:pPr>
                  <w:r>
                    <w:rPr>
                      <w:rFonts w:hint="eastAsia"/>
                      <w:szCs w:val="21"/>
                    </w:rPr>
                    <w:t>生活垃圾</w:t>
                  </w:r>
                </w:p>
              </w:tc>
              <w:tc>
                <w:tcPr>
                  <w:tcW w:w="809" w:type="pct"/>
                  <w:shd w:val="clear" w:color="auto" w:fill="auto"/>
                  <w:vAlign w:val="center"/>
                </w:tcPr>
                <w:p>
                  <w:pPr>
                    <w:jc w:val="center"/>
                    <w:rPr>
                      <w:szCs w:val="21"/>
                    </w:rPr>
                  </w:pPr>
                  <w:r>
                    <w:rPr>
                      <w:rFonts w:hint="eastAsia"/>
                      <w:szCs w:val="21"/>
                    </w:rPr>
                    <w:t>2</w:t>
                  </w:r>
                  <w:r>
                    <w:rPr>
                      <w:szCs w:val="21"/>
                    </w:rPr>
                    <w:t>.25</w:t>
                  </w:r>
                </w:p>
              </w:tc>
              <w:tc>
                <w:tcPr>
                  <w:tcW w:w="781" w:type="pct"/>
                  <w:shd w:val="clear" w:color="auto" w:fill="auto"/>
                  <w:vAlign w:val="center"/>
                </w:tcPr>
                <w:p>
                  <w:pPr>
                    <w:jc w:val="center"/>
                    <w:rPr>
                      <w:szCs w:val="21"/>
                    </w:rPr>
                  </w:pPr>
                  <w:r>
                    <w:rPr>
                      <w:rFonts w:hint="eastAsia"/>
                      <w:szCs w:val="21"/>
                    </w:rPr>
                    <w:t>1</w:t>
                  </w:r>
                  <w:r>
                    <w:rPr>
                      <w:szCs w:val="21"/>
                    </w:rPr>
                    <w:t>.95</w:t>
                  </w:r>
                </w:p>
              </w:tc>
              <w:tc>
                <w:tcPr>
                  <w:tcW w:w="695" w:type="pct"/>
                  <w:shd w:val="clear" w:color="auto" w:fill="auto"/>
                  <w:vAlign w:val="center"/>
                </w:tcPr>
                <w:p>
                  <w:pPr>
                    <w:jc w:val="center"/>
                    <w:rPr>
                      <w:rFonts w:eastAsia="等线"/>
                      <w:szCs w:val="21"/>
                    </w:rPr>
                  </w:pPr>
                  <w:r>
                    <w:rPr>
                      <w:rFonts w:hint="eastAsia" w:eastAsia="等线"/>
                      <w:szCs w:val="21"/>
                    </w:rPr>
                    <w:t>/</w:t>
                  </w:r>
                </w:p>
              </w:tc>
              <w:tc>
                <w:tcPr>
                  <w:tcW w:w="868" w:type="pct"/>
                  <w:shd w:val="clear" w:color="auto" w:fill="auto"/>
                  <w:vAlign w:val="center"/>
                </w:tcPr>
                <w:p>
                  <w:pPr>
                    <w:jc w:val="center"/>
                    <w:rPr>
                      <w:szCs w:val="21"/>
                    </w:rPr>
                  </w:pPr>
                  <w:r>
                    <w:rPr>
                      <w:rFonts w:hint="eastAsia"/>
                      <w:szCs w:val="21"/>
                    </w:rPr>
                    <w:t>4</w:t>
                  </w:r>
                  <w:r>
                    <w:rPr>
                      <w:szCs w:val="21"/>
                    </w:rPr>
                    <w:t>.2</w:t>
                  </w:r>
                </w:p>
              </w:tc>
              <w:tc>
                <w:tcPr>
                  <w:tcW w:w="732" w:type="pct"/>
                  <w:shd w:val="clear" w:color="auto" w:fill="auto"/>
                  <w:vAlign w:val="center"/>
                </w:tcPr>
                <w:p>
                  <w:pPr>
                    <w:jc w:val="center"/>
                    <w:rPr>
                      <w:szCs w:val="21"/>
                    </w:rPr>
                  </w:pPr>
                  <w:r>
                    <w:rPr>
                      <w:rFonts w:hint="eastAsia"/>
                      <w:szCs w:val="21"/>
                    </w:rPr>
                    <w:t>+</w:t>
                  </w:r>
                  <w:r>
                    <w:rPr>
                      <w:szCs w:val="21"/>
                    </w:rPr>
                    <w:t>1.95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jc w:val="center"/>
                    <w:rPr>
                      <w:b/>
                      <w:bCs/>
                      <w:szCs w:val="21"/>
                    </w:rPr>
                  </w:pPr>
                </w:p>
              </w:tc>
              <w:tc>
                <w:tcPr>
                  <w:tcW w:w="789" w:type="pct"/>
                  <w:shd w:val="clear" w:color="auto" w:fill="auto"/>
                  <w:vAlign w:val="center"/>
                </w:tcPr>
                <w:p>
                  <w:pPr>
                    <w:jc w:val="center"/>
                    <w:rPr>
                      <w:szCs w:val="21"/>
                    </w:rPr>
                  </w:pPr>
                  <w:r>
                    <w:rPr>
                      <w:rFonts w:eastAsiaTheme="minorEastAsia"/>
                    </w:rPr>
                    <w:t>沉淀池沉渣</w:t>
                  </w:r>
                </w:p>
              </w:tc>
              <w:tc>
                <w:tcPr>
                  <w:tcW w:w="809" w:type="pct"/>
                  <w:shd w:val="clear" w:color="auto" w:fill="auto"/>
                  <w:vAlign w:val="center"/>
                </w:tcPr>
                <w:p>
                  <w:pPr>
                    <w:jc w:val="center"/>
                    <w:rPr>
                      <w:szCs w:val="21"/>
                    </w:rPr>
                  </w:pPr>
                  <w:r>
                    <w:rPr>
                      <w:rFonts w:hint="eastAsia"/>
                    </w:rPr>
                    <w:t>4</w:t>
                  </w:r>
                </w:p>
              </w:tc>
              <w:tc>
                <w:tcPr>
                  <w:tcW w:w="781" w:type="pct"/>
                  <w:shd w:val="clear" w:color="auto" w:fill="auto"/>
                  <w:vAlign w:val="center"/>
                </w:tcPr>
                <w:p>
                  <w:pPr>
                    <w:jc w:val="center"/>
                    <w:rPr>
                      <w:szCs w:val="21"/>
                    </w:rPr>
                  </w:pPr>
                  <w:r>
                    <w:rPr>
                      <w:rFonts w:hint="eastAsia"/>
                      <w:szCs w:val="21"/>
                    </w:rPr>
                    <w:t>/</w:t>
                  </w:r>
                </w:p>
              </w:tc>
              <w:tc>
                <w:tcPr>
                  <w:tcW w:w="695" w:type="pct"/>
                  <w:shd w:val="clear" w:color="auto" w:fill="auto"/>
                  <w:vAlign w:val="center"/>
                </w:tcPr>
                <w:p>
                  <w:pPr>
                    <w:jc w:val="center"/>
                    <w:rPr>
                      <w:rFonts w:eastAsia="等线"/>
                      <w:szCs w:val="21"/>
                    </w:rPr>
                  </w:pPr>
                  <w:r>
                    <w:rPr>
                      <w:rFonts w:hint="eastAsia" w:eastAsia="等线"/>
                      <w:szCs w:val="21"/>
                    </w:rPr>
                    <w:t>/</w:t>
                  </w:r>
                </w:p>
              </w:tc>
              <w:tc>
                <w:tcPr>
                  <w:tcW w:w="868" w:type="pct"/>
                  <w:shd w:val="clear" w:color="auto" w:fill="auto"/>
                  <w:vAlign w:val="center"/>
                </w:tcPr>
                <w:p>
                  <w:pPr>
                    <w:jc w:val="center"/>
                    <w:rPr>
                      <w:szCs w:val="21"/>
                    </w:rPr>
                  </w:pPr>
                  <w:r>
                    <w:rPr>
                      <w:rFonts w:eastAsiaTheme="minorEastAsia"/>
                    </w:rPr>
                    <w:t>4</w:t>
                  </w:r>
                </w:p>
              </w:tc>
              <w:tc>
                <w:tcPr>
                  <w:tcW w:w="732" w:type="pct"/>
                  <w:shd w:val="clear" w:color="auto" w:fill="auto"/>
                  <w:vAlign w:val="center"/>
                </w:tcPr>
                <w:p>
                  <w:pPr>
                    <w:jc w:val="center"/>
                    <w:rPr>
                      <w:szCs w:val="21"/>
                    </w:rPr>
                  </w:pPr>
                  <w:r>
                    <w:rPr>
                      <w:rFonts w:hint="eastAsia"/>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jc w:val="center"/>
                    <w:rPr>
                      <w:b/>
                      <w:bCs/>
                      <w:szCs w:val="21"/>
                    </w:rPr>
                  </w:pPr>
                </w:p>
              </w:tc>
              <w:tc>
                <w:tcPr>
                  <w:tcW w:w="789" w:type="pct"/>
                  <w:shd w:val="clear" w:color="auto" w:fill="auto"/>
                  <w:vAlign w:val="center"/>
                </w:tcPr>
                <w:p>
                  <w:pPr>
                    <w:jc w:val="center"/>
                    <w:rPr>
                      <w:szCs w:val="21"/>
                    </w:rPr>
                  </w:pPr>
                  <w:r>
                    <w:rPr>
                      <w:rFonts w:eastAsiaTheme="minorEastAsia"/>
                    </w:rPr>
                    <w:t>布袋除尘器收集的粉尘</w:t>
                  </w:r>
                </w:p>
              </w:tc>
              <w:tc>
                <w:tcPr>
                  <w:tcW w:w="809" w:type="pct"/>
                  <w:shd w:val="clear" w:color="auto" w:fill="auto"/>
                  <w:vAlign w:val="center"/>
                </w:tcPr>
                <w:p>
                  <w:pPr>
                    <w:jc w:val="center"/>
                    <w:rPr>
                      <w:szCs w:val="21"/>
                    </w:rPr>
                  </w:pPr>
                  <w:r>
                    <w:rPr>
                      <w:rFonts w:hint="eastAsia"/>
                    </w:rPr>
                    <w:t>3.61</w:t>
                  </w:r>
                </w:p>
              </w:tc>
              <w:tc>
                <w:tcPr>
                  <w:tcW w:w="781" w:type="pct"/>
                  <w:shd w:val="clear" w:color="auto" w:fill="auto"/>
                  <w:vAlign w:val="center"/>
                </w:tcPr>
                <w:p>
                  <w:pPr>
                    <w:jc w:val="center"/>
                    <w:rPr>
                      <w:szCs w:val="21"/>
                    </w:rPr>
                  </w:pPr>
                  <w:r>
                    <w:rPr>
                      <w:rFonts w:hint="eastAsia"/>
                      <w:szCs w:val="21"/>
                    </w:rPr>
                    <w:t>9</w:t>
                  </w:r>
                  <w:r>
                    <w:rPr>
                      <w:szCs w:val="21"/>
                    </w:rPr>
                    <w:t>.59</w:t>
                  </w:r>
                </w:p>
              </w:tc>
              <w:tc>
                <w:tcPr>
                  <w:tcW w:w="695" w:type="pct"/>
                  <w:shd w:val="clear" w:color="auto" w:fill="auto"/>
                  <w:vAlign w:val="center"/>
                </w:tcPr>
                <w:p>
                  <w:pPr>
                    <w:jc w:val="center"/>
                    <w:rPr>
                      <w:rFonts w:eastAsia="等线"/>
                      <w:szCs w:val="21"/>
                    </w:rPr>
                  </w:pPr>
                  <w:r>
                    <w:rPr>
                      <w:rFonts w:hint="eastAsia" w:eastAsia="等线"/>
                      <w:szCs w:val="21"/>
                    </w:rPr>
                    <w:t>/</w:t>
                  </w:r>
                </w:p>
              </w:tc>
              <w:tc>
                <w:tcPr>
                  <w:tcW w:w="868" w:type="pct"/>
                  <w:shd w:val="clear" w:color="auto" w:fill="auto"/>
                  <w:vAlign w:val="center"/>
                </w:tcPr>
                <w:p>
                  <w:pPr>
                    <w:jc w:val="center"/>
                    <w:rPr>
                      <w:szCs w:val="21"/>
                    </w:rPr>
                  </w:pPr>
                  <w:r>
                    <w:rPr>
                      <w:rFonts w:eastAsiaTheme="minorEastAsia"/>
                    </w:rPr>
                    <w:t>13.2</w:t>
                  </w:r>
                </w:p>
              </w:tc>
              <w:tc>
                <w:tcPr>
                  <w:tcW w:w="732" w:type="pct"/>
                  <w:shd w:val="clear" w:color="auto" w:fill="auto"/>
                  <w:vAlign w:val="center"/>
                </w:tcPr>
                <w:p>
                  <w:pPr>
                    <w:jc w:val="center"/>
                    <w:rPr>
                      <w:szCs w:val="21"/>
                    </w:rPr>
                  </w:pPr>
                  <w:r>
                    <w:rPr>
                      <w:rFonts w:hint="eastAsia"/>
                      <w:szCs w:val="21"/>
                    </w:rPr>
                    <w:t>+</w:t>
                  </w:r>
                  <w:r>
                    <w:rPr>
                      <w:szCs w:val="21"/>
                    </w:rPr>
                    <w:t>9.59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jc w:val="center"/>
                    <w:rPr>
                      <w:b/>
                      <w:bCs/>
                      <w:szCs w:val="21"/>
                    </w:rPr>
                  </w:pPr>
                </w:p>
              </w:tc>
              <w:tc>
                <w:tcPr>
                  <w:tcW w:w="789" w:type="pct"/>
                  <w:shd w:val="clear" w:color="auto" w:fill="auto"/>
                  <w:vAlign w:val="center"/>
                </w:tcPr>
                <w:p>
                  <w:pPr>
                    <w:jc w:val="center"/>
                    <w:rPr>
                      <w:szCs w:val="21"/>
                    </w:rPr>
                  </w:pPr>
                  <w:r>
                    <w:rPr>
                      <w:rFonts w:eastAsiaTheme="minorEastAsia"/>
                    </w:rPr>
                    <w:t>不合格品</w:t>
                  </w:r>
                </w:p>
              </w:tc>
              <w:tc>
                <w:tcPr>
                  <w:tcW w:w="809" w:type="pct"/>
                  <w:shd w:val="clear" w:color="auto" w:fill="auto"/>
                  <w:vAlign w:val="center"/>
                </w:tcPr>
                <w:p>
                  <w:pPr>
                    <w:jc w:val="center"/>
                    <w:rPr>
                      <w:szCs w:val="21"/>
                    </w:rPr>
                  </w:pPr>
                  <w:r>
                    <w:rPr>
                      <w:rFonts w:hint="eastAsia"/>
                    </w:rPr>
                    <w:t>20</w:t>
                  </w:r>
                </w:p>
              </w:tc>
              <w:tc>
                <w:tcPr>
                  <w:tcW w:w="781" w:type="pct"/>
                  <w:shd w:val="clear" w:color="auto" w:fill="auto"/>
                  <w:vAlign w:val="center"/>
                </w:tcPr>
                <w:p>
                  <w:pPr>
                    <w:jc w:val="center"/>
                    <w:rPr>
                      <w:szCs w:val="21"/>
                    </w:rPr>
                  </w:pPr>
                  <w:r>
                    <w:rPr>
                      <w:rFonts w:hint="eastAsia"/>
                      <w:szCs w:val="21"/>
                    </w:rPr>
                    <w:t>9</w:t>
                  </w:r>
                  <w:r>
                    <w:rPr>
                      <w:szCs w:val="21"/>
                    </w:rPr>
                    <w:t>.76</w:t>
                  </w:r>
                </w:p>
              </w:tc>
              <w:tc>
                <w:tcPr>
                  <w:tcW w:w="695" w:type="pct"/>
                  <w:shd w:val="clear" w:color="auto" w:fill="auto"/>
                  <w:vAlign w:val="center"/>
                </w:tcPr>
                <w:p>
                  <w:pPr>
                    <w:jc w:val="center"/>
                    <w:rPr>
                      <w:rFonts w:eastAsia="等线"/>
                      <w:szCs w:val="21"/>
                    </w:rPr>
                  </w:pPr>
                  <w:r>
                    <w:rPr>
                      <w:rFonts w:hint="eastAsia" w:eastAsia="等线"/>
                      <w:szCs w:val="21"/>
                    </w:rPr>
                    <w:t>/</w:t>
                  </w:r>
                </w:p>
              </w:tc>
              <w:tc>
                <w:tcPr>
                  <w:tcW w:w="868" w:type="pct"/>
                  <w:shd w:val="clear" w:color="auto" w:fill="auto"/>
                  <w:vAlign w:val="center"/>
                </w:tcPr>
                <w:p>
                  <w:pPr>
                    <w:jc w:val="center"/>
                    <w:rPr>
                      <w:szCs w:val="21"/>
                    </w:rPr>
                  </w:pPr>
                  <w:r>
                    <w:rPr>
                      <w:rFonts w:eastAsiaTheme="minorEastAsia"/>
                    </w:rPr>
                    <w:t>29.76</w:t>
                  </w:r>
                </w:p>
              </w:tc>
              <w:tc>
                <w:tcPr>
                  <w:tcW w:w="732" w:type="pct"/>
                  <w:shd w:val="clear" w:color="auto" w:fill="auto"/>
                  <w:vAlign w:val="center"/>
                </w:tcPr>
                <w:p>
                  <w:pPr>
                    <w:jc w:val="center"/>
                    <w:rPr>
                      <w:szCs w:val="21"/>
                    </w:rPr>
                  </w:pPr>
                  <w:r>
                    <w:rPr>
                      <w:rFonts w:hint="eastAsia"/>
                      <w:szCs w:val="21"/>
                    </w:rPr>
                    <w:t>+</w:t>
                  </w:r>
                  <w:r>
                    <w:rPr>
                      <w:szCs w:val="21"/>
                    </w:rPr>
                    <w:t>9.76</w:t>
                  </w:r>
                </w:p>
              </w:tc>
            </w:tr>
          </w:tbl>
          <w:p>
            <w:pPr>
              <w:spacing w:before="120" w:beforeLines="50" w:line="360" w:lineRule="auto"/>
              <w:ind w:firstLine="480" w:firstLineChars="200"/>
              <w:rPr>
                <w:sz w:val="24"/>
              </w:rPr>
            </w:pPr>
            <w:r>
              <w:rPr>
                <w:sz w:val="24"/>
              </w:rPr>
              <w:t>由表可以看出，本次项目改建完成后，通过采取相应的环保措施后废气排放减少，并在区域环境内具有正效益作用。</w:t>
            </w:r>
          </w:p>
          <w:p>
            <w:pPr>
              <w:spacing w:line="360" w:lineRule="auto"/>
              <w:rPr>
                <w:rFonts w:eastAsiaTheme="minorEastAsia"/>
                <w:b/>
                <w:kern w:val="28"/>
                <w:sz w:val="24"/>
              </w:rPr>
            </w:pPr>
            <w:r>
              <w:rPr>
                <w:rFonts w:eastAsiaTheme="minorEastAsia"/>
                <w:b/>
                <w:kern w:val="28"/>
                <w:sz w:val="24"/>
              </w:rPr>
              <w:t>9</w:t>
            </w:r>
            <w:r>
              <w:rPr>
                <w:b/>
                <w:sz w:val="24"/>
              </w:rPr>
              <w:t>、</w:t>
            </w:r>
            <w:r>
              <w:rPr>
                <w:rFonts w:eastAsiaTheme="minorEastAsia"/>
                <w:b/>
                <w:kern w:val="28"/>
                <w:sz w:val="24"/>
              </w:rPr>
              <w:t>环保投资</w:t>
            </w:r>
          </w:p>
          <w:p>
            <w:pPr>
              <w:spacing w:line="360" w:lineRule="auto"/>
              <w:ind w:firstLine="480" w:firstLineChars="200"/>
              <w:rPr>
                <w:rFonts w:eastAsiaTheme="minorEastAsia"/>
                <w:sz w:val="24"/>
              </w:rPr>
            </w:pPr>
            <w:r>
              <w:rPr>
                <w:rFonts w:eastAsiaTheme="minorEastAsia"/>
                <w:sz w:val="24"/>
              </w:rPr>
              <w:t>本项目建设总投资1000万元，项目环保投资预计为64万元，占项目总投资的6.4%，项目环保设施及投资详见下表。</w:t>
            </w:r>
          </w:p>
          <w:p>
            <w:pPr>
              <w:pStyle w:val="61"/>
              <w:spacing w:line="360" w:lineRule="auto"/>
              <w:ind w:firstLine="482" w:firstLineChars="200"/>
              <w:rPr>
                <w:rFonts w:eastAsiaTheme="minorEastAsia"/>
              </w:rPr>
            </w:pPr>
            <w:r>
              <w:rPr>
                <w:rFonts w:eastAsiaTheme="minorEastAsia"/>
              </w:rPr>
              <w:t>表4-20 项目环保投资一览表   单位：万元</w:t>
            </w:r>
          </w:p>
          <w:tbl>
            <w:tblPr>
              <w:tblStyle w:val="25"/>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65"/>
              <w:gridCol w:w="960"/>
              <w:gridCol w:w="1678"/>
              <w:gridCol w:w="3172"/>
              <w:gridCol w:w="1110"/>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80"/>
                    <w:rPr>
                      <w:rFonts w:ascii="Times New Roman" w:hAnsi="Times New Roman" w:eastAsiaTheme="minorEastAsia"/>
                      <w:szCs w:val="21"/>
                    </w:rPr>
                  </w:pPr>
                  <w:r>
                    <w:rPr>
                      <w:rFonts w:ascii="Times New Roman" w:hAnsi="Times New Roman" w:eastAsiaTheme="minorEastAsia"/>
                      <w:szCs w:val="21"/>
                    </w:rPr>
                    <w:t>序号</w:t>
                  </w:r>
                </w:p>
              </w:tc>
              <w:tc>
                <w:tcPr>
                  <w:tcW w:w="562" w:type="pct"/>
                  <w:vAlign w:val="center"/>
                </w:tcPr>
                <w:p>
                  <w:pPr>
                    <w:pStyle w:val="80"/>
                    <w:rPr>
                      <w:rFonts w:ascii="Times New Roman" w:hAnsi="Times New Roman" w:eastAsiaTheme="minorEastAsia"/>
                      <w:szCs w:val="21"/>
                    </w:rPr>
                  </w:pPr>
                  <w:r>
                    <w:rPr>
                      <w:rFonts w:ascii="Times New Roman" w:hAnsi="Times New Roman" w:eastAsiaTheme="minorEastAsia"/>
                      <w:szCs w:val="21"/>
                    </w:rPr>
                    <w:t>类型</w:t>
                  </w:r>
                </w:p>
              </w:tc>
              <w:tc>
                <w:tcPr>
                  <w:tcW w:w="982" w:type="pct"/>
                  <w:vAlign w:val="center"/>
                </w:tcPr>
                <w:p>
                  <w:pPr>
                    <w:pStyle w:val="80"/>
                    <w:rPr>
                      <w:rFonts w:ascii="Times New Roman" w:hAnsi="Times New Roman" w:eastAsiaTheme="minorEastAsia"/>
                      <w:szCs w:val="21"/>
                    </w:rPr>
                  </w:pPr>
                  <w:r>
                    <w:rPr>
                      <w:rFonts w:ascii="Times New Roman" w:hAnsi="Times New Roman" w:eastAsiaTheme="minorEastAsia"/>
                      <w:szCs w:val="21"/>
                    </w:rPr>
                    <w:t>污染源</w:t>
                  </w:r>
                </w:p>
              </w:tc>
              <w:tc>
                <w:tcPr>
                  <w:tcW w:w="1857" w:type="pct"/>
                  <w:vAlign w:val="center"/>
                </w:tcPr>
                <w:p>
                  <w:pPr>
                    <w:pStyle w:val="80"/>
                    <w:rPr>
                      <w:rFonts w:ascii="Times New Roman" w:hAnsi="Times New Roman" w:eastAsiaTheme="minorEastAsia"/>
                      <w:szCs w:val="21"/>
                    </w:rPr>
                  </w:pPr>
                  <w:r>
                    <w:rPr>
                      <w:rFonts w:ascii="Times New Roman" w:hAnsi="Times New Roman" w:eastAsiaTheme="minorEastAsia"/>
                      <w:szCs w:val="21"/>
                    </w:rPr>
                    <w:t>治理内容</w:t>
                  </w:r>
                </w:p>
              </w:tc>
              <w:tc>
                <w:tcPr>
                  <w:tcW w:w="650" w:type="pct"/>
                  <w:vAlign w:val="center"/>
                </w:tcPr>
                <w:p>
                  <w:pPr>
                    <w:pStyle w:val="80"/>
                    <w:rPr>
                      <w:rFonts w:ascii="Times New Roman" w:hAnsi="Times New Roman" w:eastAsiaTheme="minorEastAsia"/>
                      <w:szCs w:val="21"/>
                    </w:rPr>
                  </w:pPr>
                  <w:r>
                    <w:rPr>
                      <w:rFonts w:ascii="Times New Roman" w:hAnsi="Times New Roman" w:eastAsiaTheme="minorEastAsia"/>
                      <w:szCs w:val="21"/>
                    </w:rPr>
                    <w:t>环保投资（万元）</w:t>
                  </w:r>
                </w:p>
              </w:tc>
              <w:tc>
                <w:tcPr>
                  <w:tcW w:w="560" w:type="pct"/>
                  <w:vAlign w:val="center"/>
                </w:tcPr>
                <w:p>
                  <w:pPr>
                    <w:pStyle w:val="79"/>
                    <w:rPr>
                      <w:rFonts w:ascii="Times New Roman" w:hAnsi="Times New Roman" w:eastAsiaTheme="minorEastAsia"/>
                    </w:rPr>
                  </w:pPr>
                  <w:r>
                    <w:rPr>
                      <w:rFonts w:ascii="Times New Roman" w:hAnsi="Times New Roman" w:eastAsiaTheme="minor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bookmarkStart w:id="12" w:name="OLE_LINK15" w:colFirst="3" w:colLast="3"/>
                  <w:bookmarkStart w:id="13" w:name="OLE_LINK17" w:colFirst="3" w:colLast="3"/>
                  <w:bookmarkStart w:id="14" w:name="OLE_LINK13" w:colFirst="3" w:colLast="3"/>
                  <w:bookmarkStart w:id="15" w:name="_Hlk197079283"/>
                  <w:bookmarkStart w:id="16" w:name="_Hlk179368970"/>
                  <w:bookmarkStart w:id="17" w:name="OLE_LINK10" w:colFirst="3" w:colLast="3"/>
                  <w:bookmarkStart w:id="18" w:name="_Hlk364781672"/>
                  <w:bookmarkStart w:id="19" w:name="OLE_LINK8" w:colFirst="3" w:colLast="3"/>
                  <w:bookmarkStart w:id="20" w:name="_Hlk173502611"/>
                  <w:bookmarkStart w:id="21" w:name="OLE_LINK14" w:colFirst="3" w:colLast="3"/>
                  <w:bookmarkStart w:id="22" w:name="OLE_LINK7" w:colFirst="3" w:colLast="3"/>
                  <w:bookmarkStart w:id="23" w:name="OLE_LINK9" w:colFirst="3" w:colLast="3"/>
                  <w:bookmarkStart w:id="24" w:name="_Hlk197079615"/>
                  <w:bookmarkStart w:id="25" w:name="OLE_LINK16" w:colFirst="3" w:colLast="3"/>
                  <w:r>
                    <w:rPr>
                      <w:rFonts w:ascii="Times New Roman" w:hAnsi="Times New Roman" w:eastAsiaTheme="minorEastAsia"/>
                      <w:b/>
                      <w:bCs/>
                    </w:rPr>
                    <w:t>1</w:t>
                  </w:r>
                </w:p>
              </w:tc>
              <w:tc>
                <w:tcPr>
                  <w:tcW w:w="562" w:type="pct"/>
                  <w:vMerge w:val="restart"/>
                  <w:vAlign w:val="center"/>
                </w:tcPr>
                <w:p>
                  <w:pPr>
                    <w:pStyle w:val="79"/>
                    <w:rPr>
                      <w:rFonts w:ascii="Times New Roman" w:hAnsi="Times New Roman" w:eastAsiaTheme="minorEastAsia"/>
                    </w:rPr>
                  </w:pPr>
                  <w:r>
                    <w:rPr>
                      <w:rFonts w:ascii="Times New Roman" w:hAnsi="Times New Roman" w:eastAsiaTheme="minorEastAsia"/>
                    </w:rPr>
                    <w:t>大气污染物</w:t>
                  </w:r>
                </w:p>
              </w:tc>
              <w:tc>
                <w:tcPr>
                  <w:tcW w:w="982" w:type="pct"/>
                  <w:vAlign w:val="center"/>
                </w:tcPr>
                <w:p>
                  <w:pPr>
                    <w:pStyle w:val="79"/>
                    <w:rPr>
                      <w:rFonts w:ascii="Times New Roman" w:hAnsi="Times New Roman" w:eastAsiaTheme="minorEastAsia"/>
                    </w:rPr>
                  </w:pPr>
                  <w:r>
                    <w:rPr>
                      <w:rFonts w:ascii="Times New Roman" w:hAnsi="Times New Roman" w:eastAsiaTheme="minorEastAsia"/>
                    </w:rPr>
                    <w:t>生产废气</w:t>
                  </w:r>
                </w:p>
              </w:tc>
              <w:tc>
                <w:tcPr>
                  <w:tcW w:w="1857" w:type="pct"/>
                  <w:vAlign w:val="center"/>
                </w:tcPr>
                <w:p>
                  <w:pPr>
                    <w:pStyle w:val="64"/>
                    <w:snapToGrid w:val="0"/>
                    <w:spacing w:line="240" w:lineRule="auto"/>
                    <w:jc w:val="left"/>
                    <w:rPr>
                      <w:rFonts w:ascii="Times New Roman" w:hAnsi="Times New Roman" w:eastAsiaTheme="minorEastAsia"/>
                    </w:rPr>
                  </w:pPr>
                  <w:r>
                    <w:rPr>
                      <w:rFonts w:ascii="Times New Roman" w:hAnsi="Times New Roman" w:eastAsiaTheme="minorEastAsia"/>
                    </w:rPr>
                    <w:t>布袋除尘器1套，15m高排气筒（DA001）1根</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31</w:t>
                  </w:r>
                </w:p>
              </w:tc>
              <w:tc>
                <w:tcPr>
                  <w:tcW w:w="560" w:type="pct"/>
                  <w:vAlign w:val="center"/>
                </w:tcPr>
                <w:p>
                  <w:pPr>
                    <w:pStyle w:val="79"/>
                    <w:rPr>
                      <w:rFonts w:ascii="Times New Roman" w:hAnsi="Times New Roman" w:eastAsiaTheme="minorEastAsia"/>
                      <w:b/>
                      <w:bCs/>
                    </w:rPr>
                  </w:pPr>
                  <w:r>
                    <w:rPr>
                      <w:rFonts w:ascii="Times New Roman" w:hAnsi="Times New Roman" w:eastAsiaTheme="minorEastAsia"/>
                      <w:b/>
                      <w:bCs/>
                    </w:rPr>
                    <w:t>提标改造</w:t>
                  </w:r>
                </w:p>
              </w:tc>
            </w:tr>
            <w:bookmarkEnd w:id="12"/>
            <w:bookmarkEnd w:id="13"/>
            <w:bookmarkEnd w:id="14"/>
            <w:bookmarkEnd w:id="15"/>
            <w:bookmarkEnd w:id="16"/>
            <w:bookmarkEnd w:id="17"/>
            <w:bookmarkEnd w:id="18"/>
            <w:bookmarkEnd w:id="19"/>
            <w:bookmarkEnd w:id="20"/>
            <w:bookmarkEnd w:id="21"/>
            <w:bookmarkEnd w:id="22"/>
            <w:bookmarkEnd w:id="23"/>
            <w:bookmarkEnd w:id="24"/>
            <w:bookmarkEnd w:id="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ascii="Times New Roman" w:hAnsi="Times New Roman" w:eastAsiaTheme="minorEastAsia"/>
                      <w:b/>
                      <w:bCs/>
                    </w:rPr>
                    <w:t>2</w:t>
                  </w:r>
                </w:p>
              </w:tc>
              <w:tc>
                <w:tcPr>
                  <w:tcW w:w="562" w:type="pct"/>
                  <w:vMerge w:val="continue"/>
                  <w:vAlign w:val="center"/>
                </w:tcPr>
                <w:p>
                  <w:pPr>
                    <w:pStyle w:val="79"/>
                    <w:rPr>
                      <w:rFonts w:ascii="Times New Roman" w:hAnsi="Times New Roman" w:eastAsiaTheme="minorEastAsia"/>
                    </w:rPr>
                  </w:pPr>
                </w:p>
              </w:tc>
              <w:tc>
                <w:tcPr>
                  <w:tcW w:w="982" w:type="pct"/>
                  <w:vAlign w:val="center"/>
                </w:tcPr>
                <w:p>
                  <w:pPr>
                    <w:pStyle w:val="79"/>
                    <w:rPr>
                      <w:rFonts w:ascii="Times New Roman" w:hAnsi="Times New Roman" w:eastAsiaTheme="minorEastAsia"/>
                    </w:rPr>
                  </w:pPr>
                  <w:r>
                    <w:rPr>
                      <w:rFonts w:ascii="Times New Roman" w:hAnsi="Times New Roman" w:eastAsiaTheme="minorEastAsia"/>
                    </w:rPr>
                    <w:t>无组织粉尘</w:t>
                  </w:r>
                </w:p>
              </w:tc>
              <w:tc>
                <w:tcPr>
                  <w:tcW w:w="1857" w:type="pct"/>
                  <w:vAlign w:val="center"/>
                </w:tcPr>
                <w:p>
                  <w:pPr>
                    <w:jc w:val="left"/>
                    <w:rPr>
                      <w:rFonts w:eastAsiaTheme="minorEastAsia"/>
                      <w:szCs w:val="21"/>
                    </w:rPr>
                  </w:pPr>
                  <w:r>
                    <w:rPr>
                      <w:rFonts w:hint="eastAsia" w:eastAsiaTheme="minorEastAsia"/>
                      <w:szCs w:val="21"/>
                    </w:rPr>
                    <w:t>设置</w:t>
                  </w:r>
                  <w:r>
                    <w:rPr>
                      <w:rFonts w:eastAsiaTheme="minorEastAsia"/>
                      <w:szCs w:val="21"/>
                    </w:rPr>
                    <w:t>雾炮机1台，建筑垃圾碎石堆存区</w:t>
                  </w:r>
                  <w:r>
                    <w:rPr>
                      <w:rFonts w:hint="eastAsia" w:eastAsiaTheme="minorEastAsia"/>
                      <w:szCs w:val="21"/>
                    </w:rPr>
                    <w:t>等产尘点加设</w:t>
                  </w:r>
                  <w:r>
                    <w:rPr>
                      <w:rFonts w:eastAsiaTheme="minorEastAsia"/>
                      <w:szCs w:val="21"/>
                    </w:rPr>
                    <w:t>喷雾装置</w:t>
                  </w:r>
                  <w:r>
                    <w:rPr>
                      <w:rFonts w:hint="eastAsia" w:eastAsiaTheme="minorEastAsia"/>
                      <w:szCs w:val="21"/>
                    </w:rPr>
                    <w:t>等</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12</w:t>
                  </w:r>
                </w:p>
              </w:tc>
              <w:tc>
                <w:tcPr>
                  <w:tcW w:w="560" w:type="pct"/>
                  <w:vAlign w:val="center"/>
                </w:tcPr>
                <w:p>
                  <w:pPr>
                    <w:pStyle w:val="79"/>
                    <w:rPr>
                      <w:rFonts w:ascii="Times New Roman" w:hAnsi="Times New Roman" w:eastAsiaTheme="minorEastAsia"/>
                      <w:b/>
                      <w:bCs/>
                    </w:rPr>
                  </w:pPr>
                  <w:r>
                    <w:rPr>
                      <w:rFonts w:ascii="Times New Roman" w:hAnsi="Times New Roman" w:eastAsiaTheme="minorEastAsia"/>
                      <w:b/>
                      <w:bCs/>
                    </w:rPr>
                    <w:t>提标改造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ascii="Times New Roman" w:hAnsi="Times New Roman" w:eastAsiaTheme="minorEastAsia"/>
                      <w:b/>
                      <w:bCs/>
                    </w:rPr>
                    <w:t>3</w:t>
                  </w:r>
                </w:p>
              </w:tc>
              <w:tc>
                <w:tcPr>
                  <w:tcW w:w="562" w:type="pct"/>
                  <w:vMerge w:val="continue"/>
                  <w:vAlign w:val="center"/>
                </w:tcPr>
                <w:p>
                  <w:pPr>
                    <w:pStyle w:val="79"/>
                    <w:rPr>
                      <w:rFonts w:ascii="Times New Roman" w:hAnsi="Times New Roman" w:eastAsiaTheme="minorEastAsia"/>
                    </w:rPr>
                  </w:pPr>
                </w:p>
              </w:tc>
              <w:tc>
                <w:tcPr>
                  <w:tcW w:w="982" w:type="pct"/>
                  <w:vAlign w:val="center"/>
                </w:tcPr>
                <w:p>
                  <w:pPr>
                    <w:pStyle w:val="79"/>
                    <w:rPr>
                      <w:rFonts w:ascii="Times New Roman" w:hAnsi="Times New Roman" w:eastAsiaTheme="minorEastAsia"/>
                    </w:rPr>
                  </w:pPr>
                  <w:r>
                    <w:rPr>
                      <w:rFonts w:ascii="Times New Roman" w:hAnsi="Times New Roman" w:eastAsiaTheme="minorEastAsia"/>
                    </w:rPr>
                    <w:t>锅炉烟气</w:t>
                  </w:r>
                </w:p>
              </w:tc>
              <w:tc>
                <w:tcPr>
                  <w:tcW w:w="1857" w:type="pct"/>
                  <w:vAlign w:val="center"/>
                </w:tcPr>
                <w:p>
                  <w:pPr>
                    <w:jc w:val="left"/>
                    <w:rPr>
                      <w:rFonts w:eastAsiaTheme="minorEastAsia"/>
                      <w:szCs w:val="21"/>
                    </w:rPr>
                  </w:pPr>
                  <w:r>
                    <w:rPr>
                      <w:rFonts w:eastAsiaTheme="minorEastAsia"/>
                      <w:szCs w:val="21"/>
                    </w:rPr>
                    <w:t>燃气锅炉采用国内领先的低氮燃烧器，废气通过15m高排气筒排放</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3</w:t>
                  </w:r>
                </w:p>
              </w:tc>
              <w:tc>
                <w:tcPr>
                  <w:tcW w:w="560" w:type="pct"/>
                  <w:vAlign w:val="center"/>
                </w:tcPr>
                <w:p>
                  <w:pPr>
                    <w:pStyle w:val="79"/>
                    <w:rPr>
                      <w:rFonts w:ascii="Times New Roman" w:hAnsi="Times New Roman" w:eastAsiaTheme="minorEastAsia"/>
                    </w:rPr>
                  </w:pPr>
                  <w:r>
                    <w:rPr>
                      <w:rFonts w:ascii="Times New Roman" w:hAnsi="Times New Roman" w:eastAsiaTheme="minorEastAsia"/>
                      <w:b/>
                      <w:bCs/>
                    </w:rPr>
                    <w:t>提标改造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Merge w:val="restart"/>
                  <w:vAlign w:val="center"/>
                </w:tcPr>
                <w:p>
                  <w:pPr>
                    <w:pStyle w:val="79"/>
                    <w:rPr>
                      <w:rFonts w:ascii="Times New Roman" w:hAnsi="Times New Roman" w:eastAsiaTheme="minorEastAsia"/>
                      <w:b/>
                      <w:bCs/>
                    </w:rPr>
                  </w:pPr>
                  <w:r>
                    <w:rPr>
                      <w:rFonts w:ascii="Times New Roman" w:hAnsi="Times New Roman" w:eastAsiaTheme="minorEastAsia"/>
                      <w:b/>
                      <w:bCs/>
                    </w:rPr>
                    <w:t>4</w:t>
                  </w:r>
                </w:p>
              </w:tc>
              <w:tc>
                <w:tcPr>
                  <w:tcW w:w="562" w:type="pct"/>
                  <w:vMerge w:val="restart"/>
                  <w:vAlign w:val="center"/>
                </w:tcPr>
                <w:p>
                  <w:pPr>
                    <w:pStyle w:val="79"/>
                    <w:rPr>
                      <w:rFonts w:ascii="Times New Roman" w:hAnsi="Times New Roman" w:eastAsiaTheme="minorEastAsia"/>
                    </w:rPr>
                  </w:pPr>
                  <w:r>
                    <w:rPr>
                      <w:rFonts w:ascii="Times New Roman" w:hAnsi="Times New Roman" w:eastAsiaTheme="minorEastAsia"/>
                    </w:rPr>
                    <w:t>水污染物</w:t>
                  </w:r>
                </w:p>
              </w:tc>
              <w:tc>
                <w:tcPr>
                  <w:tcW w:w="982" w:type="pct"/>
                  <w:vAlign w:val="center"/>
                </w:tcPr>
                <w:p>
                  <w:pPr>
                    <w:pStyle w:val="79"/>
                    <w:rPr>
                      <w:rFonts w:ascii="Times New Roman" w:hAnsi="Times New Roman" w:eastAsiaTheme="minorEastAsia"/>
                    </w:rPr>
                  </w:pPr>
                  <w:r>
                    <w:rPr>
                      <w:rFonts w:ascii="Times New Roman" w:hAnsi="Times New Roman" w:eastAsiaTheme="minorEastAsia"/>
                    </w:rPr>
                    <w:t>生产废水</w:t>
                  </w:r>
                </w:p>
              </w:tc>
              <w:tc>
                <w:tcPr>
                  <w:tcW w:w="1857" w:type="pct"/>
                  <w:vAlign w:val="center"/>
                </w:tcPr>
                <w:p>
                  <w:pPr>
                    <w:pStyle w:val="64"/>
                    <w:snapToGrid w:val="0"/>
                    <w:spacing w:line="240" w:lineRule="auto"/>
                    <w:jc w:val="left"/>
                    <w:rPr>
                      <w:rFonts w:ascii="Times New Roman" w:hAnsi="Times New Roman" w:eastAsiaTheme="minorEastAsia"/>
                    </w:rPr>
                  </w:pPr>
                  <w:r>
                    <w:rPr>
                      <w:rFonts w:hint="eastAsia" w:ascii="Times New Roman" w:hAnsi="Times New Roman" w:eastAsiaTheme="minorEastAsia"/>
                    </w:rPr>
                    <w:t>加设导流沟，</w:t>
                  </w:r>
                  <w:r>
                    <w:rPr>
                      <w:rFonts w:ascii="Times New Roman" w:hAnsi="Times New Roman" w:eastAsiaTheme="minorEastAsia"/>
                    </w:rPr>
                    <w:t>沉淀池2座，容积</w:t>
                  </w:r>
                  <w:r>
                    <w:rPr>
                      <w:rFonts w:hint="eastAsia" w:ascii="Times New Roman" w:hAnsi="Times New Roman" w:eastAsiaTheme="minorEastAsia"/>
                    </w:rPr>
                    <w:t>分别为2</w:t>
                  </w:r>
                  <w:r>
                    <w:rPr>
                      <w:rFonts w:ascii="Times New Roman" w:hAnsi="Times New Roman" w:eastAsiaTheme="minorEastAsia"/>
                    </w:rPr>
                    <w:t xml:space="preserve"> m</w:t>
                  </w:r>
                  <w:r>
                    <w:rPr>
                      <w:rFonts w:ascii="Times New Roman" w:hAnsi="Times New Roman" w:eastAsiaTheme="minorEastAsia"/>
                      <w:vertAlign w:val="superscript"/>
                    </w:rPr>
                    <w:t>3</w:t>
                  </w:r>
                  <w:r>
                    <w:rPr>
                      <w:rFonts w:hint="eastAsia" w:ascii="Times New Roman" w:hAnsi="Times New Roman" w:eastAsiaTheme="minorEastAsia"/>
                    </w:rPr>
                    <w:t>和</w:t>
                  </w:r>
                  <w:r>
                    <w:rPr>
                      <w:rFonts w:ascii="Times New Roman" w:hAnsi="Times New Roman" w:eastAsiaTheme="minorEastAsia"/>
                    </w:rPr>
                    <w:t>30m</w:t>
                  </w:r>
                  <w:r>
                    <w:rPr>
                      <w:rFonts w:ascii="Times New Roman" w:hAnsi="Times New Roman" w:eastAsiaTheme="minorEastAsia"/>
                      <w:vertAlign w:val="superscript"/>
                    </w:rPr>
                    <w:t>3</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3</w:t>
                  </w:r>
                </w:p>
              </w:tc>
              <w:tc>
                <w:tcPr>
                  <w:tcW w:w="560" w:type="pct"/>
                  <w:vAlign w:val="center"/>
                </w:tcPr>
                <w:p>
                  <w:pPr>
                    <w:pStyle w:val="79"/>
                    <w:rPr>
                      <w:rFonts w:ascii="Times New Roman" w:hAnsi="Times New Roman" w:eastAsiaTheme="minorEastAsia"/>
                    </w:rPr>
                  </w:pPr>
                  <w:r>
                    <w:rPr>
                      <w:rFonts w:ascii="Times New Roman" w:hAnsi="Times New Roman" w:eastAsiaTheme="minorEastAsia"/>
                      <w:b/>
                      <w:bCs/>
                    </w:rPr>
                    <w:t>提标改造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Merge w:val="continue"/>
                  <w:vAlign w:val="center"/>
                </w:tcPr>
                <w:p>
                  <w:pPr>
                    <w:pStyle w:val="79"/>
                    <w:rPr>
                      <w:rFonts w:ascii="Times New Roman" w:hAnsi="Times New Roman" w:eastAsiaTheme="minorEastAsia"/>
                      <w:b/>
                      <w:bCs/>
                    </w:rPr>
                  </w:pPr>
                </w:p>
              </w:tc>
              <w:tc>
                <w:tcPr>
                  <w:tcW w:w="562" w:type="pct"/>
                  <w:vMerge w:val="continue"/>
                  <w:vAlign w:val="center"/>
                </w:tcPr>
                <w:p>
                  <w:pPr>
                    <w:pStyle w:val="79"/>
                    <w:rPr>
                      <w:rFonts w:ascii="Times New Roman" w:hAnsi="Times New Roman" w:eastAsiaTheme="minorEastAsia"/>
                    </w:rPr>
                  </w:pPr>
                </w:p>
              </w:tc>
              <w:tc>
                <w:tcPr>
                  <w:tcW w:w="982" w:type="pct"/>
                  <w:vAlign w:val="center"/>
                </w:tcPr>
                <w:p>
                  <w:pPr>
                    <w:pStyle w:val="79"/>
                    <w:rPr>
                      <w:rFonts w:ascii="Times New Roman" w:hAnsi="Times New Roman" w:eastAsiaTheme="minorEastAsia"/>
                    </w:rPr>
                  </w:pPr>
                  <w:r>
                    <w:rPr>
                      <w:rFonts w:ascii="Times New Roman" w:hAnsi="Times New Roman" w:eastAsiaTheme="minorEastAsia"/>
                    </w:rPr>
                    <w:t>生活污水</w:t>
                  </w:r>
                </w:p>
              </w:tc>
              <w:tc>
                <w:tcPr>
                  <w:tcW w:w="1857" w:type="pct"/>
                  <w:vAlign w:val="center"/>
                </w:tcPr>
                <w:p>
                  <w:pPr>
                    <w:pStyle w:val="79"/>
                    <w:jc w:val="left"/>
                    <w:rPr>
                      <w:rFonts w:ascii="Times New Roman" w:hAnsi="Times New Roman" w:eastAsiaTheme="minorEastAsia"/>
                      <w:vertAlign w:val="superscript"/>
                    </w:rPr>
                  </w:pPr>
                  <w:r>
                    <w:rPr>
                      <w:rFonts w:ascii="Times New Roman" w:hAnsi="Times New Roman" w:eastAsiaTheme="minorEastAsia"/>
                    </w:rPr>
                    <w:t>依托砖厂已有预处理池（10m</w:t>
                  </w:r>
                  <w:r>
                    <w:rPr>
                      <w:rFonts w:ascii="Times New Roman" w:hAnsi="Times New Roman" w:eastAsiaTheme="minorEastAsia"/>
                      <w:vertAlign w:val="superscript"/>
                    </w:rPr>
                    <w:t>3</w:t>
                  </w:r>
                  <w:r>
                    <w:rPr>
                      <w:rFonts w:ascii="Times New Roman" w:hAnsi="Times New Roman" w:eastAsiaTheme="minorEastAsia"/>
                    </w:rPr>
                    <w:t>)</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ascii="Times New Roman" w:hAnsi="Times New Roman" w:eastAsiaTheme="minorEastAsia"/>
                      <w:b/>
                      <w:bCs/>
                    </w:rPr>
                    <w:t>5</w:t>
                  </w:r>
                </w:p>
              </w:tc>
              <w:tc>
                <w:tcPr>
                  <w:tcW w:w="562" w:type="pct"/>
                  <w:vAlign w:val="center"/>
                </w:tcPr>
                <w:p>
                  <w:pPr>
                    <w:pStyle w:val="79"/>
                    <w:rPr>
                      <w:rFonts w:ascii="Times New Roman" w:hAnsi="Times New Roman" w:eastAsiaTheme="minorEastAsia"/>
                    </w:rPr>
                  </w:pPr>
                  <w:r>
                    <w:rPr>
                      <w:rFonts w:ascii="Times New Roman" w:hAnsi="Times New Roman" w:eastAsiaTheme="minorEastAsia"/>
                    </w:rPr>
                    <w:t>噪声</w:t>
                  </w:r>
                </w:p>
              </w:tc>
              <w:tc>
                <w:tcPr>
                  <w:tcW w:w="982" w:type="pct"/>
                  <w:vAlign w:val="center"/>
                </w:tcPr>
                <w:p>
                  <w:pPr>
                    <w:pStyle w:val="79"/>
                    <w:rPr>
                      <w:rFonts w:ascii="Times New Roman" w:hAnsi="Times New Roman" w:eastAsiaTheme="minorEastAsia"/>
                    </w:rPr>
                  </w:pPr>
                  <w:r>
                    <w:rPr>
                      <w:rFonts w:ascii="Times New Roman" w:hAnsi="Times New Roman" w:eastAsiaTheme="minorEastAsia"/>
                    </w:rPr>
                    <w:t>设备噪声</w:t>
                  </w:r>
                </w:p>
              </w:tc>
              <w:tc>
                <w:tcPr>
                  <w:tcW w:w="1857" w:type="pct"/>
                  <w:vAlign w:val="center"/>
                </w:tcPr>
                <w:p>
                  <w:pPr>
                    <w:pStyle w:val="79"/>
                    <w:jc w:val="left"/>
                    <w:rPr>
                      <w:rFonts w:ascii="Times New Roman" w:hAnsi="Times New Roman" w:eastAsiaTheme="minorEastAsia"/>
                    </w:rPr>
                  </w:pPr>
                  <w:r>
                    <w:rPr>
                      <w:rFonts w:ascii="Times New Roman" w:hAnsi="Times New Roman" w:eastAsiaTheme="minorEastAsia"/>
                    </w:rPr>
                    <w:t>基础减振、厂房隔声等措施</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10</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ascii="Times New Roman" w:hAnsi="Times New Roman" w:eastAsiaTheme="minorEastAsia"/>
                      <w:b/>
                      <w:bCs/>
                    </w:rPr>
                    <w:t>6</w:t>
                  </w:r>
                </w:p>
              </w:tc>
              <w:tc>
                <w:tcPr>
                  <w:tcW w:w="562" w:type="pct"/>
                  <w:vAlign w:val="center"/>
                </w:tcPr>
                <w:p>
                  <w:pPr>
                    <w:pStyle w:val="79"/>
                    <w:rPr>
                      <w:rFonts w:ascii="Times New Roman" w:hAnsi="Times New Roman" w:eastAsiaTheme="minorEastAsia"/>
                    </w:rPr>
                  </w:pPr>
                  <w:r>
                    <w:rPr>
                      <w:rFonts w:ascii="Times New Roman" w:hAnsi="Times New Roman" w:eastAsiaTheme="minorEastAsia"/>
                    </w:rPr>
                    <w:t>固体废物</w:t>
                  </w:r>
                </w:p>
              </w:tc>
              <w:tc>
                <w:tcPr>
                  <w:tcW w:w="982" w:type="pct"/>
                  <w:vAlign w:val="center"/>
                </w:tcPr>
                <w:p>
                  <w:pPr>
                    <w:pStyle w:val="79"/>
                    <w:rPr>
                      <w:rFonts w:ascii="Times New Roman" w:hAnsi="Times New Roman" w:eastAsiaTheme="minorEastAsia"/>
                    </w:rPr>
                  </w:pPr>
                  <w:r>
                    <w:rPr>
                      <w:rFonts w:ascii="Times New Roman" w:hAnsi="Times New Roman" w:eastAsiaTheme="minorEastAsia"/>
                    </w:rPr>
                    <w:t>生产生活垃圾、办公垃圾</w:t>
                  </w:r>
                </w:p>
              </w:tc>
              <w:tc>
                <w:tcPr>
                  <w:tcW w:w="1857" w:type="pct"/>
                  <w:vAlign w:val="center"/>
                </w:tcPr>
                <w:p>
                  <w:pPr>
                    <w:pStyle w:val="79"/>
                    <w:jc w:val="left"/>
                    <w:rPr>
                      <w:rFonts w:ascii="Times New Roman" w:hAnsi="Times New Roman" w:eastAsiaTheme="minorEastAsia"/>
                    </w:rPr>
                  </w:pPr>
                  <w:r>
                    <w:rPr>
                      <w:rFonts w:ascii="Times New Roman" w:hAnsi="Times New Roman" w:eastAsiaTheme="minorEastAsia"/>
                    </w:rPr>
                    <w:t>设垃圾桶收集，由环卫部门统一清运</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1</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hint="eastAsia" w:ascii="Times New Roman" w:hAnsi="Times New Roman" w:eastAsiaTheme="minorEastAsia"/>
                      <w:b/>
                      <w:bCs/>
                    </w:rPr>
                    <w:t>7</w:t>
                  </w:r>
                </w:p>
              </w:tc>
              <w:tc>
                <w:tcPr>
                  <w:tcW w:w="562" w:type="pct"/>
                  <w:vAlign w:val="center"/>
                </w:tcPr>
                <w:p>
                  <w:pPr>
                    <w:pStyle w:val="79"/>
                    <w:rPr>
                      <w:rFonts w:ascii="Times New Roman" w:hAnsi="Times New Roman" w:eastAsiaTheme="minorEastAsia"/>
                    </w:rPr>
                  </w:pPr>
                  <w:r>
                    <w:rPr>
                      <w:rFonts w:ascii="Times New Roman"/>
                    </w:rPr>
                    <w:t>地下水</w:t>
                  </w:r>
                </w:p>
              </w:tc>
              <w:tc>
                <w:tcPr>
                  <w:tcW w:w="982" w:type="pct"/>
                  <w:vAlign w:val="center"/>
                </w:tcPr>
                <w:p>
                  <w:pPr>
                    <w:pStyle w:val="79"/>
                    <w:rPr>
                      <w:rFonts w:ascii="Times New Roman" w:hAnsi="Times New Roman" w:eastAsiaTheme="minorEastAsia"/>
                    </w:rPr>
                  </w:pPr>
                  <w:r>
                    <w:rPr>
                      <w:rFonts w:hint="eastAsia" w:ascii="Times New Roman"/>
                    </w:rPr>
                    <w:t>废机油</w:t>
                  </w:r>
                </w:p>
              </w:tc>
              <w:tc>
                <w:tcPr>
                  <w:tcW w:w="1857" w:type="pct"/>
                  <w:vAlign w:val="center"/>
                </w:tcPr>
                <w:p>
                  <w:pPr>
                    <w:pStyle w:val="79"/>
                    <w:jc w:val="left"/>
                    <w:rPr>
                      <w:rFonts w:ascii="Times New Roman" w:hAnsi="Times New Roman" w:eastAsiaTheme="minorEastAsia"/>
                    </w:rPr>
                  </w:pPr>
                  <w:r>
                    <w:rPr>
                      <w:rFonts w:hint="eastAsia" w:ascii="Times New Roman"/>
                    </w:rPr>
                    <w:t>车间地面分区防渗，危废间采取重点防渗</w:t>
                  </w:r>
                  <w:r>
                    <w:rPr>
                      <w:rFonts w:ascii="Times New Roman"/>
                      <w:spacing w:val="-6"/>
                    </w:rPr>
                    <w:t>渗透系数</w:t>
                  </w:r>
                  <w:r>
                    <w:rPr>
                      <w:rFonts w:ascii="Times New Roman" w:hAnsi="Times New Roman"/>
                      <w:spacing w:val="-6"/>
                    </w:rPr>
                    <w:t>K</w:t>
                  </w:r>
                  <w:r>
                    <w:rPr>
                      <w:rFonts w:ascii="Times New Roman"/>
                      <w:spacing w:val="-6"/>
                    </w:rPr>
                    <w:t>≤</w:t>
                  </w:r>
                  <w:r>
                    <w:rPr>
                      <w:rFonts w:ascii="Times New Roman" w:hAnsi="Times New Roman"/>
                      <w:spacing w:val="-6"/>
                    </w:rPr>
                    <w:t>10</w:t>
                  </w:r>
                  <w:r>
                    <w:rPr>
                      <w:rFonts w:ascii="Times New Roman"/>
                      <w:spacing w:val="-6"/>
                      <w:vertAlign w:val="superscript"/>
                    </w:rPr>
                    <w:t>-</w:t>
                  </w:r>
                  <w:r>
                    <w:rPr>
                      <w:rFonts w:ascii="Times New Roman" w:hAnsi="Times New Roman"/>
                      <w:spacing w:val="-6"/>
                      <w:vertAlign w:val="superscript"/>
                    </w:rPr>
                    <w:t>10</w:t>
                  </w:r>
                  <w:r>
                    <w:rPr>
                      <w:rFonts w:ascii="Times New Roman" w:hAnsi="Times New Roman"/>
                      <w:spacing w:val="-6"/>
                    </w:rPr>
                    <w:t>cm</w:t>
                  </w:r>
                  <w:r>
                    <w:rPr>
                      <w:rFonts w:ascii="Times New Roman"/>
                      <w:spacing w:val="-6"/>
                    </w:rPr>
                    <w:t>/</w:t>
                  </w:r>
                  <w:r>
                    <w:rPr>
                      <w:rFonts w:ascii="Times New Roman" w:hAnsi="Times New Roman"/>
                      <w:spacing w:val="-6"/>
                    </w:rPr>
                    <w:t>s</w:t>
                  </w:r>
                  <w:r>
                    <w:rPr>
                      <w:rFonts w:hint="eastAsia" w:ascii="Times New Roman"/>
                      <w:spacing w:val="-6"/>
                    </w:rPr>
                    <w:t>；，车间一般防渗区</w:t>
                  </w:r>
                  <w:r>
                    <w:rPr>
                      <w:rFonts w:ascii="Times New Roman"/>
                      <w:spacing w:val="-6"/>
                    </w:rPr>
                    <w:t>防渗透系数</w:t>
                  </w:r>
                  <w:r>
                    <w:rPr>
                      <w:rFonts w:ascii="Times New Roman" w:hAnsi="Times New Roman"/>
                      <w:spacing w:val="-6"/>
                    </w:rPr>
                    <w:t>K</w:t>
                  </w:r>
                  <w:r>
                    <w:rPr>
                      <w:rFonts w:ascii="Times New Roman"/>
                      <w:spacing w:val="-6"/>
                    </w:rPr>
                    <w:t>≤</w:t>
                  </w:r>
                  <w:r>
                    <w:rPr>
                      <w:rFonts w:ascii="Times New Roman" w:hAnsi="Times New Roman"/>
                      <w:spacing w:val="-6"/>
                    </w:rPr>
                    <w:t>10</w:t>
                  </w:r>
                  <w:r>
                    <w:rPr>
                      <w:rFonts w:ascii="Times New Roman"/>
                      <w:spacing w:val="-6"/>
                      <w:vertAlign w:val="superscript"/>
                    </w:rPr>
                    <w:t>-</w:t>
                  </w:r>
                  <w:r>
                    <w:rPr>
                      <w:rFonts w:ascii="Times New Roman" w:hAnsi="Times New Roman"/>
                      <w:spacing w:val="-6"/>
                      <w:vertAlign w:val="superscript"/>
                    </w:rPr>
                    <w:t>7</w:t>
                  </w:r>
                  <w:r>
                    <w:rPr>
                      <w:rFonts w:ascii="Times New Roman" w:hAnsi="Times New Roman"/>
                      <w:spacing w:val="-6"/>
                    </w:rPr>
                    <w:t>cm</w:t>
                  </w:r>
                  <w:r>
                    <w:rPr>
                      <w:rFonts w:ascii="Times New Roman"/>
                      <w:spacing w:val="-6"/>
                    </w:rPr>
                    <w:t>/</w:t>
                  </w:r>
                  <w:r>
                    <w:rPr>
                      <w:rFonts w:ascii="Times New Roman" w:hAnsi="Times New Roman"/>
                      <w:spacing w:val="-6"/>
                    </w:rPr>
                    <w:t>s</w:t>
                  </w:r>
                  <w:r>
                    <w:rPr>
                      <w:rFonts w:ascii="Times New Roman" w:hAnsi="Times New Roman" w:eastAsiaTheme="minorEastAsia"/>
                    </w:rPr>
                    <w:t xml:space="preserve"> </w:t>
                  </w:r>
                </w:p>
              </w:tc>
              <w:tc>
                <w:tcPr>
                  <w:tcW w:w="650" w:type="pct"/>
                  <w:vAlign w:val="center"/>
                </w:tcPr>
                <w:p>
                  <w:pPr>
                    <w:pStyle w:val="79"/>
                    <w:rPr>
                      <w:rFonts w:ascii="Times New Roman" w:hAnsi="Times New Roman" w:eastAsiaTheme="minorEastAsia"/>
                    </w:rPr>
                  </w:pPr>
                  <w:r>
                    <w:rPr>
                      <w:rFonts w:hint="eastAsia" w:ascii="Times New Roman" w:hAnsi="Times New Roman" w:eastAsiaTheme="minorEastAsia"/>
                    </w:rPr>
                    <w:t>1</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389" w:type="pct"/>
                  <w:vAlign w:val="center"/>
                </w:tcPr>
                <w:p>
                  <w:pPr>
                    <w:pStyle w:val="79"/>
                    <w:rPr>
                      <w:rFonts w:ascii="Times New Roman" w:hAnsi="Times New Roman" w:eastAsiaTheme="minorEastAsia"/>
                      <w:b/>
                      <w:bCs/>
                    </w:rPr>
                  </w:pPr>
                  <w:r>
                    <w:rPr>
                      <w:rFonts w:ascii="Times New Roman" w:hAnsi="Times New Roman" w:eastAsiaTheme="minorEastAsia"/>
                      <w:b/>
                      <w:bCs/>
                    </w:rPr>
                    <w:t>8</w:t>
                  </w:r>
                </w:p>
              </w:tc>
              <w:tc>
                <w:tcPr>
                  <w:tcW w:w="562" w:type="pct"/>
                  <w:vAlign w:val="center"/>
                </w:tcPr>
                <w:p>
                  <w:pPr>
                    <w:pStyle w:val="79"/>
                    <w:rPr>
                      <w:rFonts w:ascii="Times New Roman" w:hAnsi="Times New Roman" w:eastAsiaTheme="minorEastAsia"/>
                    </w:rPr>
                  </w:pPr>
                  <w:r>
                    <w:rPr>
                      <w:rFonts w:ascii="Times New Roman"/>
                    </w:rPr>
                    <w:t>风险</w:t>
                  </w:r>
                </w:p>
              </w:tc>
              <w:tc>
                <w:tcPr>
                  <w:tcW w:w="982" w:type="pct"/>
                  <w:vAlign w:val="center"/>
                </w:tcPr>
                <w:p>
                  <w:pPr>
                    <w:pStyle w:val="79"/>
                    <w:rPr>
                      <w:rFonts w:ascii="Times New Roman" w:hAnsi="Times New Roman" w:eastAsiaTheme="minorEastAsia"/>
                    </w:rPr>
                  </w:pPr>
                  <w:r>
                    <w:rPr>
                      <w:rFonts w:ascii="Times New Roman"/>
                    </w:rPr>
                    <w:t>风险防治</w:t>
                  </w:r>
                </w:p>
              </w:tc>
              <w:tc>
                <w:tcPr>
                  <w:tcW w:w="1857" w:type="pct"/>
                  <w:vAlign w:val="center"/>
                </w:tcPr>
                <w:p>
                  <w:pPr>
                    <w:pStyle w:val="79"/>
                    <w:jc w:val="left"/>
                    <w:rPr>
                      <w:rFonts w:ascii="Times New Roman" w:hAnsi="Times New Roman" w:eastAsiaTheme="minorEastAsia"/>
                    </w:rPr>
                  </w:pPr>
                  <w:r>
                    <w:rPr>
                      <w:rFonts w:ascii="Times New Roman"/>
                    </w:rPr>
                    <w:t>加强风险管理、制定环境风险应急预案、车间配备灭火器、消防栓等。</w:t>
                  </w:r>
                </w:p>
              </w:tc>
              <w:tc>
                <w:tcPr>
                  <w:tcW w:w="650" w:type="pct"/>
                  <w:vAlign w:val="center"/>
                </w:tcPr>
                <w:p>
                  <w:pPr>
                    <w:pStyle w:val="79"/>
                    <w:rPr>
                      <w:rFonts w:ascii="Times New Roman" w:hAnsi="Times New Roman" w:eastAsiaTheme="minorEastAsia"/>
                    </w:rPr>
                  </w:pPr>
                  <w:r>
                    <w:rPr>
                      <w:rFonts w:hint="eastAsia" w:ascii="Times New Roman" w:hAnsi="Times New Roman" w:eastAsiaTheme="minorEastAsia"/>
                    </w:rPr>
                    <w:t>3</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624" w:hRule="atLeast"/>
                <w:jc w:val="center"/>
              </w:trPr>
              <w:tc>
                <w:tcPr>
                  <w:tcW w:w="3790" w:type="pct"/>
                  <w:gridSpan w:val="4"/>
                  <w:vAlign w:val="center"/>
                </w:tcPr>
                <w:p>
                  <w:pPr>
                    <w:pStyle w:val="79"/>
                    <w:rPr>
                      <w:rFonts w:ascii="Times New Roman" w:hAnsi="Times New Roman" w:eastAsiaTheme="minorEastAsia"/>
                    </w:rPr>
                  </w:pPr>
                  <w:r>
                    <w:rPr>
                      <w:rFonts w:ascii="Times New Roman" w:hAnsi="Times New Roman" w:eastAsiaTheme="minorEastAsia"/>
                    </w:rPr>
                    <w:t>合计</w:t>
                  </w:r>
                </w:p>
              </w:tc>
              <w:tc>
                <w:tcPr>
                  <w:tcW w:w="650" w:type="pct"/>
                  <w:vAlign w:val="center"/>
                </w:tcPr>
                <w:p>
                  <w:pPr>
                    <w:pStyle w:val="79"/>
                    <w:rPr>
                      <w:rFonts w:ascii="Times New Roman" w:hAnsi="Times New Roman" w:eastAsiaTheme="minorEastAsia"/>
                    </w:rPr>
                  </w:pPr>
                  <w:r>
                    <w:rPr>
                      <w:rFonts w:ascii="Times New Roman" w:hAnsi="Times New Roman" w:eastAsiaTheme="minorEastAsia"/>
                    </w:rPr>
                    <w:t>64</w:t>
                  </w:r>
                </w:p>
              </w:tc>
              <w:tc>
                <w:tcPr>
                  <w:tcW w:w="560" w:type="pct"/>
                  <w:vAlign w:val="center"/>
                </w:tcPr>
                <w:p>
                  <w:pPr>
                    <w:pStyle w:val="79"/>
                    <w:rPr>
                      <w:rFonts w:ascii="Times New Roman" w:hAnsi="Times New Roman" w:eastAsiaTheme="minorEastAsia"/>
                    </w:rPr>
                  </w:pPr>
                  <w:r>
                    <w:rPr>
                      <w:rFonts w:ascii="Times New Roman" w:hAnsi="Times New Roman" w:eastAsiaTheme="minorEastAsia"/>
                    </w:rPr>
                    <w:t>/</w:t>
                  </w:r>
                </w:p>
              </w:tc>
            </w:tr>
          </w:tbl>
          <w:p>
            <w:pPr>
              <w:pStyle w:val="2"/>
              <w:spacing w:after="0" w:line="360" w:lineRule="auto"/>
              <w:ind w:left="0" w:leftChars="0" w:firstLine="0" w:firstLineChars="0"/>
              <w:rPr>
                <w:rFonts w:eastAsiaTheme="minorEastAsia"/>
                <w:sz w:val="24"/>
              </w:rPr>
            </w:pPr>
          </w:p>
          <w:p>
            <w:pPr>
              <w:pStyle w:val="2"/>
              <w:spacing w:after="0" w:line="360" w:lineRule="auto"/>
              <w:ind w:left="0" w:leftChars="0" w:firstLine="0" w:firstLineChars="0"/>
              <w:rPr>
                <w:rFonts w:eastAsiaTheme="minorEastAsia"/>
                <w:sz w:val="24"/>
              </w:rPr>
            </w:pPr>
          </w:p>
          <w:p>
            <w:pPr>
              <w:pStyle w:val="2"/>
              <w:spacing w:after="0" w:line="360" w:lineRule="auto"/>
              <w:ind w:left="0" w:leftChars="0" w:firstLine="0" w:firstLineChars="0"/>
              <w:rPr>
                <w:rFonts w:eastAsiaTheme="minorEastAsia"/>
                <w:sz w:val="24"/>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26" w:name="_Hlk54167917"/>
      <w:r>
        <w:rPr>
          <w:rFonts w:ascii="Times New Roman" w:hAnsi="Times New Roman"/>
          <w:b/>
          <w:bCs/>
          <w:snapToGrid w:val="0"/>
          <w:sz w:val="30"/>
          <w:szCs w:val="30"/>
        </w:rPr>
        <w:t>环境保护措施监督检查清单</w:t>
      </w:r>
      <w:bookmarkEnd w:id="26"/>
    </w:p>
    <w:tbl>
      <w:tblPr>
        <w:tblStyle w:val="25"/>
        <w:tblW w:w="91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55"/>
        <w:gridCol w:w="1674"/>
        <w:gridCol w:w="1776"/>
        <w:gridCol w:w="2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tcBorders>
              <w:tl2br w:val="single" w:color="auto" w:sz="4" w:space="0"/>
            </w:tcBorders>
          </w:tcPr>
          <w:p>
            <w:pPr>
              <w:adjustRightInd w:val="0"/>
              <w:snapToGrid w:val="0"/>
              <w:spacing w:line="440" w:lineRule="exact"/>
              <w:jc w:val="right"/>
              <w:rPr>
                <w:b/>
                <w:bCs/>
                <w:szCs w:val="21"/>
              </w:rPr>
            </w:pPr>
            <w:r>
              <w:rPr>
                <w:b/>
                <w:bCs/>
                <w:szCs w:val="21"/>
              </w:rPr>
              <w:t>内容</w:t>
            </w:r>
          </w:p>
          <w:p>
            <w:pPr>
              <w:adjustRightInd w:val="0"/>
              <w:snapToGrid w:val="0"/>
              <w:spacing w:line="440" w:lineRule="exact"/>
              <w:ind w:left="105" w:leftChars="50"/>
              <w:rPr>
                <w:b/>
                <w:bCs/>
                <w:szCs w:val="21"/>
              </w:rPr>
            </w:pPr>
            <w:r>
              <w:rPr>
                <w:b/>
                <w:bCs/>
                <w:szCs w:val="21"/>
              </w:rPr>
              <w:t>要素</w:t>
            </w:r>
          </w:p>
        </w:tc>
        <w:tc>
          <w:tcPr>
            <w:tcW w:w="1755" w:type="dxa"/>
            <w:vAlign w:val="center"/>
          </w:tcPr>
          <w:p>
            <w:pPr>
              <w:adjustRightInd w:val="0"/>
              <w:snapToGrid w:val="0"/>
              <w:spacing w:line="440" w:lineRule="exact"/>
              <w:ind w:left="105" w:leftChars="50"/>
              <w:jc w:val="center"/>
              <w:rPr>
                <w:b/>
                <w:bCs/>
                <w:szCs w:val="21"/>
              </w:rPr>
            </w:pPr>
            <w:r>
              <w:rPr>
                <w:b/>
                <w:bCs/>
                <w:szCs w:val="21"/>
              </w:rPr>
              <w:t>排放口(编号、</w:t>
            </w:r>
          </w:p>
          <w:p>
            <w:pPr>
              <w:adjustRightInd w:val="0"/>
              <w:snapToGrid w:val="0"/>
              <w:spacing w:line="440" w:lineRule="exact"/>
              <w:ind w:left="105" w:leftChars="50"/>
              <w:jc w:val="center"/>
              <w:rPr>
                <w:b/>
                <w:bCs/>
                <w:szCs w:val="21"/>
              </w:rPr>
            </w:pPr>
            <w:r>
              <w:rPr>
                <w:b/>
                <w:bCs/>
                <w:szCs w:val="21"/>
              </w:rPr>
              <w:t>名称)/污染源</w:t>
            </w:r>
          </w:p>
        </w:tc>
        <w:tc>
          <w:tcPr>
            <w:tcW w:w="1674" w:type="dxa"/>
            <w:vAlign w:val="center"/>
          </w:tcPr>
          <w:p>
            <w:pPr>
              <w:adjustRightInd w:val="0"/>
              <w:snapToGrid w:val="0"/>
              <w:spacing w:line="440" w:lineRule="exact"/>
              <w:ind w:left="105" w:leftChars="50"/>
              <w:jc w:val="center"/>
              <w:rPr>
                <w:b/>
                <w:bCs/>
                <w:szCs w:val="21"/>
              </w:rPr>
            </w:pPr>
            <w:r>
              <w:rPr>
                <w:b/>
                <w:bCs/>
                <w:szCs w:val="21"/>
              </w:rPr>
              <w:t>污染物项目</w:t>
            </w:r>
          </w:p>
        </w:tc>
        <w:tc>
          <w:tcPr>
            <w:tcW w:w="1776" w:type="dxa"/>
            <w:vAlign w:val="center"/>
          </w:tcPr>
          <w:p>
            <w:pPr>
              <w:adjustRightInd w:val="0"/>
              <w:snapToGrid w:val="0"/>
              <w:spacing w:line="440" w:lineRule="exact"/>
              <w:ind w:left="105" w:leftChars="50"/>
              <w:jc w:val="center"/>
              <w:rPr>
                <w:b/>
                <w:bCs/>
                <w:szCs w:val="21"/>
              </w:rPr>
            </w:pPr>
            <w:r>
              <w:rPr>
                <w:b/>
                <w:bCs/>
                <w:szCs w:val="21"/>
              </w:rPr>
              <w:t>环境保护措施</w:t>
            </w:r>
          </w:p>
        </w:tc>
        <w:tc>
          <w:tcPr>
            <w:tcW w:w="2640" w:type="dxa"/>
            <w:vAlign w:val="center"/>
          </w:tcPr>
          <w:p>
            <w:pPr>
              <w:adjustRightInd w:val="0"/>
              <w:snapToGrid w:val="0"/>
              <w:spacing w:line="440" w:lineRule="exact"/>
              <w:ind w:left="105" w:leftChars="50"/>
              <w:jc w:val="center"/>
              <w:rPr>
                <w:b/>
                <w:bCs/>
                <w:szCs w:val="21"/>
              </w:rPr>
            </w:pPr>
            <w:r>
              <w:rPr>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3" w:type="dxa"/>
            <w:vMerge w:val="restart"/>
            <w:vAlign w:val="center"/>
          </w:tcPr>
          <w:p>
            <w:pPr>
              <w:adjustRightInd w:val="0"/>
              <w:snapToGrid w:val="0"/>
              <w:ind w:left="105" w:leftChars="50"/>
              <w:jc w:val="center"/>
              <w:rPr>
                <w:szCs w:val="21"/>
              </w:rPr>
            </w:pPr>
            <w:r>
              <w:rPr>
                <w:szCs w:val="21"/>
              </w:rPr>
              <w:t>大气环境</w:t>
            </w:r>
          </w:p>
        </w:tc>
        <w:tc>
          <w:tcPr>
            <w:tcW w:w="1755" w:type="dxa"/>
            <w:vAlign w:val="center"/>
          </w:tcPr>
          <w:p>
            <w:pPr>
              <w:adjustRightInd w:val="0"/>
              <w:snapToGrid w:val="0"/>
              <w:ind w:left="105" w:leftChars="50"/>
              <w:jc w:val="center"/>
              <w:rPr>
                <w:szCs w:val="21"/>
              </w:rPr>
            </w:pPr>
            <w:r>
              <w:rPr>
                <w:szCs w:val="21"/>
              </w:rPr>
              <w:t>布袋除尘器（DA001）</w:t>
            </w:r>
          </w:p>
        </w:tc>
        <w:tc>
          <w:tcPr>
            <w:tcW w:w="1674" w:type="dxa"/>
            <w:vAlign w:val="center"/>
          </w:tcPr>
          <w:p>
            <w:pPr>
              <w:adjustRightInd w:val="0"/>
              <w:snapToGrid w:val="0"/>
              <w:ind w:left="105" w:leftChars="50"/>
              <w:jc w:val="center"/>
              <w:rPr>
                <w:szCs w:val="21"/>
              </w:rPr>
            </w:pPr>
            <w:r>
              <w:rPr>
                <w:szCs w:val="21"/>
              </w:rPr>
              <w:t>颗粒物</w:t>
            </w:r>
          </w:p>
        </w:tc>
        <w:tc>
          <w:tcPr>
            <w:tcW w:w="1776" w:type="dxa"/>
            <w:vAlign w:val="center"/>
          </w:tcPr>
          <w:p>
            <w:pPr>
              <w:adjustRightInd w:val="0"/>
              <w:snapToGrid w:val="0"/>
              <w:jc w:val="center"/>
              <w:rPr>
                <w:szCs w:val="21"/>
              </w:rPr>
            </w:pPr>
            <w:r>
              <w:rPr>
                <w:rFonts w:hint="eastAsia"/>
                <w:szCs w:val="21"/>
              </w:rPr>
              <w:t>喷雾降尘，集气设施+</w:t>
            </w:r>
            <w:r>
              <w:rPr>
                <w:szCs w:val="21"/>
              </w:rPr>
              <w:t>布袋除尘器</w:t>
            </w:r>
            <w:r>
              <w:rPr>
                <w:rFonts w:hint="eastAsia"/>
                <w:szCs w:val="21"/>
              </w:rPr>
              <w:t>处理</w:t>
            </w:r>
          </w:p>
        </w:tc>
        <w:tc>
          <w:tcPr>
            <w:tcW w:w="2640" w:type="dxa"/>
            <w:vAlign w:val="center"/>
          </w:tcPr>
          <w:p>
            <w:pPr>
              <w:adjustRightInd w:val="0"/>
              <w:snapToGrid w:val="0"/>
              <w:ind w:left="105" w:leftChars="50"/>
              <w:jc w:val="center"/>
              <w:rPr>
                <w:szCs w:val="21"/>
              </w:rPr>
            </w:pPr>
            <w:r>
              <w:rPr>
                <w:szCs w:val="21"/>
              </w:rPr>
              <w:t>《四川省水泥工业大气污染物排放标</w:t>
            </w:r>
            <w:r>
              <w:rPr>
                <w:rFonts w:hint="eastAsia"/>
                <w:szCs w:val="21"/>
                <w:lang w:eastAsia="zh-CN"/>
              </w:rPr>
              <w:t>准</w:t>
            </w:r>
            <w:r>
              <w:rPr>
                <w:szCs w:val="21"/>
              </w:rPr>
              <w:t>（DB51/2864-2021）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273" w:type="dxa"/>
            <w:vMerge w:val="continue"/>
            <w:vAlign w:val="center"/>
          </w:tcPr>
          <w:p>
            <w:pPr>
              <w:adjustRightInd w:val="0"/>
              <w:snapToGrid w:val="0"/>
              <w:ind w:left="105" w:leftChars="50"/>
              <w:jc w:val="center"/>
              <w:rPr>
                <w:szCs w:val="21"/>
              </w:rPr>
            </w:pPr>
          </w:p>
        </w:tc>
        <w:tc>
          <w:tcPr>
            <w:tcW w:w="1755" w:type="dxa"/>
            <w:vAlign w:val="center"/>
          </w:tcPr>
          <w:p>
            <w:pPr>
              <w:adjustRightInd w:val="0"/>
              <w:snapToGrid w:val="0"/>
              <w:ind w:left="105" w:leftChars="50"/>
              <w:jc w:val="center"/>
              <w:rPr>
                <w:szCs w:val="21"/>
              </w:rPr>
            </w:pPr>
            <w:r>
              <w:rPr>
                <w:szCs w:val="21"/>
              </w:rPr>
              <w:t>燃气锅炉（DA002）</w:t>
            </w:r>
          </w:p>
        </w:tc>
        <w:tc>
          <w:tcPr>
            <w:tcW w:w="1674" w:type="dxa"/>
            <w:vAlign w:val="center"/>
          </w:tcPr>
          <w:p>
            <w:pPr>
              <w:snapToGrid w:val="0"/>
              <w:ind w:left="105" w:leftChars="50"/>
              <w:jc w:val="center"/>
              <w:rPr>
                <w:szCs w:val="21"/>
              </w:rPr>
            </w:pPr>
            <w:r>
              <w:rPr>
                <w:szCs w:val="21"/>
              </w:rPr>
              <w:t>颗粒物、SO</w:t>
            </w:r>
            <w:r>
              <w:rPr>
                <w:szCs w:val="21"/>
                <w:vertAlign w:val="subscript"/>
              </w:rPr>
              <w:t>2</w:t>
            </w:r>
          </w:p>
          <w:p>
            <w:pPr>
              <w:adjustRightInd w:val="0"/>
              <w:snapToGrid w:val="0"/>
              <w:ind w:left="105" w:leftChars="50"/>
              <w:jc w:val="center"/>
              <w:rPr>
                <w:szCs w:val="21"/>
              </w:rPr>
            </w:pPr>
            <w:r>
              <w:rPr>
                <w:szCs w:val="21"/>
              </w:rPr>
              <w:t>NO</w:t>
            </w:r>
            <w:r>
              <w:rPr>
                <w:szCs w:val="21"/>
                <w:vertAlign w:val="subscript"/>
              </w:rPr>
              <w:t>X</w:t>
            </w:r>
          </w:p>
        </w:tc>
        <w:tc>
          <w:tcPr>
            <w:tcW w:w="1776" w:type="dxa"/>
            <w:vAlign w:val="center"/>
          </w:tcPr>
          <w:p>
            <w:pPr>
              <w:snapToGrid w:val="0"/>
              <w:rPr>
                <w:szCs w:val="21"/>
              </w:rPr>
            </w:pPr>
            <w:r>
              <w:rPr>
                <w:szCs w:val="21"/>
              </w:rPr>
              <w:t>采用国内领先的低氮燃烧器</w:t>
            </w:r>
          </w:p>
        </w:tc>
        <w:tc>
          <w:tcPr>
            <w:tcW w:w="2640" w:type="dxa"/>
            <w:vAlign w:val="center"/>
          </w:tcPr>
          <w:p>
            <w:pPr>
              <w:snapToGrid w:val="0"/>
              <w:ind w:left="105" w:leftChars="50"/>
              <w:jc w:val="center"/>
              <w:rPr>
                <w:szCs w:val="21"/>
              </w:rPr>
            </w:pPr>
            <w:r>
              <w:rPr>
                <w:szCs w:val="21"/>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1273" w:type="dxa"/>
            <w:vMerge w:val="restart"/>
            <w:vAlign w:val="center"/>
          </w:tcPr>
          <w:p>
            <w:pPr>
              <w:adjustRightInd w:val="0"/>
              <w:snapToGrid w:val="0"/>
              <w:ind w:left="105" w:leftChars="50"/>
              <w:jc w:val="center"/>
              <w:rPr>
                <w:szCs w:val="21"/>
              </w:rPr>
            </w:pPr>
            <w:r>
              <w:rPr>
                <w:szCs w:val="21"/>
              </w:rPr>
              <w:t>地表水环境</w:t>
            </w:r>
          </w:p>
        </w:tc>
        <w:tc>
          <w:tcPr>
            <w:tcW w:w="1755" w:type="dxa"/>
            <w:vAlign w:val="center"/>
          </w:tcPr>
          <w:p>
            <w:pPr>
              <w:ind w:left="105" w:leftChars="50"/>
              <w:jc w:val="center"/>
              <w:rPr>
                <w:szCs w:val="21"/>
              </w:rPr>
            </w:pPr>
            <w:r>
              <w:rPr>
                <w:szCs w:val="21"/>
              </w:rPr>
              <w:t>生活污水</w:t>
            </w:r>
          </w:p>
        </w:tc>
        <w:tc>
          <w:tcPr>
            <w:tcW w:w="1674" w:type="dxa"/>
            <w:vAlign w:val="center"/>
          </w:tcPr>
          <w:p>
            <w:pPr>
              <w:ind w:left="105" w:leftChars="50"/>
              <w:jc w:val="center"/>
              <w:rPr>
                <w:szCs w:val="21"/>
              </w:rPr>
            </w:pPr>
            <w:r>
              <w:rPr>
                <w:spacing w:val="-6"/>
                <w:szCs w:val="21"/>
              </w:rPr>
              <w:t>pH值、COD、氨氮、SS、TP、TN、BOD</w:t>
            </w:r>
            <w:r>
              <w:rPr>
                <w:spacing w:val="-6"/>
                <w:szCs w:val="21"/>
                <w:vertAlign w:val="subscript"/>
              </w:rPr>
              <w:t>5</w:t>
            </w:r>
          </w:p>
        </w:tc>
        <w:tc>
          <w:tcPr>
            <w:tcW w:w="1776" w:type="dxa"/>
            <w:vAlign w:val="center"/>
          </w:tcPr>
          <w:p>
            <w:pPr>
              <w:adjustRightInd w:val="0"/>
              <w:snapToGrid w:val="0"/>
              <w:rPr>
                <w:szCs w:val="21"/>
              </w:rPr>
            </w:pPr>
            <w:r>
              <w:rPr>
                <w:szCs w:val="21"/>
              </w:rPr>
              <w:t>预处理池处理后用于</w:t>
            </w:r>
            <w:r>
              <w:rPr>
                <w:rFonts w:hint="eastAsia"/>
                <w:szCs w:val="21"/>
              </w:rPr>
              <w:t>交由大英县洁达环保科技有限公司收集处理后达标排放</w:t>
            </w:r>
          </w:p>
        </w:tc>
        <w:tc>
          <w:tcPr>
            <w:tcW w:w="2640" w:type="dxa"/>
            <w:vAlign w:val="center"/>
          </w:tcPr>
          <w:p>
            <w:pPr>
              <w:adjustRightInd w:val="0"/>
              <w:snapToGrid w:val="0"/>
              <w:ind w:left="105" w:leftChars="5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3" w:type="dxa"/>
            <w:vMerge w:val="continue"/>
            <w:vAlign w:val="center"/>
          </w:tcPr>
          <w:p>
            <w:pPr>
              <w:adjustRightInd w:val="0"/>
              <w:snapToGrid w:val="0"/>
              <w:ind w:left="105" w:leftChars="50"/>
              <w:jc w:val="center"/>
              <w:rPr>
                <w:szCs w:val="21"/>
              </w:rPr>
            </w:pPr>
          </w:p>
        </w:tc>
        <w:tc>
          <w:tcPr>
            <w:tcW w:w="1755" w:type="dxa"/>
            <w:vAlign w:val="center"/>
          </w:tcPr>
          <w:p>
            <w:pPr>
              <w:ind w:left="105" w:leftChars="50"/>
              <w:jc w:val="center"/>
              <w:rPr>
                <w:szCs w:val="21"/>
              </w:rPr>
            </w:pPr>
            <w:r>
              <w:rPr>
                <w:szCs w:val="21"/>
              </w:rPr>
              <w:t>生产废水</w:t>
            </w:r>
          </w:p>
        </w:tc>
        <w:tc>
          <w:tcPr>
            <w:tcW w:w="1674" w:type="dxa"/>
            <w:vAlign w:val="center"/>
          </w:tcPr>
          <w:p>
            <w:pPr>
              <w:ind w:left="105" w:leftChars="50"/>
              <w:jc w:val="center"/>
              <w:rPr>
                <w:spacing w:val="-6"/>
                <w:szCs w:val="21"/>
              </w:rPr>
            </w:pPr>
            <w:r>
              <w:rPr>
                <w:spacing w:val="-6"/>
                <w:szCs w:val="21"/>
              </w:rPr>
              <w:t>SS</w:t>
            </w:r>
          </w:p>
        </w:tc>
        <w:tc>
          <w:tcPr>
            <w:tcW w:w="1776" w:type="dxa"/>
            <w:vAlign w:val="center"/>
          </w:tcPr>
          <w:p>
            <w:pPr>
              <w:adjustRightInd w:val="0"/>
              <w:snapToGrid w:val="0"/>
              <w:rPr>
                <w:szCs w:val="21"/>
              </w:rPr>
            </w:pPr>
            <w:r>
              <w:rPr>
                <w:szCs w:val="21"/>
              </w:rPr>
              <w:t>经导流沟进入沉淀池</w:t>
            </w:r>
            <w:r>
              <w:rPr>
                <w:rFonts w:hint="eastAsia"/>
                <w:szCs w:val="21"/>
              </w:rPr>
              <w:t>(</w:t>
            </w:r>
            <w:r>
              <w:rPr>
                <w:szCs w:val="21"/>
              </w:rPr>
              <w:t>1</w:t>
            </w:r>
            <w:r>
              <w:rPr>
                <w:rFonts w:hint="eastAsia"/>
                <w:szCs w:val="21"/>
              </w:rPr>
              <w:t>个3</w:t>
            </w:r>
            <w:r>
              <w:rPr>
                <w:szCs w:val="21"/>
              </w:rPr>
              <w:t>0</w:t>
            </w:r>
            <w:r>
              <w:rPr>
                <w:rFonts w:hint="eastAsia"/>
                <w:szCs w:val="21"/>
              </w:rPr>
              <w:t>m</w:t>
            </w:r>
            <w:r>
              <w:rPr>
                <w:szCs w:val="21"/>
                <w:vertAlign w:val="superscript"/>
              </w:rPr>
              <w:t>3</w:t>
            </w:r>
            <w:r>
              <w:rPr>
                <w:szCs w:val="21"/>
              </w:rPr>
              <w:t>)处理后回用于生产，不外排</w:t>
            </w:r>
          </w:p>
        </w:tc>
        <w:tc>
          <w:tcPr>
            <w:tcW w:w="2640" w:type="dxa"/>
            <w:vAlign w:val="center"/>
          </w:tcPr>
          <w:p>
            <w:pPr>
              <w:adjustRightInd w:val="0"/>
              <w:snapToGrid w:val="0"/>
              <w:ind w:left="105" w:leftChars="5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273" w:type="dxa"/>
            <w:vMerge w:val="continue"/>
            <w:vAlign w:val="center"/>
          </w:tcPr>
          <w:p>
            <w:pPr>
              <w:adjustRightInd w:val="0"/>
              <w:snapToGrid w:val="0"/>
              <w:ind w:left="105" w:leftChars="50"/>
              <w:jc w:val="center"/>
              <w:rPr>
                <w:szCs w:val="21"/>
              </w:rPr>
            </w:pPr>
          </w:p>
        </w:tc>
        <w:tc>
          <w:tcPr>
            <w:tcW w:w="1755" w:type="dxa"/>
            <w:vAlign w:val="center"/>
          </w:tcPr>
          <w:p>
            <w:pPr>
              <w:ind w:left="105" w:leftChars="50"/>
              <w:jc w:val="center"/>
              <w:rPr>
                <w:szCs w:val="21"/>
              </w:rPr>
            </w:pPr>
            <w:r>
              <w:rPr>
                <w:rFonts w:hint="eastAsia"/>
                <w:szCs w:val="21"/>
              </w:rPr>
              <w:t>洗车废水</w:t>
            </w:r>
          </w:p>
        </w:tc>
        <w:tc>
          <w:tcPr>
            <w:tcW w:w="1674" w:type="dxa"/>
            <w:vAlign w:val="center"/>
          </w:tcPr>
          <w:p>
            <w:pPr>
              <w:ind w:left="105" w:leftChars="50"/>
              <w:jc w:val="center"/>
              <w:rPr>
                <w:spacing w:val="-6"/>
                <w:szCs w:val="21"/>
              </w:rPr>
            </w:pPr>
            <w:r>
              <w:rPr>
                <w:rFonts w:hint="eastAsia"/>
                <w:spacing w:val="-6"/>
                <w:szCs w:val="21"/>
              </w:rPr>
              <w:t>石油类，</w:t>
            </w:r>
            <w:r>
              <w:rPr>
                <w:spacing w:val="-6"/>
                <w:szCs w:val="21"/>
              </w:rPr>
              <w:t>SS</w:t>
            </w:r>
          </w:p>
        </w:tc>
        <w:tc>
          <w:tcPr>
            <w:tcW w:w="1776" w:type="dxa"/>
            <w:vAlign w:val="center"/>
          </w:tcPr>
          <w:p>
            <w:pPr>
              <w:adjustRightInd w:val="0"/>
              <w:snapToGrid w:val="0"/>
              <w:rPr>
                <w:szCs w:val="21"/>
              </w:rPr>
            </w:pPr>
            <w:r>
              <w:rPr>
                <w:rFonts w:hint="eastAsia"/>
                <w:szCs w:val="21"/>
              </w:rPr>
              <w:t>经隔油沉淀后(</w:t>
            </w:r>
            <w:r>
              <w:rPr>
                <w:szCs w:val="21"/>
              </w:rPr>
              <w:t>1</w:t>
            </w:r>
            <w:r>
              <w:rPr>
                <w:rFonts w:hint="eastAsia"/>
                <w:szCs w:val="21"/>
              </w:rPr>
              <w:t>个</w:t>
            </w:r>
            <w:r>
              <w:rPr>
                <w:szCs w:val="21"/>
              </w:rPr>
              <w:t>2</w:t>
            </w:r>
            <w:r>
              <w:rPr>
                <w:rFonts w:hint="eastAsia"/>
                <w:szCs w:val="21"/>
              </w:rPr>
              <w:t>m</w:t>
            </w:r>
            <w:r>
              <w:rPr>
                <w:szCs w:val="21"/>
                <w:vertAlign w:val="superscript"/>
              </w:rPr>
              <w:t>3</w:t>
            </w:r>
            <w:r>
              <w:rPr>
                <w:szCs w:val="21"/>
              </w:rPr>
              <w:t>)</w:t>
            </w:r>
            <w:r>
              <w:rPr>
                <w:rFonts w:hint="eastAsia"/>
                <w:szCs w:val="21"/>
              </w:rPr>
              <w:t>洒水降尘</w:t>
            </w:r>
          </w:p>
        </w:tc>
        <w:tc>
          <w:tcPr>
            <w:tcW w:w="2640" w:type="dxa"/>
            <w:vAlign w:val="center"/>
          </w:tcPr>
          <w:p>
            <w:pPr>
              <w:adjustRightInd w:val="0"/>
              <w:snapToGrid w:val="0"/>
              <w:ind w:left="105" w:leftChars="5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vAlign w:val="center"/>
          </w:tcPr>
          <w:p>
            <w:pPr>
              <w:adjustRightInd w:val="0"/>
              <w:snapToGrid w:val="0"/>
              <w:ind w:left="105" w:leftChars="50"/>
              <w:jc w:val="center"/>
              <w:rPr>
                <w:szCs w:val="21"/>
              </w:rPr>
            </w:pPr>
            <w:r>
              <w:rPr>
                <w:szCs w:val="21"/>
              </w:rPr>
              <w:t>声环境</w:t>
            </w:r>
          </w:p>
        </w:tc>
        <w:tc>
          <w:tcPr>
            <w:tcW w:w="1755" w:type="dxa"/>
            <w:vAlign w:val="center"/>
          </w:tcPr>
          <w:p>
            <w:pPr>
              <w:ind w:left="105" w:leftChars="50"/>
              <w:jc w:val="center"/>
              <w:rPr>
                <w:szCs w:val="21"/>
              </w:rPr>
            </w:pPr>
            <w:r>
              <w:rPr>
                <w:szCs w:val="21"/>
              </w:rPr>
              <w:t>设备噪声</w:t>
            </w:r>
          </w:p>
        </w:tc>
        <w:tc>
          <w:tcPr>
            <w:tcW w:w="1674" w:type="dxa"/>
            <w:vAlign w:val="center"/>
          </w:tcPr>
          <w:p>
            <w:pPr>
              <w:ind w:left="105" w:leftChars="50"/>
              <w:jc w:val="center"/>
              <w:rPr>
                <w:spacing w:val="8"/>
                <w:szCs w:val="21"/>
              </w:rPr>
            </w:pPr>
            <w:r>
              <w:rPr>
                <w:szCs w:val="21"/>
              </w:rPr>
              <w:t>70~95dB(A)</w:t>
            </w:r>
          </w:p>
        </w:tc>
        <w:tc>
          <w:tcPr>
            <w:tcW w:w="1776" w:type="dxa"/>
            <w:vAlign w:val="center"/>
          </w:tcPr>
          <w:p>
            <w:pPr>
              <w:rPr>
                <w:bCs/>
                <w:szCs w:val="21"/>
              </w:rPr>
            </w:pPr>
            <w:r>
              <w:rPr>
                <w:kern w:val="21"/>
                <w:szCs w:val="21"/>
              </w:rPr>
              <w:t>选用低噪声设备，基础减震、厂房建筑隔声</w:t>
            </w:r>
          </w:p>
        </w:tc>
        <w:tc>
          <w:tcPr>
            <w:tcW w:w="2640" w:type="dxa"/>
            <w:vAlign w:val="center"/>
          </w:tcPr>
          <w:p>
            <w:pPr>
              <w:pStyle w:val="75"/>
              <w:adjustRightInd w:val="0"/>
              <w:snapToGrid w:val="0"/>
              <w:ind w:left="105" w:leftChars="50"/>
              <w:jc w:val="center"/>
              <w:rPr>
                <w:rFonts w:ascii="Times New Roman" w:hAnsi="Times New Roman"/>
                <w:szCs w:val="21"/>
                <w:lang w:eastAsia="zh-CN"/>
              </w:rPr>
            </w:pPr>
            <w:r>
              <w:rPr>
                <w:rFonts w:ascii="Times New Roman" w:hAnsi="Times New Roman"/>
                <w:sz w:val="21"/>
                <w:szCs w:val="21"/>
                <w:lang w:eastAsia="zh-CN"/>
              </w:rPr>
              <w:t>《工业企业厂界环境噪声排放标准》（GB12348-2008）2</w:t>
            </w:r>
            <w:r>
              <w:rPr>
                <w:rFonts w:ascii="Times New Roman" w:hAnsi="Times New Roman"/>
                <w:szCs w:val="21"/>
                <w:lang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73" w:type="dxa"/>
            <w:vAlign w:val="center"/>
          </w:tcPr>
          <w:p>
            <w:pPr>
              <w:adjustRightInd w:val="0"/>
              <w:snapToGrid w:val="0"/>
              <w:ind w:left="105" w:leftChars="50"/>
              <w:jc w:val="center"/>
              <w:rPr>
                <w:szCs w:val="21"/>
              </w:rPr>
            </w:pPr>
            <w:r>
              <w:rPr>
                <w:szCs w:val="21"/>
              </w:rPr>
              <w:t>固体废物</w:t>
            </w:r>
          </w:p>
        </w:tc>
        <w:tc>
          <w:tcPr>
            <w:tcW w:w="7845" w:type="dxa"/>
            <w:gridSpan w:val="4"/>
            <w:vAlign w:val="center"/>
          </w:tcPr>
          <w:p>
            <w:pPr>
              <w:adjustRightInd w:val="0"/>
              <w:snapToGrid w:val="0"/>
              <w:ind w:left="105" w:leftChars="50" w:firstLine="420" w:firstLineChars="200"/>
              <w:jc w:val="left"/>
              <w:rPr>
                <w:szCs w:val="21"/>
              </w:rPr>
            </w:pPr>
            <w:r>
              <w:rPr>
                <w:szCs w:val="21"/>
              </w:rPr>
              <w:t>生活垃圾厂区设置垃圾桶，环卫部门统一清运；沉渣、粉尘与不合格品废物回用于生产</w:t>
            </w:r>
            <w:r>
              <w:rPr>
                <w:rFonts w:hint="eastAsia"/>
                <w:szCs w:val="21"/>
              </w:rPr>
              <w:t>，危废交由资质单位处理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73" w:type="dxa"/>
            <w:vAlign w:val="center"/>
          </w:tcPr>
          <w:p>
            <w:pPr>
              <w:adjustRightInd w:val="0"/>
              <w:snapToGrid w:val="0"/>
              <w:ind w:left="105" w:leftChars="50"/>
              <w:jc w:val="center"/>
              <w:rPr>
                <w:szCs w:val="21"/>
              </w:rPr>
            </w:pPr>
            <w:r>
              <w:rPr>
                <w:szCs w:val="21"/>
              </w:rPr>
              <w:t>土壤及地下水污染防治措施</w:t>
            </w:r>
          </w:p>
        </w:tc>
        <w:tc>
          <w:tcPr>
            <w:tcW w:w="7845" w:type="dxa"/>
            <w:gridSpan w:val="4"/>
            <w:vAlign w:val="center"/>
          </w:tcPr>
          <w:p>
            <w:pPr>
              <w:adjustRightInd w:val="0"/>
              <w:snapToGrid w:val="0"/>
              <w:ind w:left="105" w:leftChars="50" w:firstLine="420" w:firstLineChars="200"/>
              <w:jc w:val="left"/>
              <w:rPr>
                <w:szCs w:val="21"/>
              </w:rPr>
            </w:pPr>
            <w:r>
              <w:rPr>
                <w:rFonts w:hint="eastAsia"/>
                <w:szCs w:val="21"/>
              </w:rPr>
              <w:t>分区防渗，危废间进行重点防渗，</w:t>
            </w:r>
            <w:r>
              <w:rPr>
                <w:szCs w:val="21"/>
              </w:rPr>
              <w:t>使其渗透系数K≤10</w:t>
            </w:r>
            <w:r>
              <w:rPr>
                <w:szCs w:val="21"/>
                <w:vertAlign w:val="superscript"/>
              </w:rPr>
              <w:t>-10</w:t>
            </w:r>
            <w:r>
              <w:rPr>
                <w:szCs w:val="21"/>
              </w:rPr>
              <w:t>cm/s</w:t>
            </w:r>
            <w:r>
              <w:rPr>
                <w:rFonts w:hint="eastAsia"/>
                <w:szCs w:val="21"/>
              </w:rPr>
              <w:t>，</w:t>
            </w:r>
            <w:r>
              <w:rPr>
                <w:szCs w:val="21"/>
              </w:rPr>
              <w:t>对沉淀池、冲洗水导流沟及生产车间其他区域进行一般防渗，使其渗透系数K≤10</w:t>
            </w:r>
            <w:r>
              <w:rPr>
                <w:szCs w:val="21"/>
                <w:vertAlign w:val="superscript"/>
              </w:rPr>
              <w:t>-7</w:t>
            </w:r>
            <w:r>
              <w:rPr>
                <w:szCs w:val="21"/>
              </w:rPr>
              <w:t>cm/s，确保液态物料不渗漏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73" w:type="dxa"/>
            <w:vAlign w:val="center"/>
          </w:tcPr>
          <w:p>
            <w:pPr>
              <w:adjustRightInd w:val="0"/>
              <w:snapToGrid w:val="0"/>
              <w:ind w:left="105" w:leftChars="50"/>
              <w:jc w:val="center"/>
              <w:rPr>
                <w:szCs w:val="21"/>
              </w:rPr>
            </w:pPr>
            <w:r>
              <w:rPr>
                <w:szCs w:val="21"/>
              </w:rPr>
              <w:t>生态保护措施</w:t>
            </w:r>
          </w:p>
        </w:tc>
        <w:tc>
          <w:tcPr>
            <w:tcW w:w="7845" w:type="dxa"/>
            <w:gridSpan w:val="4"/>
            <w:vAlign w:val="center"/>
          </w:tcPr>
          <w:p>
            <w:pPr>
              <w:adjustRightInd w:val="0"/>
              <w:snapToGrid w:val="0"/>
              <w:ind w:left="105" w:leftChars="50"/>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273" w:type="dxa"/>
            <w:vAlign w:val="center"/>
          </w:tcPr>
          <w:p>
            <w:pPr>
              <w:adjustRightInd w:val="0"/>
              <w:snapToGrid w:val="0"/>
              <w:ind w:left="105" w:leftChars="50"/>
              <w:jc w:val="center"/>
              <w:rPr>
                <w:spacing w:val="-8"/>
                <w:szCs w:val="21"/>
              </w:rPr>
            </w:pPr>
            <w:r>
              <w:rPr>
                <w:spacing w:val="-8"/>
                <w:szCs w:val="21"/>
              </w:rPr>
              <w:t>环境风险</w:t>
            </w:r>
          </w:p>
          <w:p>
            <w:pPr>
              <w:adjustRightInd w:val="0"/>
              <w:snapToGrid w:val="0"/>
              <w:ind w:left="105" w:leftChars="50"/>
              <w:jc w:val="center"/>
              <w:rPr>
                <w:spacing w:val="-8"/>
                <w:szCs w:val="21"/>
              </w:rPr>
            </w:pPr>
            <w:r>
              <w:rPr>
                <w:spacing w:val="-8"/>
                <w:szCs w:val="21"/>
              </w:rPr>
              <w:t>防范措施</w:t>
            </w:r>
          </w:p>
        </w:tc>
        <w:tc>
          <w:tcPr>
            <w:tcW w:w="7845" w:type="dxa"/>
            <w:gridSpan w:val="4"/>
            <w:vAlign w:val="center"/>
          </w:tcPr>
          <w:p>
            <w:pPr>
              <w:adjustRightInd w:val="0"/>
              <w:snapToGrid w:val="0"/>
              <w:ind w:left="105" w:leftChars="50" w:firstLine="420" w:firstLineChars="200"/>
              <w:jc w:val="left"/>
              <w:rPr>
                <w:szCs w:val="21"/>
              </w:rPr>
            </w:pPr>
            <w:r>
              <w:rPr>
                <w:szCs w:val="21"/>
                <w:lang w:val="de-DE"/>
              </w:rPr>
              <w:t>建设单位应加强除尘设备的保养和维护，实时监控设备的运行状态，避免事故工况的产生，一旦设备出现故障，应立即停车检修，防止粉尘未经处理直接进入环境</w:t>
            </w:r>
            <w:r>
              <w:rPr>
                <w:rFonts w:hint="eastAsia"/>
                <w:szCs w:val="21"/>
                <w:lang w:val="de-DE"/>
              </w:rPr>
              <w:t>，</w:t>
            </w:r>
            <w:r>
              <w:rPr>
                <w:rFonts w:asciiTheme="minorEastAsia" w:hAnsiTheme="minorEastAsia" w:eastAsiaTheme="minorEastAsia"/>
                <w:szCs w:val="21"/>
              </w:rPr>
              <w:t>制定完善事故应急预案</w:t>
            </w:r>
            <w:r>
              <w:rPr>
                <w:rFonts w:hint="eastAsia"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273" w:type="dxa"/>
            <w:vAlign w:val="center"/>
          </w:tcPr>
          <w:p>
            <w:pPr>
              <w:adjustRightInd w:val="0"/>
              <w:snapToGrid w:val="0"/>
              <w:ind w:left="105" w:leftChars="50"/>
              <w:jc w:val="center"/>
              <w:rPr>
                <w:spacing w:val="-8"/>
                <w:szCs w:val="21"/>
              </w:rPr>
            </w:pPr>
            <w:r>
              <w:rPr>
                <w:spacing w:val="-8"/>
                <w:szCs w:val="21"/>
              </w:rPr>
              <w:t>其他环境</w:t>
            </w:r>
          </w:p>
          <w:p>
            <w:pPr>
              <w:adjustRightInd w:val="0"/>
              <w:snapToGrid w:val="0"/>
              <w:ind w:left="105" w:leftChars="50"/>
              <w:jc w:val="center"/>
              <w:rPr>
                <w:spacing w:val="-8"/>
                <w:szCs w:val="21"/>
              </w:rPr>
            </w:pPr>
            <w:r>
              <w:rPr>
                <w:spacing w:val="-8"/>
                <w:szCs w:val="21"/>
              </w:rPr>
              <w:t>管理要求</w:t>
            </w:r>
          </w:p>
        </w:tc>
        <w:tc>
          <w:tcPr>
            <w:tcW w:w="7845" w:type="dxa"/>
            <w:gridSpan w:val="4"/>
            <w:vAlign w:val="center"/>
          </w:tcPr>
          <w:p>
            <w:pPr>
              <w:adjustRightInd w:val="0"/>
              <w:snapToGrid w:val="0"/>
              <w:ind w:left="105" w:leftChars="50" w:firstLine="420" w:firstLineChars="200"/>
              <w:jc w:val="left"/>
              <w:rPr>
                <w:szCs w:val="21"/>
              </w:rPr>
            </w:pPr>
            <w:r>
              <w:rPr>
                <w:szCs w:val="21"/>
              </w:rPr>
              <w:t>结合企业的环保工作目标，制定生产工序中的环保、安全操作制度，环境治理设施的维修保养制度，企业内部的环保工作检查制度，废水、废气、固废和设备噪声、厂界噪声的定期检查汇报制度，企业排污状况定期向环境行政主管部门的汇报制度。</w:t>
            </w:r>
          </w:p>
        </w:tc>
      </w:tr>
    </w:tbl>
    <w:p>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snapToGrid w:val="0"/>
        </w:rPr>
        <w:br w:type="page"/>
      </w:r>
      <w:r>
        <w:rPr>
          <w:rFonts w:ascii="Times New Roman" w:hAnsi="Times New Roman"/>
          <w:b/>
          <w:bCs/>
          <w:snapToGrid w:val="0"/>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6" w:hRule="atLeast"/>
          <w:jc w:val="center"/>
        </w:trPr>
        <w:tc>
          <w:tcPr>
            <w:tcW w:w="8865" w:type="dxa"/>
          </w:tcPr>
          <w:p>
            <w:pPr>
              <w:pStyle w:val="106"/>
              <w:spacing w:before="120" w:beforeLines="50"/>
              <w:rPr>
                <w:color w:val="auto"/>
              </w:rPr>
            </w:pPr>
            <w:r>
              <w:rPr>
                <w:rFonts w:hint="eastAsia"/>
                <w:color w:val="auto"/>
              </w:rPr>
              <w:t>本项目利用一般固废干渣和建筑垃圾等生产砖，满足产品质量要求，实现了固废的资源化，减量化和无害化，工艺设备等符合国家相关产业政策，选址符合当地总体规划和环境保护规划的要求，</w:t>
            </w:r>
            <w:r>
              <w:rPr>
                <w:color w:val="auto"/>
              </w:rPr>
              <w:t>建设项目废水、废气、固废及噪声采取的污染防治措施可确保污染物排放达到国家规定的排放标准，并采取了必要的措施预防和控制生态破坏</w:t>
            </w:r>
            <w:r>
              <w:rPr>
                <w:rFonts w:hint="eastAsia"/>
                <w:color w:val="auto"/>
              </w:rPr>
              <w:t>，满足</w:t>
            </w:r>
            <w:r>
              <w:rPr>
                <w:color w:val="auto"/>
              </w:rPr>
              <w:t>“清洁生产、总量控制和达标排放”的</w:t>
            </w:r>
            <w:r>
              <w:rPr>
                <w:rFonts w:hint="eastAsia"/>
                <w:color w:val="auto"/>
              </w:rPr>
              <w:t>要求；在认真落实各项环境保护措施后，对周围环境的影响是可以接受的，不会改变项目周围地区当前的大气、水、声环境质量的现状。在采取完善的环境风险防范措施后，项目抗事故风险能力较强，环境风险水平可以接受。</w:t>
            </w:r>
          </w:p>
          <w:p>
            <w:pPr>
              <w:pStyle w:val="106"/>
              <w:rPr>
                <w:color w:val="auto"/>
              </w:rPr>
            </w:pPr>
            <w:r>
              <w:rPr>
                <w:rFonts w:hint="eastAsia"/>
                <w:color w:val="auto"/>
              </w:rPr>
              <w:t>建设单位应加强管理，使环境影响评价中提出的各项措施得到落实和实施，</w:t>
            </w:r>
            <w:r>
              <w:rPr>
                <w:color w:val="auto"/>
              </w:rPr>
              <w:t>严格执行“三同时”制度</w:t>
            </w:r>
            <w:r>
              <w:rPr>
                <w:rFonts w:hint="eastAsia"/>
                <w:color w:val="auto"/>
              </w:rPr>
              <w:t>，在此前提下，从环境保护的角度上来说，本项目在现有用地范围内实施是可行的。</w:t>
            </w:r>
          </w:p>
          <w:p>
            <w:pPr>
              <w:pStyle w:val="2"/>
            </w:pPr>
          </w:p>
        </w:tc>
      </w:tr>
    </w:tbl>
    <w:p>
      <w:r>
        <w:br w:type="page"/>
      </w:r>
    </w:p>
    <w:p>
      <w:pPr>
        <w:pStyle w:val="2"/>
        <w:sectPr>
          <w:pgSz w:w="11906" w:h="16838"/>
          <w:pgMar w:top="1701" w:right="1531" w:bottom="1701" w:left="1531" w:header="851" w:footer="851" w:gutter="0"/>
          <w:cols w:space="720" w:num="1"/>
          <w:docGrid w:linePitch="312" w:charSpace="0"/>
        </w:sectPr>
      </w:pPr>
    </w:p>
    <w:p>
      <w:pPr>
        <w:pStyle w:val="23"/>
        <w:tabs>
          <w:tab w:val="left" w:pos="2606"/>
        </w:tabs>
        <w:adjustRightInd w:val="0"/>
        <w:snapToGrid w:val="0"/>
        <w:spacing w:before="0" w:beforeAutospacing="0" w:after="0" w:afterAutospacing="0" w:line="648" w:lineRule="auto"/>
        <w:outlineLvl w:val="0"/>
        <w:rPr>
          <w:rFonts w:ascii="Times New Roman" w:hAnsi="Times New Roman"/>
          <w:snapToGrid w:val="0"/>
          <w:sz w:val="32"/>
          <w:szCs w:val="32"/>
        </w:rPr>
      </w:pPr>
      <w:r>
        <w:rPr>
          <w:rFonts w:ascii="Times New Roman" w:hAnsi="Times New Roman"/>
          <w:snapToGrid w:val="0"/>
          <w:sz w:val="32"/>
          <w:szCs w:val="32"/>
        </w:rPr>
        <w:t>附表</w:t>
      </w:r>
      <w:r>
        <w:rPr>
          <w:rFonts w:ascii="Times New Roman" w:hAnsi="Times New Roman"/>
          <w:snapToGrid w:val="0"/>
          <w:sz w:val="32"/>
          <w:szCs w:val="32"/>
        </w:rPr>
        <w:tab/>
      </w:r>
    </w:p>
    <w:p>
      <w:pPr>
        <w:pStyle w:val="23"/>
        <w:adjustRightInd w:val="0"/>
        <w:snapToGrid w:val="0"/>
        <w:spacing w:before="0" w:beforeAutospacing="0" w:after="0" w:afterAutospacing="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25"/>
        <w:tblW w:w="0" w:type="auto"/>
        <w:jc w:val="center"/>
        <w:tblLayout w:type="autofit"/>
        <w:tblCellMar>
          <w:top w:w="0" w:type="dxa"/>
          <w:left w:w="108" w:type="dxa"/>
          <w:bottom w:w="0" w:type="dxa"/>
          <w:right w:w="108" w:type="dxa"/>
        </w:tblCellMar>
      </w:tblPr>
      <w:tblGrid>
        <w:gridCol w:w="1115"/>
        <w:gridCol w:w="1511"/>
        <w:gridCol w:w="1639"/>
        <w:gridCol w:w="1022"/>
        <w:gridCol w:w="1641"/>
        <w:gridCol w:w="1764"/>
        <w:gridCol w:w="1563"/>
        <w:gridCol w:w="2131"/>
        <w:gridCol w:w="1040"/>
      </w:tblGrid>
      <w:tr>
        <w:tblPrEx>
          <w:tblCellMar>
            <w:top w:w="0" w:type="dxa"/>
            <w:left w:w="108" w:type="dxa"/>
            <w:bottom w:w="0" w:type="dxa"/>
            <w:right w:w="108" w:type="dxa"/>
          </w:tblCellMar>
        </w:tblPrEx>
        <w:trPr>
          <w:trHeight w:val="90" w:hRule="atLeast"/>
          <w:tblHeader/>
          <w:jc w:val="center"/>
        </w:trPr>
        <w:tc>
          <w:tcPr>
            <w:tcW w:w="0" w:type="auto"/>
            <w:tcBorders>
              <w:top w:val="single" w:color="000000" w:sz="4" w:space="0"/>
              <w:left w:val="single" w:color="000000" w:sz="4" w:space="0"/>
              <w:bottom w:val="single" w:color="auto" w:sz="4" w:space="0"/>
              <w:right w:val="single" w:color="000000" w:sz="4" w:space="0"/>
            </w:tcBorders>
            <w:vAlign w:val="center"/>
          </w:tcPr>
          <w:p>
            <w:pPr>
              <w:widowControl/>
              <w:snapToGrid w:val="0"/>
              <w:spacing w:line="360" w:lineRule="auto"/>
              <w:jc w:val="center"/>
              <w:textAlignment w:val="center"/>
              <w:rPr>
                <w:szCs w:val="21"/>
              </w:rPr>
            </w:pPr>
            <w:r>
              <w:rPr>
                <w:szCs w:val="21"/>
              </w:rPr>
              <w:t>分类</w:t>
            </w:r>
          </w:p>
          <w:p>
            <w:pPr>
              <w:widowControl/>
              <w:spacing w:line="360" w:lineRule="auto"/>
              <w:jc w:val="center"/>
              <w:textAlignment w:val="center"/>
              <w:rPr>
                <w:szCs w:val="21"/>
              </w:rPr>
            </w:pPr>
            <w:r>
              <w:rPr>
                <w:szCs w:val="21"/>
              </w:rPr>
              <w:t>项目</w:t>
            </w:r>
          </w:p>
        </w:tc>
        <w:tc>
          <w:tcPr>
            <w:tcW w:w="15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污染物名称</w:t>
            </w: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现有工程排放量（固体废物产生量）</w:t>
            </w:r>
            <w:r>
              <w:rPr>
                <w:rFonts w:hint="eastAsia" w:ascii="宋体" w:hAnsi="宋体" w:cs="宋体"/>
                <w:kern w:val="0"/>
                <w:szCs w:val="21"/>
              </w:rPr>
              <w:t>①</w:t>
            </w:r>
          </w:p>
        </w:tc>
        <w:tc>
          <w:tcPr>
            <w:tcW w:w="102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现有工程许可排放量</w:t>
            </w:r>
            <w:r>
              <w:rPr>
                <w:rFonts w:hint="eastAsia" w:ascii="宋体" w:hAnsi="宋体" w:cs="宋体"/>
                <w:kern w:val="0"/>
                <w:szCs w:val="21"/>
              </w:rPr>
              <w:t>②</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在建工程排放量（固体废物产生量）</w:t>
            </w:r>
            <w:r>
              <w:rPr>
                <w:rFonts w:hint="eastAsia" w:ascii="宋体" w:hAnsi="宋体" w:cs="宋体"/>
                <w:kern w:val="0"/>
                <w:szCs w:val="21"/>
              </w:rPr>
              <w:t>③</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本项目排放量（固体废物产生量）</w:t>
            </w:r>
            <w:r>
              <w:rPr>
                <w:rFonts w:hint="eastAsia" w:ascii="宋体" w:hAnsi="宋体" w:cs="宋体"/>
                <w:kern w:val="0"/>
                <w:szCs w:val="21"/>
              </w:rPr>
              <w:t>④</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以新带老削减量（新建项目不填）</w:t>
            </w:r>
            <w:r>
              <w:rPr>
                <w:rFonts w:hint="eastAsia" w:ascii="宋体" w:hAnsi="宋体" w:cs="宋体"/>
                <w:kern w:val="0"/>
                <w:szCs w:val="21"/>
              </w:rPr>
              <w:t>⑤</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本项目建成后全厂排放量（固体废物产生量）</w:t>
            </w:r>
            <w:r>
              <w:rPr>
                <w:rFonts w:hint="eastAsia" w:ascii="宋体" w:hAnsi="宋体" w:cs="宋体"/>
                <w:kern w:val="0"/>
                <w:szCs w:val="21"/>
              </w:rPr>
              <w:t>⑥</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szCs w:val="21"/>
              </w:rPr>
            </w:pPr>
            <w:r>
              <w:rPr>
                <w:kern w:val="0"/>
                <w:szCs w:val="21"/>
              </w:rPr>
              <w:t>变化量</w:t>
            </w:r>
            <w:r>
              <w:rPr>
                <w:rFonts w:hint="eastAsia" w:ascii="宋体" w:hAnsi="宋体" w:cs="宋体"/>
                <w:kern w:val="0"/>
                <w:szCs w:val="21"/>
              </w:rPr>
              <w:t>⑦</w:t>
            </w:r>
          </w:p>
        </w:tc>
      </w:tr>
      <w:tr>
        <w:tblPrEx>
          <w:tblCellMar>
            <w:top w:w="0" w:type="dxa"/>
            <w:left w:w="108" w:type="dxa"/>
            <w:bottom w:w="0" w:type="dxa"/>
            <w:right w:w="108" w:type="dxa"/>
          </w:tblCellMar>
        </w:tblPrEx>
        <w:trPr>
          <w:jc w:val="center"/>
        </w:trPr>
        <w:tc>
          <w:tcPr>
            <w:tcW w:w="111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kern w:val="0"/>
                <w:szCs w:val="21"/>
              </w:rPr>
            </w:pPr>
            <w:r>
              <w:rPr>
                <w:kern w:val="0"/>
                <w:szCs w:val="21"/>
              </w:rPr>
              <w:t>废水</w:t>
            </w:r>
          </w:p>
          <w:p>
            <w:pPr>
              <w:widowControl/>
              <w:spacing w:line="360" w:lineRule="auto"/>
              <w:jc w:val="center"/>
              <w:textAlignment w:val="center"/>
              <w:rPr>
                <w:szCs w:val="21"/>
              </w:rPr>
            </w:pPr>
            <w:r>
              <w:rPr>
                <w:kern w:val="0"/>
                <w:szCs w:val="21"/>
              </w:rPr>
              <w:t>（t/a）</w:t>
            </w:r>
          </w:p>
        </w:tc>
        <w:tc>
          <w:tcPr>
            <w:tcW w:w="1511"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kern w:val="0"/>
                <w:szCs w:val="21"/>
              </w:rPr>
              <w:t>COD</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szCs w:val="21"/>
              </w:rPr>
              <w:t>/</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szCs w:val="21"/>
              </w:rPr>
              <w:t>/</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p>
        </w:tc>
        <w:tc>
          <w:tcPr>
            <w:tcW w:w="1511"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kern w:val="0"/>
                <w:szCs w:val="21"/>
              </w:rPr>
              <w:t>NH</w:t>
            </w:r>
            <w:r>
              <w:rPr>
                <w:kern w:val="0"/>
                <w:szCs w:val="21"/>
                <w:vertAlign w:val="subscript"/>
              </w:rPr>
              <w:t>3</w:t>
            </w:r>
            <w:r>
              <w:rPr>
                <w:kern w:val="0"/>
                <w:szCs w:val="21"/>
              </w:rPr>
              <w:t>-N</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szCs w:val="21"/>
              </w:rPr>
              <w:t>/</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szCs w:val="21"/>
              </w:rPr>
              <w:t>/</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r>
      <w:tr>
        <w:tblPrEx>
          <w:tblCellMar>
            <w:top w:w="0" w:type="dxa"/>
            <w:left w:w="108" w:type="dxa"/>
            <w:bottom w:w="0" w:type="dxa"/>
            <w:right w:w="108" w:type="dxa"/>
          </w:tblCellMar>
        </w:tblPrEx>
        <w:trPr>
          <w:jc w:val="center"/>
        </w:trPr>
        <w:tc>
          <w:tcPr>
            <w:tcW w:w="1115" w:type="dxa"/>
            <w:vMerge w:val="restart"/>
            <w:tcBorders>
              <w:top w:val="single" w:color="auto" w:sz="4" w:space="0"/>
              <w:left w:val="single" w:color="auto" w:sz="4" w:space="0"/>
              <w:right w:val="single" w:color="auto" w:sz="4" w:space="0"/>
            </w:tcBorders>
            <w:vAlign w:val="center"/>
          </w:tcPr>
          <w:p>
            <w:pPr>
              <w:widowControl/>
              <w:spacing w:line="360" w:lineRule="auto"/>
              <w:jc w:val="center"/>
              <w:textAlignment w:val="center"/>
              <w:rPr>
                <w:kern w:val="0"/>
                <w:szCs w:val="21"/>
              </w:rPr>
            </w:pPr>
            <w:r>
              <w:rPr>
                <w:kern w:val="0"/>
                <w:szCs w:val="21"/>
              </w:rPr>
              <w:t>废气</w:t>
            </w:r>
          </w:p>
          <w:p>
            <w:pPr>
              <w:spacing w:line="360" w:lineRule="auto"/>
              <w:jc w:val="center"/>
              <w:rPr>
                <w:szCs w:val="21"/>
              </w:rPr>
            </w:pPr>
            <w:r>
              <w:rPr>
                <w:kern w:val="0"/>
                <w:szCs w:val="21"/>
              </w:rPr>
              <w:t>（t/a）</w:t>
            </w:r>
          </w:p>
        </w:tc>
        <w:tc>
          <w:tcPr>
            <w:tcW w:w="1511"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kern w:val="0"/>
                <w:szCs w:val="21"/>
              </w:rPr>
              <w:t>SO</w:t>
            </w:r>
            <w:r>
              <w:rPr>
                <w:kern w:val="0"/>
                <w:szCs w:val="21"/>
                <w:vertAlign w:val="subscript"/>
              </w:rPr>
              <w:t>2</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szCs w:val="21"/>
              </w:rPr>
              <w:t>0.24</w:t>
            </w:r>
            <w:r>
              <w:rPr>
                <w:snapToGrid w:val="0"/>
                <w:kern w:val="21"/>
                <w:szCs w:val="21"/>
              </w:rPr>
              <w:t>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szCs w:val="21"/>
              </w:rPr>
              <w:t>0.24</w:t>
            </w:r>
            <w:r>
              <w:rPr>
                <w:snapToGrid w:val="0"/>
                <w:kern w:val="21"/>
                <w:szCs w:val="21"/>
              </w:rPr>
              <w:t>t/a</w:t>
            </w: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szCs w:val="21"/>
              </w:rPr>
              <w:t>0.24t/a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r>
      <w:tr>
        <w:tblPrEx>
          <w:tblCellMar>
            <w:top w:w="0" w:type="dxa"/>
            <w:left w:w="108" w:type="dxa"/>
            <w:bottom w:w="0" w:type="dxa"/>
            <w:right w:w="108" w:type="dxa"/>
          </w:tblCellMar>
        </w:tblPrEx>
        <w:trPr>
          <w:jc w:val="center"/>
        </w:trPr>
        <w:tc>
          <w:tcPr>
            <w:tcW w:w="1115" w:type="dxa"/>
            <w:vMerge w:val="continue"/>
            <w:tcBorders>
              <w:left w:val="single" w:color="auto" w:sz="4" w:space="0"/>
              <w:right w:val="single" w:color="auto" w:sz="4" w:space="0"/>
            </w:tcBorders>
            <w:vAlign w:val="center"/>
          </w:tcPr>
          <w:p>
            <w:pPr>
              <w:spacing w:line="360" w:lineRule="auto"/>
              <w:jc w:val="center"/>
              <w:rPr>
                <w:kern w:val="0"/>
                <w:szCs w:val="21"/>
              </w:rPr>
            </w:pPr>
          </w:p>
        </w:tc>
        <w:tc>
          <w:tcPr>
            <w:tcW w:w="1511"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kern w:val="0"/>
                <w:szCs w:val="21"/>
              </w:rPr>
              <w:t>NOx</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kern w:val="0"/>
                <w:szCs w:val="21"/>
              </w:rPr>
              <w:t>0.42t/a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kern w:val="0"/>
                <w:szCs w:val="21"/>
              </w:rPr>
              <w:t>0.42t/a</w:t>
            </w: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0.42t/a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r>
      <w:tr>
        <w:tblPrEx>
          <w:tblCellMar>
            <w:top w:w="0" w:type="dxa"/>
            <w:left w:w="108" w:type="dxa"/>
            <w:bottom w:w="0" w:type="dxa"/>
            <w:right w:w="108" w:type="dxa"/>
          </w:tblCellMar>
        </w:tblPrEx>
        <w:trPr>
          <w:jc w:val="center"/>
        </w:trPr>
        <w:tc>
          <w:tcPr>
            <w:tcW w:w="1115" w:type="dxa"/>
            <w:vMerge w:val="continue"/>
            <w:tcBorders>
              <w:left w:val="single" w:color="auto" w:sz="4" w:space="0"/>
              <w:bottom w:val="single" w:color="auto" w:sz="4" w:space="0"/>
              <w:right w:val="single" w:color="auto" w:sz="4" w:space="0"/>
            </w:tcBorders>
            <w:vAlign w:val="center"/>
          </w:tcPr>
          <w:p>
            <w:pPr>
              <w:spacing w:line="360" w:lineRule="auto"/>
              <w:jc w:val="center"/>
              <w:rPr>
                <w:kern w:val="0"/>
                <w:szCs w:val="21"/>
              </w:rPr>
            </w:pPr>
          </w:p>
        </w:tc>
        <w:tc>
          <w:tcPr>
            <w:tcW w:w="1511" w:type="dxa"/>
            <w:tcBorders>
              <w:top w:val="single" w:color="000000" w:sz="4" w:space="0"/>
              <w:left w:val="single" w:color="auto" w:sz="4" w:space="0"/>
              <w:bottom w:val="single" w:color="auto"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kern w:val="0"/>
                <w:szCs w:val="21"/>
              </w:rPr>
              <w:t>颗粒物</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rFonts w:hint="eastAsia"/>
                <w:szCs w:val="21"/>
              </w:rPr>
              <w:t>0</w:t>
            </w:r>
            <w:r>
              <w:rPr>
                <w:szCs w:val="21"/>
              </w:rPr>
              <w:t>.3042</w:t>
            </w:r>
            <w:r>
              <w:rPr>
                <w:kern w:val="0"/>
                <w:szCs w:val="21"/>
              </w:rPr>
              <w:t>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r>
              <w:rPr>
                <w:rFonts w:hint="eastAsia"/>
                <w:szCs w:val="21"/>
              </w:rPr>
              <w:t>0</w:t>
            </w:r>
            <w:r>
              <w:rPr>
                <w:szCs w:val="21"/>
              </w:rPr>
              <w:t>.3042</w:t>
            </w:r>
            <w:r>
              <w:rPr>
                <w:kern w:val="0"/>
                <w:szCs w:val="21"/>
              </w:rPr>
              <w:t>t/a</w:t>
            </w: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 xml:space="preserve">0.2345  </w:t>
            </w:r>
            <w:r>
              <w:rPr>
                <w:rFonts w:hint="eastAsia"/>
                <w:kern w:val="0"/>
                <w:szCs w:val="21"/>
              </w:rPr>
              <w:t>t</w:t>
            </w:r>
            <w:r>
              <w:rPr>
                <w:kern w:val="0"/>
                <w:szCs w:val="21"/>
              </w:rPr>
              <w: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r>
              <w:rPr>
                <w:rFonts w:hint="eastAsia"/>
                <w:szCs w:val="21"/>
              </w:rPr>
              <w:t>-</w:t>
            </w:r>
            <w:r>
              <w:rPr>
                <w:szCs w:val="21"/>
              </w:rPr>
              <w:t xml:space="preserve">0.0697 </w:t>
            </w:r>
            <w:r>
              <w:rPr>
                <w:rFonts w:hint="eastAsia"/>
                <w:szCs w:val="21"/>
              </w:rPr>
              <w:t>t/a</w:t>
            </w:r>
          </w:p>
        </w:tc>
      </w:tr>
      <w:tr>
        <w:tblPrEx>
          <w:tblCellMar>
            <w:top w:w="0" w:type="dxa"/>
            <w:left w:w="108" w:type="dxa"/>
            <w:bottom w:w="0" w:type="dxa"/>
            <w:right w:w="108" w:type="dxa"/>
          </w:tblCellMar>
        </w:tblPrEx>
        <w:trPr>
          <w:jc w:val="center"/>
        </w:trPr>
        <w:tc>
          <w:tcPr>
            <w:tcW w:w="111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kern w:val="0"/>
                <w:szCs w:val="21"/>
              </w:rPr>
            </w:pPr>
            <w:r>
              <w:rPr>
                <w:kern w:val="0"/>
                <w:szCs w:val="21"/>
              </w:rPr>
              <w:t>固废</w:t>
            </w:r>
          </w:p>
          <w:p>
            <w:pPr>
              <w:spacing w:line="360" w:lineRule="auto"/>
              <w:jc w:val="center"/>
              <w:rPr>
                <w:szCs w:val="21"/>
              </w:rPr>
            </w:pPr>
            <w:r>
              <w:rPr>
                <w:kern w:val="0"/>
                <w:szCs w:val="21"/>
              </w:rPr>
              <w:t>（t/a）</w:t>
            </w:r>
          </w:p>
        </w:tc>
        <w:tc>
          <w:tcPr>
            <w:tcW w:w="151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生活垃圾</w:t>
            </w:r>
          </w:p>
        </w:tc>
        <w:tc>
          <w:tcPr>
            <w:tcW w:w="163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rFonts w:hint="eastAsia"/>
                <w:kern w:val="0"/>
                <w:szCs w:val="21"/>
              </w:rPr>
              <w:t>2</w:t>
            </w:r>
            <w:r>
              <w:rPr>
                <w:kern w:val="0"/>
                <w:szCs w:val="21"/>
              </w:rPr>
              <w:t>.25</w:t>
            </w:r>
            <w:r>
              <w:rPr>
                <w:rFonts w:hint="eastAsia"/>
                <w:kern w:val="0"/>
                <w:szCs w:val="21"/>
              </w:rPr>
              <w:t>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1</w:t>
            </w:r>
            <w:r>
              <w:rPr>
                <w:kern w:val="0"/>
                <w:szCs w:val="21"/>
              </w:rPr>
              <w:t>.95</w:t>
            </w:r>
            <w:r>
              <w:rPr>
                <w:rFonts w:hint="eastAsia"/>
                <w:kern w:val="0"/>
                <w:szCs w:val="21"/>
              </w:rPr>
              <w:t>t/a</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4</w:t>
            </w:r>
            <w:r>
              <w:rPr>
                <w:kern w:val="0"/>
                <w:szCs w:val="21"/>
              </w:rPr>
              <w:t>.2</w:t>
            </w:r>
            <w:r>
              <w:rPr>
                <w:rFonts w:hint="eastAsia"/>
                <w:kern w:val="0"/>
                <w:szCs w:val="21"/>
              </w:rPr>
              <w:t>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w:t>
            </w:r>
            <w:r>
              <w:rPr>
                <w:kern w:val="0"/>
                <w:szCs w:val="21"/>
              </w:rPr>
              <w:t>1.95</w:t>
            </w:r>
            <w:r>
              <w:rPr>
                <w:rFonts w:hint="eastAsia"/>
                <w:kern w:val="0"/>
                <w:szCs w:val="21"/>
              </w:rPr>
              <w:t>t/a</w:t>
            </w: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p>
        </w:tc>
        <w:tc>
          <w:tcPr>
            <w:tcW w:w="151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沉淀池沉渣</w:t>
            </w:r>
          </w:p>
        </w:tc>
        <w:tc>
          <w:tcPr>
            <w:tcW w:w="163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rFonts w:hint="eastAsia"/>
                <w:kern w:val="0"/>
                <w:szCs w:val="21"/>
              </w:rPr>
              <w:t>4t/a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4</w:t>
            </w:r>
            <w:r>
              <w:rPr>
                <w:rFonts w:hint="eastAsia"/>
                <w:kern w:val="0"/>
                <w:szCs w:val="21"/>
              </w:rPr>
              <w:t>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0t/a</w:t>
            </w: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p>
        </w:tc>
        <w:tc>
          <w:tcPr>
            <w:tcW w:w="15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82" w:rightChars="-39"/>
              <w:jc w:val="center"/>
              <w:rPr>
                <w:kern w:val="0"/>
                <w:szCs w:val="21"/>
              </w:rPr>
            </w:pPr>
            <w:r>
              <w:rPr>
                <w:kern w:val="0"/>
                <w:szCs w:val="21"/>
              </w:rPr>
              <w:t>布袋除尘器收集的粉尘</w:t>
            </w:r>
          </w:p>
        </w:tc>
        <w:tc>
          <w:tcPr>
            <w:tcW w:w="163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rFonts w:hint="eastAsia"/>
                <w:kern w:val="0"/>
                <w:szCs w:val="21"/>
              </w:rPr>
              <w:t>3.61t/a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9</w:t>
            </w:r>
            <w:r>
              <w:rPr>
                <w:kern w:val="0"/>
                <w:szCs w:val="21"/>
              </w:rPr>
              <w:t>.59</w:t>
            </w:r>
            <w:r>
              <w:rPr>
                <w:rFonts w:hint="eastAsia"/>
                <w:kern w:val="0"/>
                <w:szCs w:val="21"/>
              </w:rPr>
              <w:t>t/a</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13.2</w:t>
            </w:r>
            <w:r>
              <w:rPr>
                <w:rFonts w:hint="eastAsia"/>
                <w:kern w:val="0"/>
                <w:szCs w:val="21"/>
              </w:rPr>
              <w:t>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w:t>
            </w:r>
            <w:r>
              <w:rPr>
                <w:kern w:val="0"/>
                <w:szCs w:val="21"/>
              </w:rPr>
              <w:t>9.59</w:t>
            </w:r>
            <w:r>
              <w:rPr>
                <w:rFonts w:hint="eastAsia"/>
                <w:kern w:val="0"/>
                <w:szCs w:val="21"/>
              </w:rPr>
              <w:t>t/a</w:t>
            </w: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p>
        </w:tc>
        <w:tc>
          <w:tcPr>
            <w:tcW w:w="15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82" w:rightChars="-39"/>
              <w:jc w:val="center"/>
              <w:rPr>
                <w:kern w:val="0"/>
                <w:szCs w:val="21"/>
              </w:rPr>
            </w:pPr>
            <w:r>
              <w:rPr>
                <w:kern w:val="0"/>
                <w:szCs w:val="21"/>
              </w:rPr>
              <w:t>不合格品</w:t>
            </w:r>
          </w:p>
        </w:tc>
        <w:tc>
          <w:tcPr>
            <w:tcW w:w="163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r>
              <w:rPr>
                <w:rFonts w:hint="eastAsia"/>
                <w:kern w:val="0"/>
                <w:szCs w:val="21"/>
              </w:rPr>
              <w:t>20t/a</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9</w:t>
            </w:r>
            <w:r>
              <w:rPr>
                <w:kern w:val="0"/>
                <w:szCs w:val="21"/>
              </w:rPr>
              <w:t>.76</w:t>
            </w:r>
            <w:r>
              <w:rPr>
                <w:rFonts w:hint="eastAsia"/>
                <w:kern w:val="0"/>
                <w:szCs w:val="21"/>
              </w:rPr>
              <w:t>t/a</w:t>
            </w: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kern w:val="0"/>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kern w:val="0"/>
                <w:szCs w:val="21"/>
              </w:rPr>
              <w:t>29.76</w:t>
            </w:r>
            <w:r>
              <w:rPr>
                <w:rFonts w:hint="eastAsia"/>
                <w:kern w:val="0"/>
                <w:szCs w:val="21"/>
              </w:rPr>
              <w:t>t/a</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kern w:val="0"/>
                <w:szCs w:val="21"/>
              </w:rPr>
            </w:pPr>
            <w:r>
              <w:rPr>
                <w:rFonts w:hint="eastAsia"/>
                <w:kern w:val="0"/>
                <w:szCs w:val="21"/>
              </w:rPr>
              <w:t>+</w:t>
            </w:r>
            <w:r>
              <w:rPr>
                <w:kern w:val="0"/>
                <w:szCs w:val="21"/>
              </w:rPr>
              <w:t>9.76</w:t>
            </w:r>
            <w:r>
              <w:rPr>
                <w:rFonts w:hint="eastAsia"/>
                <w:kern w:val="0"/>
                <w:szCs w:val="21"/>
              </w:rPr>
              <w:t>t/a</w:t>
            </w: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szCs w:val="21"/>
              </w:rPr>
            </w:pPr>
          </w:p>
        </w:tc>
        <w:tc>
          <w:tcPr>
            <w:tcW w:w="15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82" w:rightChars="-39"/>
              <w:jc w:val="center"/>
              <w:rPr>
                <w:szCs w:val="21"/>
              </w:rPr>
            </w:pPr>
          </w:p>
        </w:tc>
        <w:tc>
          <w:tcPr>
            <w:tcW w:w="163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76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21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0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r>
      <w:tr>
        <w:tblPrEx>
          <w:tblCellMar>
            <w:top w:w="0" w:type="dxa"/>
            <w:left w:w="108" w:type="dxa"/>
            <w:bottom w:w="0" w:type="dxa"/>
            <w:right w:w="108" w:type="dxa"/>
          </w:tblCellMar>
        </w:tblPrEx>
        <w:trPr>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p>
        </w:tc>
        <w:tc>
          <w:tcPr>
            <w:tcW w:w="1511" w:type="dxa"/>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64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82" w:rightChars="-39"/>
              <w:jc w:val="center"/>
              <w:rPr>
                <w:szCs w:val="21"/>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c>
          <w:tcPr>
            <w:tcW w:w="10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adjustRightInd w:val="0"/>
              <w:spacing w:line="360" w:lineRule="auto"/>
              <w:ind w:right="-82" w:rightChars="-39"/>
              <w:jc w:val="center"/>
              <w:rPr>
                <w:szCs w:val="21"/>
              </w:rPr>
            </w:pPr>
          </w:p>
        </w:tc>
      </w:tr>
    </w:tbl>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_GBK">
    <w:panose1 w:val="02000000000000000000"/>
    <w:charset w:val="86"/>
    <w:family w:val="auto"/>
    <w:pitch w:val="default"/>
    <w:sig w:usb0="00000001" w:usb1="08000000" w:usb2="00000000" w:usb3="00000000" w:csb0="00040000" w:csb1="0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MHei-Medium">
    <w:altName w:val="方正书宋_GBK"/>
    <w:panose1 w:val="00000000000000000000"/>
    <w:charset w:val="88"/>
    <w:family w:val="auto"/>
    <w:pitch w:val="default"/>
    <w:sig w:usb0="00000000" w:usb1="00000000" w:usb2="00000010" w:usb3="00000000" w:csb0="00100000"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Helvetica">
    <w:panose1 w:val="020B0704020202020204"/>
    <w:charset w:val="00"/>
    <w:family w:val="swiss"/>
    <w:pitch w:val="default"/>
    <w:sig w:usb0="00000000" w:usb1="00000000" w:usb2="00000000" w:usb3="00000000" w:csb0="00006400" w:csb1="65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BoldMT">
    <w:altName w:val="Times New Roman"/>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A00002EF" w:usb1="420020EB" w:usb2="00000000" w:usb3="00000000" w:csb0="2000009F"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1501" w:y="-133"/>
      <w:ind w:firstLine="560"/>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color w:val="000000" w:themeColor="text1"/>
        <w:sz w:val="26"/>
        <w:szCs w:val="26"/>
        <w14:textFill>
          <w14:solidFill>
            <w14:schemeClr w14:val="tx1"/>
          </w14:solidFill>
        </w14:textFill>
      </w:rPr>
      <w:t>1</w:t>
    </w:r>
    <w:r>
      <w:rPr>
        <w:rFonts w:ascii="宋体" w:hAnsi="宋体"/>
        <w:sz w:val="26"/>
        <w:szCs w:val="26"/>
      </w:rPr>
      <w:fldChar w:fldCharType="end"/>
    </w:r>
    <w:r>
      <w:rPr>
        <w:rStyle w:val="28"/>
        <w:rFonts w:hint="eastAsia" w:ascii="宋体" w:hAnsi="宋体"/>
        <w:sz w:val="28"/>
        <w:szCs w:val="28"/>
      </w:rPr>
      <w:t>—</w:t>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9406" w:y="-88"/>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w:t>
    </w:r>
    <w:r>
      <w:rPr>
        <w:rStyle w:val="28"/>
        <w:color w:val="000000" w:themeColor="text1"/>
        <w:sz w:val="26"/>
        <w:szCs w:val="26"/>
        <w14:textFill>
          <w14:solidFill>
            <w14:schemeClr w14:val="tx1"/>
          </w14:solidFill>
        </w14:textFill>
      </w:rPr>
      <w:t>2</w:t>
    </w:r>
    <w:r>
      <w:rPr>
        <w:rFonts w:ascii="宋体" w:hAnsi="宋体"/>
        <w:sz w:val="26"/>
        <w:szCs w:val="26"/>
      </w:rPr>
      <w:fldChar w:fldCharType="end"/>
    </w:r>
    <w:r>
      <w:rPr>
        <w:rStyle w:val="28"/>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4</w:t>
    </w:r>
    <w:r>
      <w:rPr>
        <w:rStyle w:val="28"/>
        <w:color w:val="000000" w:themeColor="text1"/>
        <w:sz w:val="26"/>
        <w:szCs w:val="26"/>
        <w14:textFill>
          <w14:solidFill>
            <w14:schemeClr w14:val="tx1"/>
          </w14:solidFill>
        </w14:textFill>
      </w:rPr>
      <w:t>3</w:t>
    </w:r>
    <w:r>
      <w:rPr>
        <w:rFonts w:ascii="宋体" w:hAnsi="宋体"/>
        <w:sz w:val="26"/>
        <w:szCs w:val="26"/>
      </w:rPr>
      <w:fldChar w:fldCharType="end"/>
    </w:r>
    <w:r>
      <w:rPr>
        <w:rStyle w:val="28"/>
        <w:rFonts w:hint="eastAsia" w:ascii="宋体" w:hAnsi="宋体"/>
        <w:sz w:val="28"/>
        <w:szCs w:val="28"/>
      </w:rPr>
      <w:t>—</w:t>
    </w:r>
  </w:p>
  <w:p>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929EB"/>
    <w:multiLevelType w:val="multilevel"/>
    <w:tmpl w:val="088929EB"/>
    <w:lvl w:ilvl="0" w:tentative="0">
      <w:start w:val="1"/>
      <w:numFmt w:val="decimal"/>
      <w:lvlText w:val="%1、"/>
      <w:lvlJc w:val="left"/>
      <w:pPr>
        <w:ind w:left="372" w:hanging="372"/>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3CA6F06"/>
    <w:multiLevelType w:val="multilevel"/>
    <w:tmpl w:val="13CA6F06"/>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D0E0CA4"/>
    <w:multiLevelType w:val="multilevel"/>
    <w:tmpl w:val="3D0E0CA4"/>
    <w:lvl w:ilvl="0" w:tentative="0">
      <w:start w:val="1"/>
      <w:numFmt w:val="decimal"/>
      <w:lvlText w:val="（%1）"/>
      <w:lvlJc w:val="left"/>
      <w:pPr>
        <w:ind w:left="1202" w:hanging="72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
    <w:nsid w:val="4F263391"/>
    <w:multiLevelType w:val="multilevel"/>
    <w:tmpl w:val="4F263391"/>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8DB6D48"/>
    <w:multiLevelType w:val="multilevel"/>
    <w:tmpl w:val="68DB6D48"/>
    <w:lvl w:ilvl="0" w:tentative="0">
      <w:start w:val="1"/>
      <w:numFmt w:val="decimal"/>
      <w:lvlText w:val="（%1）"/>
      <w:lvlJc w:val="left"/>
      <w:pPr>
        <w:ind w:left="1202" w:hanging="72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trackedChanges" w:enforcement="0"/>
  <w:defaultTabStop w:val="420"/>
  <w:evenAndOddHeaders w:val="1"/>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EzYWQ2M2JmMjU1MjdjYmNhMjg5NTQ4MjVhZTFjYmIifQ=="/>
  </w:docVars>
  <w:rsids>
    <w:rsidRoot w:val="00172A27"/>
    <w:rsid w:val="000002DA"/>
    <w:rsid w:val="00000977"/>
    <w:rsid w:val="00000ACA"/>
    <w:rsid w:val="00000ED1"/>
    <w:rsid w:val="000039FD"/>
    <w:rsid w:val="000060B3"/>
    <w:rsid w:val="000065ED"/>
    <w:rsid w:val="000068AB"/>
    <w:rsid w:val="000069A0"/>
    <w:rsid w:val="0001121B"/>
    <w:rsid w:val="000117BF"/>
    <w:rsid w:val="00011805"/>
    <w:rsid w:val="000129A5"/>
    <w:rsid w:val="00012CA3"/>
    <w:rsid w:val="00013DEB"/>
    <w:rsid w:val="00015C97"/>
    <w:rsid w:val="00016EB3"/>
    <w:rsid w:val="00017885"/>
    <w:rsid w:val="00017D5A"/>
    <w:rsid w:val="00022851"/>
    <w:rsid w:val="00023208"/>
    <w:rsid w:val="00023440"/>
    <w:rsid w:val="00025436"/>
    <w:rsid w:val="00025AD2"/>
    <w:rsid w:val="00025CE8"/>
    <w:rsid w:val="000300EE"/>
    <w:rsid w:val="0003046D"/>
    <w:rsid w:val="00030AA6"/>
    <w:rsid w:val="00031CC9"/>
    <w:rsid w:val="0003254F"/>
    <w:rsid w:val="00033837"/>
    <w:rsid w:val="000371BF"/>
    <w:rsid w:val="00037ADE"/>
    <w:rsid w:val="0004364B"/>
    <w:rsid w:val="000439AA"/>
    <w:rsid w:val="00043DA1"/>
    <w:rsid w:val="0004532C"/>
    <w:rsid w:val="00046494"/>
    <w:rsid w:val="00046981"/>
    <w:rsid w:val="00047A42"/>
    <w:rsid w:val="00050346"/>
    <w:rsid w:val="00052264"/>
    <w:rsid w:val="000527C0"/>
    <w:rsid w:val="00052EC0"/>
    <w:rsid w:val="00055ADB"/>
    <w:rsid w:val="000560C4"/>
    <w:rsid w:val="00057B61"/>
    <w:rsid w:val="00057CB6"/>
    <w:rsid w:val="00057DF5"/>
    <w:rsid w:val="00060A49"/>
    <w:rsid w:val="00061B1F"/>
    <w:rsid w:val="00061BE7"/>
    <w:rsid w:val="000633C7"/>
    <w:rsid w:val="00063444"/>
    <w:rsid w:val="00070946"/>
    <w:rsid w:val="000733C4"/>
    <w:rsid w:val="00074783"/>
    <w:rsid w:val="00076EF3"/>
    <w:rsid w:val="0008070B"/>
    <w:rsid w:val="00080920"/>
    <w:rsid w:val="000810AC"/>
    <w:rsid w:val="00081A02"/>
    <w:rsid w:val="00082231"/>
    <w:rsid w:val="00082945"/>
    <w:rsid w:val="000838C1"/>
    <w:rsid w:val="00083C1C"/>
    <w:rsid w:val="0008449B"/>
    <w:rsid w:val="00087619"/>
    <w:rsid w:val="0009111E"/>
    <w:rsid w:val="000916C6"/>
    <w:rsid w:val="00092D38"/>
    <w:rsid w:val="0009377B"/>
    <w:rsid w:val="00097A66"/>
    <w:rsid w:val="000A0060"/>
    <w:rsid w:val="000A20C9"/>
    <w:rsid w:val="000A35D8"/>
    <w:rsid w:val="000A3F8E"/>
    <w:rsid w:val="000A4867"/>
    <w:rsid w:val="000A55B2"/>
    <w:rsid w:val="000A6911"/>
    <w:rsid w:val="000A6B57"/>
    <w:rsid w:val="000B02D1"/>
    <w:rsid w:val="000B058F"/>
    <w:rsid w:val="000B0C1E"/>
    <w:rsid w:val="000B1156"/>
    <w:rsid w:val="000B1643"/>
    <w:rsid w:val="000B17BA"/>
    <w:rsid w:val="000B2FBD"/>
    <w:rsid w:val="000B395D"/>
    <w:rsid w:val="000B3D7D"/>
    <w:rsid w:val="000B4467"/>
    <w:rsid w:val="000B4DB9"/>
    <w:rsid w:val="000B5487"/>
    <w:rsid w:val="000B5E46"/>
    <w:rsid w:val="000B7838"/>
    <w:rsid w:val="000C09AC"/>
    <w:rsid w:val="000C0F42"/>
    <w:rsid w:val="000C2E5D"/>
    <w:rsid w:val="000C3741"/>
    <w:rsid w:val="000C6795"/>
    <w:rsid w:val="000C767F"/>
    <w:rsid w:val="000D037D"/>
    <w:rsid w:val="000D2646"/>
    <w:rsid w:val="000D26D0"/>
    <w:rsid w:val="000D2CCF"/>
    <w:rsid w:val="000D3716"/>
    <w:rsid w:val="000D3C05"/>
    <w:rsid w:val="000D52CB"/>
    <w:rsid w:val="000D5A44"/>
    <w:rsid w:val="000D706A"/>
    <w:rsid w:val="000E0BDD"/>
    <w:rsid w:val="000E3ED2"/>
    <w:rsid w:val="000E47F6"/>
    <w:rsid w:val="000E49D0"/>
    <w:rsid w:val="000E5FB2"/>
    <w:rsid w:val="000E617B"/>
    <w:rsid w:val="000E7610"/>
    <w:rsid w:val="000E783F"/>
    <w:rsid w:val="000F0773"/>
    <w:rsid w:val="000F1354"/>
    <w:rsid w:val="000F1E80"/>
    <w:rsid w:val="000F5FFA"/>
    <w:rsid w:val="000F7C69"/>
    <w:rsid w:val="001005E0"/>
    <w:rsid w:val="00101130"/>
    <w:rsid w:val="00104FBC"/>
    <w:rsid w:val="00107B34"/>
    <w:rsid w:val="001110C1"/>
    <w:rsid w:val="001125EC"/>
    <w:rsid w:val="00112F10"/>
    <w:rsid w:val="00113B35"/>
    <w:rsid w:val="00115A75"/>
    <w:rsid w:val="00116D5C"/>
    <w:rsid w:val="0011758A"/>
    <w:rsid w:val="001207DF"/>
    <w:rsid w:val="001236CC"/>
    <w:rsid w:val="001238CA"/>
    <w:rsid w:val="001252B2"/>
    <w:rsid w:val="001316B1"/>
    <w:rsid w:val="00131EAE"/>
    <w:rsid w:val="00131F42"/>
    <w:rsid w:val="00132077"/>
    <w:rsid w:val="00133830"/>
    <w:rsid w:val="00133EEC"/>
    <w:rsid w:val="00134794"/>
    <w:rsid w:val="001357F1"/>
    <w:rsid w:val="00136DF1"/>
    <w:rsid w:val="001370B5"/>
    <w:rsid w:val="00140FA8"/>
    <w:rsid w:val="00140FF5"/>
    <w:rsid w:val="00141D92"/>
    <w:rsid w:val="00142D19"/>
    <w:rsid w:val="00142E5D"/>
    <w:rsid w:val="00142FEB"/>
    <w:rsid w:val="0014322F"/>
    <w:rsid w:val="00143A2D"/>
    <w:rsid w:val="00144504"/>
    <w:rsid w:val="00145A41"/>
    <w:rsid w:val="00145B5E"/>
    <w:rsid w:val="00146626"/>
    <w:rsid w:val="001476C7"/>
    <w:rsid w:val="001501ED"/>
    <w:rsid w:val="00150491"/>
    <w:rsid w:val="00151675"/>
    <w:rsid w:val="0015210D"/>
    <w:rsid w:val="001521FC"/>
    <w:rsid w:val="00152768"/>
    <w:rsid w:val="001537AD"/>
    <w:rsid w:val="00153BB5"/>
    <w:rsid w:val="00153E67"/>
    <w:rsid w:val="00155C8B"/>
    <w:rsid w:val="00155F7E"/>
    <w:rsid w:val="001563CA"/>
    <w:rsid w:val="00157435"/>
    <w:rsid w:val="001638E7"/>
    <w:rsid w:val="00164051"/>
    <w:rsid w:val="00164399"/>
    <w:rsid w:val="001651B9"/>
    <w:rsid w:val="0016621D"/>
    <w:rsid w:val="00166DF4"/>
    <w:rsid w:val="001676EB"/>
    <w:rsid w:val="00170490"/>
    <w:rsid w:val="00171455"/>
    <w:rsid w:val="00171ACD"/>
    <w:rsid w:val="00172A27"/>
    <w:rsid w:val="001739EB"/>
    <w:rsid w:val="00173FAA"/>
    <w:rsid w:val="001744FA"/>
    <w:rsid w:val="00174AFF"/>
    <w:rsid w:val="0017504D"/>
    <w:rsid w:val="00175B94"/>
    <w:rsid w:val="0017671A"/>
    <w:rsid w:val="00177422"/>
    <w:rsid w:val="001808E4"/>
    <w:rsid w:val="00184590"/>
    <w:rsid w:val="00185E63"/>
    <w:rsid w:val="00187071"/>
    <w:rsid w:val="001870D0"/>
    <w:rsid w:val="001870D1"/>
    <w:rsid w:val="0018781E"/>
    <w:rsid w:val="0019163B"/>
    <w:rsid w:val="0019262D"/>
    <w:rsid w:val="0019287D"/>
    <w:rsid w:val="00196A15"/>
    <w:rsid w:val="001977A4"/>
    <w:rsid w:val="001A1B35"/>
    <w:rsid w:val="001A2433"/>
    <w:rsid w:val="001A2F6E"/>
    <w:rsid w:val="001A48A2"/>
    <w:rsid w:val="001A4C3E"/>
    <w:rsid w:val="001A4D2D"/>
    <w:rsid w:val="001A4F12"/>
    <w:rsid w:val="001A5374"/>
    <w:rsid w:val="001A6F61"/>
    <w:rsid w:val="001B07FE"/>
    <w:rsid w:val="001B1DB4"/>
    <w:rsid w:val="001B46BB"/>
    <w:rsid w:val="001B5212"/>
    <w:rsid w:val="001B5436"/>
    <w:rsid w:val="001B565B"/>
    <w:rsid w:val="001B57D8"/>
    <w:rsid w:val="001B5981"/>
    <w:rsid w:val="001B5D5D"/>
    <w:rsid w:val="001B5EF8"/>
    <w:rsid w:val="001B7068"/>
    <w:rsid w:val="001B7152"/>
    <w:rsid w:val="001B72B8"/>
    <w:rsid w:val="001B74EA"/>
    <w:rsid w:val="001C0F57"/>
    <w:rsid w:val="001C11C5"/>
    <w:rsid w:val="001C2B4C"/>
    <w:rsid w:val="001C4A41"/>
    <w:rsid w:val="001C52F3"/>
    <w:rsid w:val="001C69B3"/>
    <w:rsid w:val="001C7781"/>
    <w:rsid w:val="001D1AB7"/>
    <w:rsid w:val="001D1F11"/>
    <w:rsid w:val="001D3E5E"/>
    <w:rsid w:val="001D46AD"/>
    <w:rsid w:val="001D5595"/>
    <w:rsid w:val="001D6D9A"/>
    <w:rsid w:val="001D7874"/>
    <w:rsid w:val="001D7F22"/>
    <w:rsid w:val="001E07CB"/>
    <w:rsid w:val="001E160E"/>
    <w:rsid w:val="001E298B"/>
    <w:rsid w:val="001E3AD5"/>
    <w:rsid w:val="001E4559"/>
    <w:rsid w:val="001E5C78"/>
    <w:rsid w:val="001E6594"/>
    <w:rsid w:val="001E65D8"/>
    <w:rsid w:val="001E66FC"/>
    <w:rsid w:val="001F0A59"/>
    <w:rsid w:val="001F0F17"/>
    <w:rsid w:val="001F2AB7"/>
    <w:rsid w:val="001F3347"/>
    <w:rsid w:val="001F64F9"/>
    <w:rsid w:val="001F69A6"/>
    <w:rsid w:val="001F69E4"/>
    <w:rsid w:val="00200D30"/>
    <w:rsid w:val="00203D5D"/>
    <w:rsid w:val="002046DA"/>
    <w:rsid w:val="002055E5"/>
    <w:rsid w:val="00205600"/>
    <w:rsid w:val="0020622A"/>
    <w:rsid w:val="002078CA"/>
    <w:rsid w:val="00207C73"/>
    <w:rsid w:val="002105AF"/>
    <w:rsid w:val="002117CA"/>
    <w:rsid w:val="00211A49"/>
    <w:rsid w:val="002125B4"/>
    <w:rsid w:val="002155B8"/>
    <w:rsid w:val="00217379"/>
    <w:rsid w:val="0022193A"/>
    <w:rsid w:val="00221BC6"/>
    <w:rsid w:val="00224839"/>
    <w:rsid w:val="002249B2"/>
    <w:rsid w:val="00224E76"/>
    <w:rsid w:val="002251D9"/>
    <w:rsid w:val="00226574"/>
    <w:rsid w:val="00226B42"/>
    <w:rsid w:val="002275F0"/>
    <w:rsid w:val="002278EC"/>
    <w:rsid w:val="0023083B"/>
    <w:rsid w:val="00231B98"/>
    <w:rsid w:val="00232333"/>
    <w:rsid w:val="0023280E"/>
    <w:rsid w:val="00234871"/>
    <w:rsid w:val="00234F96"/>
    <w:rsid w:val="002377D1"/>
    <w:rsid w:val="00240CDD"/>
    <w:rsid w:val="00242234"/>
    <w:rsid w:val="0024343C"/>
    <w:rsid w:val="00244542"/>
    <w:rsid w:val="00246127"/>
    <w:rsid w:val="002506BC"/>
    <w:rsid w:val="002506CB"/>
    <w:rsid w:val="00250FD4"/>
    <w:rsid w:val="0025254C"/>
    <w:rsid w:val="00252AE7"/>
    <w:rsid w:val="00254345"/>
    <w:rsid w:val="00254512"/>
    <w:rsid w:val="002553BA"/>
    <w:rsid w:val="0025609B"/>
    <w:rsid w:val="00256E7E"/>
    <w:rsid w:val="002577FA"/>
    <w:rsid w:val="00261549"/>
    <w:rsid w:val="00261B7E"/>
    <w:rsid w:val="00262A8D"/>
    <w:rsid w:val="00263BD7"/>
    <w:rsid w:val="00264557"/>
    <w:rsid w:val="002645C1"/>
    <w:rsid w:val="002645E3"/>
    <w:rsid w:val="00264B85"/>
    <w:rsid w:val="00264CB6"/>
    <w:rsid w:val="00264F65"/>
    <w:rsid w:val="00266DE0"/>
    <w:rsid w:val="00270C50"/>
    <w:rsid w:val="002711A8"/>
    <w:rsid w:val="002720EF"/>
    <w:rsid w:val="00272DDD"/>
    <w:rsid w:val="0027396B"/>
    <w:rsid w:val="002743BA"/>
    <w:rsid w:val="002751E0"/>
    <w:rsid w:val="00276EC8"/>
    <w:rsid w:val="00276F01"/>
    <w:rsid w:val="002800C6"/>
    <w:rsid w:val="002805AB"/>
    <w:rsid w:val="0028088C"/>
    <w:rsid w:val="00281738"/>
    <w:rsid w:val="00282359"/>
    <w:rsid w:val="00282EED"/>
    <w:rsid w:val="00284204"/>
    <w:rsid w:val="00284632"/>
    <w:rsid w:val="002851DA"/>
    <w:rsid w:val="00285F99"/>
    <w:rsid w:val="00286269"/>
    <w:rsid w:val="0028724F"/>
    <w:rsid w:val="002879E4"/>
    <w:rsid w:val="00290684"/>
    <w:rsid w:val="00291773"/>
    <w:rsid w:val="00292EA2"/>
    <w:rsid w:val="0029331C"/>
    <w:rsid w:val="002934BF"/>
    <w:rsid w:val="00293520"/>
    <w:rsid w:val="0029352B"/>
    <w:rsid w:val="00294543"/>
    <w:rsid w:val="00295052"/>
    <w:rsid w:val="0029597E"/>
    <w:rsid w:val="00297C27"/>
    <w:rsid w:val="002A096D"/>
    <w:rsid w:val="002A1199"/>
    <w:rsid w:val="002A168C"/>
    <w:rsid w:val="002A1BA2"/>
    <w:rsid w:val="002A1FBE"/>
    <w:rsid w:val="002A1FF1"/>
    <w:rsid w:val="002A2BA0"/>
    <w:rsid w:val="002A3583"/>
    <w:rsid w:val="002A3DC7"/>
    <w:rsid w:val="002A3EFE"/>
    <w:rsid w:val="002A3F54"/>
    <w:rsid w:val="002A4E7D"/>
    <w:rsid w:val="002A521A"/>
    <w:rsid w:val="002A6A7E"/>
    <w:rsid w:val="002A778B"/>
    <w:rsid w:val="002B0488"/>
    <w:rsid w:val="002B3FD0"/>
    <w:rsid w:val="002B49E2"/>
    <w:rsid w:val="002B5CC7"/>
    <w:rsid w:val="002B6A19"/>
    <w:rsid w:val="002B6D00"/>
    <w:rsid w:val="002B7B00"/>
    <w:rsid w:val="002B7C44"/>
    <w:rsid w:val="002B7CCD"/>
    <w:rsid w:val="002B7CE3"/>
    <w:rsid w:val="002C17A3"/>
    <w:rsid w:val="002C17DF"/>
    <w:rsid w:val="002C1B92"/>
    <w:rsid w:val="002C2B17"/>
    <w:rsid w:val="002C377D"/>
    <w:rsid w:val="002C62D6"/>
    <w:rsid w:val="002C6337"/>
    <w:rsid w:val="002C7170"/>
    <w:rsid w:val="002D1229"/>
    <w:rsid w:val="002D16DA"/>
    <w:rsid w:val="002D1BC8"/>
    <w:rsid w:val="002D1C8E"/>
    <w:rsid w:val="002D2F7A"/>
    <w:rsid w:val="002D3DD0"/>
    <w:rsid w:val="002D61F2"/>
    <w:rsid w:val="002D6E54"/>
    <w:rsid w:val="002D6F52"/>
    <w:rsid w:val="002E0374"/>
    <w:rsid w:val="002E1B26"/>
    <w:rsid w:val="002E1F3A"/>
    <w:rsid w:val="002E2164"/>
    <w:rsid w:val="002E252D"/>
    <w:rsid w:val="002E298A"/>
    <w:rsid w:val="002E2CB6"/>
    <w:rsid w:val="002E3FBC"/>
    <w:rsid w:val="002E475D"/>
    <w:rsid w:val="002E4CBD"/>
    <w:rsid w:val="002E579C"/>
    <w:rsid w:val="002E58C4"/>
    <w:rsid w:val="002E5A1A"/>
    <w:rsid w:val="002E5B01"/>
    <w:rsid w:val="002E5CAB"/>
    <w:rsid w:val="002E77E7"/>
    <w:rsid w:val="002F13E4"/>
    <w:rsid w:val="002F18EF"/>
    <w:rsid w:val="002F1EB1"/>
    <w:rsid w:val="00300887"/>
    <w:rsid w:val="00301978"/>
    <w:rsid w:val="00302D06"/>
    <w:rsid w:val="0030332C"/>
    <w:rsid w:val="00303595"/>
    <w:rsid w:val="003051C2"/>
    <w:rsid w:val="0030567F"/>
    <w:rsid w:val="00305745"/>
    <w:rsid w:val="003061F7"/>
    <w:rsid w:val="0031170A"/>
    <w:rsid w:val="003121BA"/>
    <w:rsid w:val="003121D9"/>
    <w:rsid w:val="00312296"/>
    <w:rsid w:val="00312B35"/>
    <w:rsid w:val="00313932"/>
    <w:rsid w:val="00314230"/>
    <w:rsid w:val="00314321"/>
    <w:rsid w:val="003143A7"/>
    <w:rsid w:val="00314ACA"/>
    <w:rsid w:val="00314F0E"/>
    <w:rsid w:val="00314F48"/>
    <w:rsid w:val="0031506F"/>
    <w:rsid w:val="003154F7"/>
    <w:rsid w:val="00316375"/>
    <w:rsid w:val="003178B1"/>
    <w:rsid w:val="00321D8E"/>
    <w:rsid w:val="00322126"/>
    <w:rsid w:val="003225DD"/>
    <w:rsid w:val="00323A03"/>
    <w:rsid w:val="003243C9"/>
    <w:rsid w:val="00325928"/>
    <w:rsid w:val="00326892"/>
    <w:rsid w:val="0033084A"/>
    <w:rsid w:val="00330FE7"/>
    <w:rsid w:val="00332863"/>
    <w:rsid w:val="00333AD6"/>
    <w:rsid w:val="00334E64"/>
    <w:rsid w:val="00335A1A"/>
    <w:rsid w:val="003364EA"/>
    <w:rsid w:val="0033684D"/>
    <w:rsid w:val="00337B42"/>
    <w:rsid w:val="00341B42"/>
    <w:rsid w:val="00343384"/>
    <w:rsid w:val="0034348F"/>
    <w:rsid w:val="003531B1"/>
    <w:rsid w:val="00353D77"/>
    <w:rsid w:val="00355266"/>
    <w:rsid w:val="00356653"/>
    <w:rsid w:val="00357413"/>
    <w:rsid w:val="0035743F"/>
    <w:rsid w:val="00357BE2"/>
    <w:rsid w:val="00357F46"/>
    <w:rsid w:val="00360077"/>
    <w:rsid w:val="0036170C"/>
    <w:rsid w:val="003619F5"/>
    <w:rsid w:val="00361FD4"/>
    <w:rsid w:val="003622F7"/>
    <w:rsid w:val="003626F7"/>
    <w:rsid w:val="00366E0F"/>
    <w:rsid w:val="00372FC6"/>
    <w:rsid w:val="00374D77"/>
    <w:rsid w:val="00375D97"/>
    <w:rsid w:val="00376896"/>
    <w:rsid w:val="00377E51"/>
    <w:rsid w:val="00381A72"/>
    <w:rsid w:val="00381A93"/>
    <w:rsid w:val="00384676"/>
    <w:rsid w:val="0038693A"/>
    <w:rsid w:val="00387D58"/>
    <w:rsid w:val="0039029A"/>
    <w:rsid w:val="00390791"/>
    <w:rsid w:val="00390857"/>
    <w:rsid w:val="003916B9"/>
    <w:rsid w:val="00391A23"/>
    <w:rsid w:val="00393755"/>
    <w:rsid w:val="00394721"/>
    <w:rsid w:val="00394B7D"/>
    <w:rsid w:val="00395693"/>
    <w:rsid w:val="0039569B"/>
    <w:rsid w:val="003961CA"/>
    <w:rsid w:val="00396E18"/>
    <w:rsid w:val="003A04A3"/>
    <w:rsid w:val="003A0CB2"/>
    <w:rsid w:val="003A0CFC"/>
    <w:rsid w:val="003A3B35"/>
    <w:rsid w:val="003A47AE"/>
    <w:rsid w:val="003A4B0B"/>
    <w:rsid w:val="003A4BF3"/>
    <w:rsid w:val="003A550F"/>
    <w:rsid w:val="003A7327"/>
    <w:rsid w:val="003B0311"/>
    <w:rsid w:val="003B0D31"/>
    <w:rsid w:val="003B2B03"/>
    <w:rsid w:val="003B3EB1"/>
    <w:rsid w:val="003B420D"/>
    <w:rsid w:val="003B42B2"/>
    <w:rsid w:val="003B5508"/>
    <w:rsid w:val="003B7963"/>
    <w:rsid w:val="003C1EA5"/>
    <w:rsid w:val="003C3B2F"/>
    <w:rsid w:val="003C4451"/>
    <w:rsid w:val="003C4870"/>
    <w:rsid w:val="003C4B29"/>
    <w:rsid w:val="003C4BED"/>
    <w:rsid w:val="003C4F56"/>
    <w:rsid w:val="003C66C9"/>
    <w:rsid w:val="003C6837"/>
    <w:rsid w:val="003C6C16"/>
    <w:rsid w:val="003C752F"/>
    <w:rsid w:val="003D0238"/>
    <w:rsid w:val="003D135D"/>
    <w:rsid w:val="003D1C99"/>
    <w:rsid w:val="003D28DB"/>
    <w:rsid w:val="003D3505"/>
    <w:rsid w:val="003D4AF6"/>
    <w:rsid w:val="003D605D"/>
    <w:rsid w:val="003D794D"/>
    <w:rsid w:val="003D79E4"/>
    <w:rsid w:val="003D7BB6"/>
    <w:rsid w:val="003E0132"/>
    <w:rsid w:val="003E0776"/>
    <w:rsid w:val="003E0F7A"/>
    <w:rsid w:val="003E1CE8"/>
    <w:rsid w:val="003E3058"/>
    <w:rsid w:val="003E4106"/>
    <w:rsid w:val="003E4B93"/>
    <w:rsid w:val="003E52CF"/>
    <w:rsid w:val="003E6EC5"/>
    <w:rsid w:val="003E7685"/>
    <w:rsid w:val="003E76A9"/>
    <w:rsid w:val="003E78A3"/>
    <w:rsid w:val="003F0809"/>
    <w:rsid w:val="003F3603"/>
    <w:rsid w:val="003F51C7"/>
    <w:rsid w:val="003F5CB4"/>
    <w:rsid w:val="003F6A8C"/>
    <w:rsid w:val="003F6F13"/>
    <w:rsid w:val="003F755C"/>
    <w:rsid w:val="003F772F"/>
    <w:rsid w:val="00400255"/>
    <w:rsid w:val="004010EA"/>
    <w:rsid w:val="00401FD3"/>
    <w:rsid w:val="00405B40"/>
    <w:rsid w:val="00406F01"/>
    <w:rsid w:val="0040798A"/>
    <w:rsid w:val="004105C1"/>
    <w:rsid w:val="00410A95"/>
    <w:rsid w:val="00410E40"/>
    <w:rsid w:val="00411511"/>
    <w:rsid w:val="004116F6"/>
    <w:rsid w:val="00412AC8"/>
    <w:rsid w:val="00412C10"/>
    <w:rsid w:val="0041307C"/>
    <w:rsid w:val="004137C2"/>
    <w:rsid w:val="00416D50"/>
    <w:rsid w:val="00416FD5"/>
    <w:rsid w:val="00417772"/>
    <w:rsid w:val="0042026C"/>
    <w:rsid w:val="00420E6A"/>
    <w:rsid w:val="00420EC8"/>
    <w:rsid w:val="00420FB7"/>
    <w:rsid w:val="0042186F"/>
    <w:rsid w:val="00421A79"/>
    <w:rsid w:val="00421CAE"/>
    <w:rsid w:val="00421D2C"/>
    <w:rsid w:val="00422225"/>
    <w:rsid w:val="00422C4A"/>
    <w:rsid w:val="00423AAB"/>
    <w:rsid w:val="00423BC5"/>
    <w:rsid w:val="00424782"/>
    <w:rsid w:val="004249FE"/>
    <w:rsid w:val="004259D0"/>
    <w:rsid w:val="00425A9E"/>
    <w:rsid w:val="0042633A"/>
    <w:rsid w:val="00426D34"/>
    <w:rsid w:val="00426D6B"/>
    <w:rsid w:val="00427FBE"/>
    <w:rsid w:val="00430BCA"/>
    <w:rsid w:val="00431E6C"/>
    <w:rsid w:val="00432F27"/>
    <w:rsid w:val="00433CE7"/>
    <w:rsid w:val="0043498B"/>
    <w:rsid w:val="00434AC6"/>
    <w:rsid w:val="00434F2F"/>
    <w:rsid w:val="00435C9B"/>
    <w:rsid w:val="004367C4"/>
    <w:rsid w:val="0044047B"/>
    <w:rsid w:val="00440E32"/>
    <w:rsid w:val="004411DC"/>
    <w:rsid w:val="00443B66"/>
    <w:rsid w:val="00446009"/>
    <w:rsid w:val="0044645D"/>
    <w:rsid w:val="004503DA"/>
    <w:rsid w:val="00451476"/>
    <w:rsid w:val="004514EB"/>
    <w:rsid w:val="004516F9"/>
    <w:rsid w:val="00452738"/>
    <w:rsid w:val="004556AE"/>
    <w:rsid w:val="00456091"/>
    <w:rsid w:val="00457902"/>
    <w:rsid w:val="00460481"/>
    <w:rsid w:val="00461004"/>
    <w:rsid w:val="00461527"/>
    <w:rsid w:val="00463276"/>
    <w:rsid w:val="00463939"/>
    <w:rsid w:val="00463EE2"/>
    <w:rsid w:val="004649BF"/>
    <w:rsid w:val="0046581A"/>
    <w:rsid w:val="00466321"/>
    <w:rsid w:val="0046634E"/>
    <w:rsid w:val="00467225"/>
    <w:rsid w:val="004709B2"/>
    <w:rsid w:val="00473E01"/>
    <w:rsid w:val="004750EB"/>
    <w:rsid w:val="00477DA6"/>
    <w:rsid w:val="00481488"/>
    <w:rsid w:val="00483311"/>
    <w:rsid w:val="00484B9B"/>
    <w:rsid w:val="004855F6"/>
    <w:rsid w:val="00485B59"/>
    <w:rsid w:val="00485EEA"/>
    <w:rsid w:val="0048661E"/>
    <w:rsid w:val="004872C3"/>
    <w:rsid w:val="004879F0"/>
    <w:rsid w:val="0049222A"/>
    <w:rsid w:val="00492B19"/>
    <w:rsid w:val="00492FA0"/>
    <w:rsid w:val="00494670"/>
    <w:rsid w:val="0049497A"/>
    <w:rsid w:val="00496F14"/>
    <w:rsid w:val="004A06B2"/>
    <w:rsid w:val="004A1B78"/>
    <w:rsid w:val="004A28C6"/>
    <w:rsid w:val="004A2ACC"/>
    <w:rsid w:val="004A2D85"/>
    <w:rsid w:val="004A3039"/>
    <w:rsid w:val="004A3645"/>
    <w:rsid w:val="004A3823"/>
    <w:rsid w:val="004A3FAF"/>
    <w:rsid w:val="004A6C43"/>
    <w:rsid w:val="004A70A4"/>
    <w:rsid w:val="004A750A"/>
    <w:rsid w:val="004B1045"/>
    <w:rsid w:val="004B1F4F"/>
    <w:rsid w:val="004B2E20"/>
    <w:rsid w:val="004B3060"/>
    <w:rsid w:val="004B4276"/>
    <w:rsid w:val="004B467A"/>
    <w:rsid w:val="004B4B0F"/>
    <w:rsid w:val="004B59BA"/>
    <w:rsid w:val="004B6F23"/>
    <w:rsid w:val="004B7534"/>
    <w:rsid w:val="004B75A7"/>
    <w:rsid w:val="004B7F25"/>
    <w:rsid w:val="004C0999"/>
    <w:rsid w:val="004C25B9"/>
    <w:rsid w:val="004C6839"/>
    <w:rsid w:val="004C7A62"/>
    <w:rsid w:val="004D12B8"/>
    <w:rsid w:val="004D28FB"/>
    <w:rsid w:val="004D2A11"/>
    <w:rsid w:val="004D319A"/>
    <w:rsid w:val="004D4409"/>
    <w:rsid w:val="004D547D"/>
    <w:rsid w:val="004D5D49"/>
    <w:rsid w:val="004D5FB1"/>
    <w:rsid w:val="004D62A4"/>
    <w:rsid w:val="004D667F"/>
    <w:rsid w:val="004D6BA7"/>
    <w:rsid w:val="004E1914"/>
    <w:rsid w:val="004E39B7"/>
    <w:rsid w:val="004E4820"/>
    <w:rsid w:val="004E4E29"/>
    <w:rsid w:val="004E552F"/>
    <w:rsid w:val="004E594F"/>
    <w:rsid w:val="004E5A7C"/>
    <w:rsid w:val="004E6044"/>
    <w:rsid w:val="004E6946"/>
    <w:rsid w:val="004E6EC1"/>
    <w:rsid w:val="004F01A7"/>
    <w:rsid w:val="004F0794"/>
    <w:rsid w:val="004F1AD8"/>
    <w:rsid w:val="004F417B"/>
    <w:rsid w:val="004F4AF8"/>
    <w:rsid w:val="004F557A"/>
    <w:rsid w:val="004F55FA"/>
    <w:rsid w:val="004F75B4"/>
    <w:rsid w:val="005000EE"/>
    <w:rsid w:val="005006B4"/>
    <w:rsid w:val="005039CB"/>
    <w:rsid w:val="00503F64"/>
    <w:rsid w:val="00505054"/>
    <w:rsid w:val="0050558F"/>
    <w:rsid w:val="00505B92"/>
    <w:rsid w:val="00506286"/>
    <w:rsid w:val="005079F9"/>
    <w:rsid w:val="00510813"/>
    <w:rsid w:val="00511990"/>
    <w:rsid w:val="00511DE0"/>
    <w:rsid w:val="00512C5F"/>
    <w:rsid w:val="005134D1"/>
    <w:rsid w:val="00513B18"/>
    <w:rsid w:val="00514870"/>
    <w:rsid w:val="00514B9B"/>
    <w:rsid w:val="005154ED"/>
    <w:rsid w:val="00517F02"/>
    <w:rsid w:val="0052039E"/>
    <w:rsid w:val="00520A0D"/>
    <w:rsid w:val="00521394"/>
    <w:rsid w:val="00521971"/>
    <w:rsid w:val="00522B40"/>
    <w:rsid w:val="00523038"/>
    <w:rsid w:val="0052303B"/>
    <w:rsid w:val="005238E7"/>
    <w:rsid w:val="00524303"/>
    <w:rsid w:val="00524A6D"/>
    <w:rsid w:val="005258A2"/>
    <w:rsid w:val="00525B0A"/>
    <w:rsid w:val="00525BFB"/>
    <w:rsid w:val="00526276"/>
    <w:rsid w:val="005305B7"/>
    <w:rsid w:val="00530BF6"/>
    <w:rsid w:val="005323F7"/>
    <w:rsid w:val="00532FFD"/>
    <w:rsid w:val="0053335E"/>
    <w:rsid w:val="005346F0"/>
    <w:rsid w:val="0053485E"/>
    <w:rsid w:val="00535090"/>
    <w:rsid w:val="00535566"/>
    <w:rsid w:val="005359DD"/>
    <w:rsid w:val="00536D3E"/>
    <w:rsid w:val="005401AE"/>
    <w:rsid w:val="005401FA"/>
    <w:rsid w:val="0054020B"/>
    <w:rsid w:val="005407B0"/>
    <w:rsid w:val="00540A32"/>
    <w:rsid w:val="0054209D"/>
    <w:rsid w:val="005427C9"/>
    <w:rsid w:val="00542E07"/>
    <w:rsid w:val="00544A4C"/>
    <w:rsid w:val="00545424"/>
    <w:rsid w:val="00546796"/>
    <w:rsid w:val="005509B2"/>
    <w:rsid w:val="00551741"/>
    <w:rsid w:val="0055272E"/>
    <w:rsid w:val="00553142"/>
    <w:rsid w:val="00554A7B"/>
    <w:rsid w:val="0055572C"/>
    <w:rsid w:val="00556B44"/>
    <w:rsid w:val="005605A0"/>
    <w:rsid w:val="0056106A"/>
    <w:rsid w:val="005617D4"/>
    <w:rsid w:val="00563034"/>
    <w:rsid w:val="00563470"/>
    <w:rsid w:val="005635C8"/>
    <w:rsid w:val="0056364E"/>
    <w:rsid w:val="005649AC"/>
    <w:rsid w:val="00564F1D"/>
    <w:rsid w:val="0056704A"/>
    <w:rsid w:val="0057032C"/>
    <w:rsid w:val="00570643"/>
    <w:rsid w:val="0057122E"/>
    <w:rsid w:val="005720AE"/>
    <w:rsid w:val="005732D5"/>
    <w:rsid w:val="00573E94"/>
    <w:rsid w:val="00574651"/>
    <w:rsid w:val="005746A2"/>
    <w:rsid w:val="00574CDF"/>
    <w:rsid w:val="00574FE3"/>
    <w:rsid w:val="00576287"/>
    <w:rsid w:val="00576C4E"/>
    <w:rsid w:val="00576C6E"/>
    <w:rsid w:val="00577ACC"/>
    <w:rsid w:val="00577BF4"/>
    <w:rsid w:val="00577F5E"/>
    <w:rsid w:val="005832E5"/>
    <w:rsid w:val="005841E8"/>
    <w:rsid w:val="00585132"/>
    <w:rsid w:val="0058531F"/>
    <w:rsid w:val="005858DA"/>
    <w:rsid w:val="0058639F"/>
    <w:rsid w:val="00586405"/>
    <w:rsid w:val="00587B99"/>
    <w:rsid w:val="00587F01"/>
    <w:rsid w:val="00590512"/>
    <w:rsid w:val="005924AA"/>
    <w:rsid w:val="0059281A"/>
    <w:rsid w:val="00592EE2"/>
    <w:rsid w:val="0059448A"/>
    <w:rsid w:val="005947C8"/>
    <w:rsid w:val="00594D77"/>
    <w:rsid w:val="0059544A"/>
    <w:rsid w:val="00595617"/>
    <w:rsid w:val="00595962"/>
    <w:rsid w:val="005969E4"/>
    <w:rsid w:val="00597578"/>
    <w:rsid w:val="005A06B7"/>
    <w:rsid w:val="005A1276"/>
    <w:rsid w:val="005A14D1"/>
    <w:rsid w:val="005A1759"/>
    <w:rsid w:val="005A336D"/>
    <w:rsid w:val="005A43B6"/>
    <w:rsid w:val="005A44EA"/>
    <w:rsid w:val="005A4BDE"/>
    <w:rsid w:val="005A68A7"/>
    <w:rsid w:val="005A6F0D"/>
    <w:rsid w:val="005B14E3"/>
    <w:rsid w:val="005B24F5"/>
    <w:rsid w:val="005B2CF9"/>
    <w:rsid w:val="005B3283"/>
    <w:rsid w:val="005B3DF5"/>
    <w:rsid w:val="005B3E34"/>
    <w:rsid w:val="005B41B2"/>
    <w:rsid w:val="005B50E1"/>
    <w:rsid w:val="005B6004"/>
    <w:rsid w:val="005B7198"/>
    <w:rsid w:val="005B7234"/>
    <w:rsid w:val="005B7F8C"/>
    <w:rsid w:val="005C020E"/>
    <w:rsid w:val="005C042B"/>
    <w:rsid w:val="005C1B6C"/>
    <w:rsid w:val="005C249E"/>
    <w:rsid w:val="005C31D2"/>
    <w:rsid w:val="005C386F"/>
    <w:rsid w:val="005C7287"/>
    <w:rsid w:val="005D0227"/>
    <w:rsid w:val="005D179D"/>
    <w:rsid w:val="005D20AA"/>
    <w:rsid w:val="005D36AB"/>
    <w:rsid w:val="005D3CE0"/>
    <w:rsid w:val="005D555C"/>
    <w:rsid w:val="005E1A52"/>
    <w:rsid w:val="005E1CE7"/>
    <w:rsid w:val="005E3329"/>
    <w:rsid w:val="005E3596"/>
    <w:rsid w:val="005E41BA"/>
    <w:rsid w:val="005E465B"/>
    <w:rsid w:val="005E4ED7"/>
    <w:rsid w:val="005E6074"/>
    <w:rsid w:val="005F11F3"/>
    <w:rsid w:val="005F11F8"/>
    <w:rsid w:val="005F202E"/>
    <w:rsid w:val="005F2EDF"/>
    <w:rsid w:val="005F313D"/>
    <w:rsid w:val="005F58C6"/>
    <w:rsid w:val="005F5C02"/>
    <w:rsid w:val="005F650C"/>
    <w:rsid w:val="005F78CE"/>
    <w:rsid w:val="00600F41"/>
    <w:rsid w:val="00601B1A"/>
    <w:rsid w:val="00603278"/>
    <w:rsid w:val="00603C1A"/>
    <w:rsid w:val="00604287"/>
    <w:rsid w:val="006054AA"/>
    <w:rsid w:val="0060760E"/>
    <w:rsid w:val="00610219"/>
    <w:rsid w:val="00611419"/>
    <w:rsid w:val="00611A9E"/>
    <w:rsid w:val="0061434D"/>
    <w:rsid w:val="00614C1E"/>
    <w:rsid w:val="0061513D"/>
    <w:rsid w:val="00615EC7"/>
    <w:rsid w:val="00615FDA"/>
    <w:rsid w:val="00616C70"/>
    <w:rsid w:val="00617C9B"/>
    <w:rsid w:val="00617CC3"/>
    <w:rsid w:val="006212FB"/>
    <w:rsid w:val="0062158C"/>
    <w:rsid w:val="0062347A"/>
    <w:rsid w:val="00623CEA"/>
    <w:rsid w:val="00624215"/>
    <w:rsid w:val="006261C9"/>
    <w:rsid w:val="006267B4"/>
    <w:rsid w:val="00626A34"/>
    <w:rsid w:val="00626A54"/>
    <w:rsid w:val="00626DC5"/>
    <w:rsid w:val="00627F5E"/>
    <w:rsid w:val="00630068"/>
    <w:rsid w:val="006377A6"/>
    <w:rsid w:val="00637A3D"/>
    <w:rsid w:val="0064089A"/>
    <w:rsid w:val="006411EF"/>
    <w:rsid w:val="006429BF"/>
    <w:rsid w:val="00644A76"/>
    <w:rsid w:val="006457BB"/>
    <w:rsid w:val="00647139"/>
    <w:rsid w:val="006473DE"/>
    <w:rsid w:val="00647FB5"/>
    <w:rsid w:val="00650016"/>
    <w:rsid w:val="00650C7A"/>
    <w:rsid w:val="0065119B"/>
    <w:rsid w:val="00652640"/>
    <w:rsid w:val="006540F2"/>
    <w:rsid w:val="006542AA"/>
    <w:rsid w:val="00656239"/>
    <w:rsid w:val="006604F9"/>
    <w:rsid w:val="006626EC"/>
    <w:rsid w:val="0066335F"/>
    <w:rsid w:val="006655B9"/>
    <w:rsid w:val="006666A4"/>
    <w:rsid w:val="00667A2A"/>
    <w:rsid w:val="0067088F"/>
    <w:rsid w:val="00671B42"/>
    <w:rsid w:val="00672049"/>
    <w:rsid w:val="006748B8"/>
    <w:rsid w:val="00675277"/>
    <w:rsid w:val="00675CB5"/>
    <w:rsid w:val="00676C84"/>
    <w:rsid w:val="006775C3"/>
    <w:rsid w:val="006834F2"/>
    <w:rsid w:val="00683783"/>
    <w:rsid w:val="00683F2F"/>
    <w:rsid w:val="0069055C"/>
    <w:rsid w:val="0069278E"/>
    <w:rsid w:val="0069290A"/>
    <w:rsid w:val="0069640B"/>
    <w:rsid w:val="0069708A"/>
    <w:rsid w:val="0069775A"/>
    <w:rsid w:val="00697813"/>
    <w:rsid w:val="006A180D"/>
    <w:rsid w:val="006A2D60"/>
    <w:rsid w:val="006A35C9"/>
    <w:rsid w:val="006A3DB0"/>
    <w:rsid w:val="006A3EE8"/>
    <w:rsid w:val="006A4CD7"/>
    <w:rsid w:val="006A56C6"/>
    <w:rsid w:val="006A72BF"/>
    <w:rsid w:val="006B03F2"/>
    <w:rsid w:val="006B041E"/>
    <w:rsid w:val="006B0ACB"/>
    <w:rsid w:val="006B22C3"/>
    <w:rsid w:val="006B32E3"/>
    <w:rsid w:val="006B37DC"/>
    <w:rsid w:val="006B3A95"/>
    <w:rsid w:val="006B4F68"/>
    <w:rsid w:val="006B79FC"/>
    <w:rsid w:val="006C0592"/>
    <w:rsid w:val="006C0A2D"/>
    <w:rsid w:val="006C0D57"/>
    <w:rsid w:val="006C1EBA"/>
    <w:rsid w:val="006C23B7"/>
    <w:rsid w:val="006C272E"/>
    <w:rsid w:val="006C40F4"/>
    <w:rsid w:val="006C4421"/>
    <w:rsid w:val="006C5479"/>
    <w:rsid w:val="006C5CFC"/>
    <w:rsid w:val="006D12DA"/>
    <w:rsid w:val="006D13B5"/>
    <w:rsid w:val="006D17F0"/>
    <w:rsid w:val="006D336E"/>
    <w:rsid w:val="006D4646"/>
    <w:rsid w:val="006D582A"/>
    <w:rsid w:val="006D699E"/>
    <w:rsid w:val="006D6A2F"/>
    <w:rsid w:val="006D6AAB"/>
    <w:rsid w:val="006E0968"/>
    <w:rsid w:val="006E0F4A"/>
    <w:rsid w:val="006E12FF"/>
    <w:rsid w:val="006E2485"/>
    <w:rsid w:val="006E3627"/>
    <w:rsid w:val="006E3E74"/>
    <w:rsid w:val="006E607E"/>
    <w:rsid w:val="006F047F"/>
    <w:rsid w:val="006F1534"/>
    <w:rsid w:val="006F1AE0"/>
    <w:rsid w:val="006F306D"/>
    <w:rsid w:val="006F3AE8"/>
    <w:rsid w:val="006F415F"/>
    <w:rsid w:val="006F5131"/>
    <w:rsid w:val="006F58D2"/>
    <w:rsid w:val="006F6B7A"/>
    <w:rsid w:val="006F71B0"/>
    <w:rsid w:val="007002F0"/>
    <w:rsid w:val="00700ABB"/>
    <w:rsid w:val="00702490"/>
    <w:rsid w:val="00704EBF"/>
    <w:rsid w:val="00705408"/>
    <w:rsid w:val="00705730"/>
    <w:rsid w:val="00705FB3"/>
    <w:rsid w:val="00706C5D"/>
    <w:rsid w:val="00710EA9"/>
    <w:rsid w:val="00712C73"/>
    <w:rsid w:val="00712CED"/>
    <w:rsid w:val="0071474D"/>
    <w:rsid w:val="0071542A"/>
    <w:rsid w:val="00715BEB"/>
    <w:rsid w:val="007169BD"/>
    <w:rsid w:val="00717201"/>
    <w:rsid w:val="00721277"/>
    <w:rsid w:val="00721806"/>
    <w:rsid w:val="00722D10"/>
    <w:rsid w:val="00723EF7"/>
    <w:rsid w:val="0072506B"/>
    <w:rsid w:val="0072568E"/>
    <w:rsid w:val="00725B2C"/>
    <w:rsid w:val="00725B7C"/>
    <w:rsid w:val="00727CB5"/>
    <w:rsid w:val="00731424"/>
    <w:rsid w:val="00731EC9"/>
    <w:rsid w:val="00732922"/>
    <w:rsid w:val="007343FC"/>
    <w:rsid w:val="00736108"/>
    <w:rsid w:val="0074131C"/>
    <w:rsid w:val="0074246D"/>
    <w:rsid w:val="00743275"/>
    <w:rsid w:val="0075146D"/>
    <w:rsid w:val="0075162E"/>
    <w:rsid w:val="007519CD"/>
    <w:rsid w:val="00752E20"/>
    <w:rsid w:val="00754034"/>
    <w:rsid w:val="0075474D"/>
    <w:rsid w:val="00756556"/>
    <w:rsid w:val="007572EA"/>
    <w:rsid w:val="00757824"/>
    <w:rsid w:val="00760F02"/>
    <w:rsid w:val="007618C4"/>
    <w:rsid w:val="00761A2A"/>
    <w:rsid w:val="00761A50"/>
    <w:rsid w:val="00762520"/>
    <w:rsid w:val="00767980"/>
    <w:rsid w:val="007700CA"/>
    <w:rsid w:val="00770B19"/>
    <w:rsid w:val="007727B1"/>
    <w:rsid w:val="007734D0"/>
    <w:rsid w:val="0077463F"/>
    <w:rsid w:val="00775967"/>
    <w:rsid w:val="00781A67"/>
    <w:rsid w:val="00782574"/>
    <w:rsid w:val="00782D00"/>
    <w:rsid w:val="00783216"/>
    <w:rsid w:val="007836EA"/>
    <w:rsid w:val="007842D8"/>
    <w:rsid w:val="00784CDA"/>
    <w:rsid w:val="00785A94"/>
    <w:rsid w:val="007863B3"/>
    <w:rsid w:val="007906C4"/>
    <w:rsid w:val="007940EA"/>
    <w:rsid w:val="007947EB"/>
    <w:rsid w:val="007967E8"/>
    <w:rsid w:val="00796FD5"/>
    <w:rsid w:val="007972A9"/>
    <w:rsid w:val="00797D20"/>
    <w:rsid w:val="00797E88"/>
    <w:rsid w:val="007A147E"/>
    <w:rsid w:val="007A1F39"/>
    <w:rsid w:val="007A2170"/>
    <w:rsid w:val="007A22BF"/>
    <w:rsid w:val="007A3323"/>
    <w:rsid w:val="007A6009"/>
    <w:rsid w:val="007A6448"/>
    <w:rsid w:val="007B087A"/>
    <w:rsid w:val="007B26B5"/>
    <w:rsid w:val="007B26CB"/>
    <w:rsid w:val="007B2CF0"/>
    <w:rsid w:val="007B449A"/>
    <w:rsid w:val="007B72B8"/>
    <w:rsid w:val="007B77CE"/>
    <w:rsid w:val="007B7A58"/>
    <w:rsid w:val="007B7A7B"/>
    <w:rsid w:val="007C1559"/>
    <w:rsid w:val="007C21B5"/>
    <w:rsid w:val="007C5C87"/>
    <w:rsid w:val="007C6178"/>
    <w:rsid w:val="007C7D75"/>
    <w:rsid w:val="007D090E"/>
    <w:rsid w:val="007D09E7"/>
    <w:rsid w:val="007D2ECF"/>
    <w:rsid w:val="007D4FAA"/>
    <w:rsid w:val="007D58A3"/>
    <w:rsid w:val="007D7E7E"/>
    <w:rsid w:val="007D7EB2"/>
    <w:rsid w:val="007E0165"/>
    <w:rsid w:val="007E1E11"/>
    <w:rsid w:val="007E36DF"/>
    <w:rsid w:val="007E4BD2"/>
    <w:rsid w:val="007E4C51"/>
    <w:rsid w:val="007E4D3C"/>
    <w:rsid w:val="007E4FBD"/>
    <w:rsid w:val="007F0B79"/>
    <w:rsid w:val="007F127D"/>
    <w:rsid w:val="007F358E"/>
    <w:rsid w:val="007F5B05"/>
    <w:rsid w:val="007F5B8B"/>
    <w:rsid w:val="007F6616"/>
    <w:rsid w:val="007F6DA8"/>
    <w:rsid w:val="007F7FF2"/>
    <w:rsid w:val="00800F17"/>
    <w:rsid w:val="00801393"/>
    <w:rsid w:val="00801B32"/>
    <w:rsid w:val="00802F88"/>
    <w:rsid w:val="0080544F"/>
    <w:rsid w:val="00806CB4"/>
    <w:rsid w:val="00810148"/>
    <w:rsid w:val="00811BD9"/>
    <w:rsid w:val="008128BD"/>
    <w:rsid w:val="0081293E"/>
    <w:rsid w:val="00812949"/>
    <w:rsid w:val="00813141"/>
    <w:rsid w:val="0081367E"/>
    <w:rsid w:val="00813D4C"/>
    <w:rsid w:val="00815465"/>
    <w:rsid w:val="00816697"/>
    <w:rsid w:val="00816CF2"/>
    <w:rsid w:val="00817E9A"/>
    <w:rsid w:val="0082009D"/>
    <w:rsid w:val="00820192"/>
    <w:rsid w:val="00820CC9"/>
    <w:rsid w:val="008231AA"/>
    <w:rsid w:val="00823BCD"/>
    <w:rsid w:val="00824001"/>
    <w:rsid w:val="0082597E"/>
    <w:rsid w:val="00825B79"/>
    <w:rsid w:val="0082648F"/>
    <w:rsid w:val="00826E35"/>
    <w:rsid w:val="008306BD"/>
    <w:rsid w:val="00831A80"/>
    <w:rsid w:val="008327DB"/>
    <w:rsid w:val="0083332B"/>
    <w:rsid w:val="00833743"/>
    <w:rsid w:val="008340A4"/>
    <w:rsid w:val="008342AD"/>
    <w:rsid w:val="008349F1"/>
    <w:rsid w:val="00835ACF"/>
    <w:rsid w:val="0083650D"/>
    <w:rsid w:val="00836B05"/>
    <w:rsid w:val="0083772F"/>
    <w:rsid w:val="00837C7B"/>
    <w:rsid w:val="00840474"/>
    <w:rsid w:val="00840E3C"/>
    <w:rsid w:val="00841303"/>
    <w:rsid w:val="00843B22"/>
    <w:rsid w:val="0084740C"/>
    <w:rsid w:val="00851A95"/>
    <w:rsid w:val="00852A9D"/>
    <w:rsid w:val="00854E7E"/>
    <w:rsid w:val="00856844"/>
    <w:rsid w:val="008575F7"/>
    <w:rsid w:val="00857C1D"/>
    <w:rsid w:val="0086022F"/>
    <w:rsid w:val="008616BF"/>
    <w:rsid w:val="008619ED"/>
    <w:rsid w:val="00866B93"/>
    <w:rsid w:val="0087033C"/>
    <w:rsid w:val="0087103B"/>
    <w:rsid w:val="0087135F"/>
    <w:rsid w:val="008727D5"/>
    <w:rsid w:val="00872D94"/>
    <w:rsid w:val="00873813"/>
    <w:rsid w:val="00875814"/>
    <w:rsid w:val="00875987"/>
    <w:rsid w:val="0087787D"/>
    <w:rsid w:val="00880364"/>
    <w:rsid w:val="008809EC"/>
    <w:rsid w:val="008826BD"/>
    <w:rsid w:val="00887042"/>
    <w:rsid w:val="00887D18"/>
    <w:rsid w:val="00891592"/>
    <w:rsid w:val="00891B00"/>
    <w:rsid w:val="00891E9E"/>
    <w:rsid w:val="00892CAA"/>
    <w:rsid w:val="0089338A"/>
    <w:rsid w:val="008952BF"/>
    <w:rsid w:val="008A029D"/>
    <w:rsid w:val="008A0719"/>
    <w:rsid w:val="008A260D"/>
    <w:rsid w:val="008A2F68"/>
    <w:rsid w:val="008A42D4"/>
    <w:rsid w:val="008A48E3"/>
    <w:rsid w:val="008A5E44"/>
    <w:rsid w:val="008B0A7F"/>
    <w:rsid w:val="008B12FF"/>
    <w:rsid w:val="008B1B09"/>
    <w:rsid w:val="008B3533"/>
    <w:rsid w:val="008B4FA6"/>
    <w:rsid w:val="008B5282"/>
    <w:rsid w:val="008B7C17"/>
    <w:rsid w:val="008C21EF"/>
    <w:rsid w:val="008C2284"/>
    <w:rsid w:val="008C2D01"/>
    <w:rsid w:val="008C31C6"/>
    <w:rsid w:val="008C35B8"/>
    <w:rsid w:val="008C40E6"/>
    <w:rsid w:val="008C60C4"/>
    <w:rsid w:val="008C6410"/>
    <w:rsid w:val="008D05A5"/>
    <w:rsid w:val="008D0F7A"/>
    <w:rsid w:val="008D4CC1"/>
    <w:rsid w:val="008D68E4"/>
    <w:rsid w:val="008D702F"/>
    <w:rsid w:val="008E007C"/>
    <w:rsid w:val="008E0506"/>
    <w:rsid w:val="008E0CFF"/>
    <w:rsid w:val="008E0F49"/>
    <w:rsid w:val="008E5653"/>
    <w:rsid w:val="008E5D6B"/>
    <w:rsid w:val="008E76F0"/>
    <w:rsid w:val="008E7742"/>
    <w:rsid w:val="008F10D5"/>
    <w:rsid w:val="008F15FE"/>
    <w:rsid w:val="008F19A2"/>
    <w:rsid w:val="008F2D29"/>
    <w:rsid w:val="008F41E2"/>
    <w:rsid w:val="008F47CE"/>
    <w:rsid w:val="008F4B42"/>
    <w:rsid w:val="008F4EE1"/>
    <w:rsid w:val="008F5187"/>
    <w:rsid w:val="008F60D8"/>
    <w:rsid w:val="008F7FA8"/>
    <w:rsid w:val="0090155F"/>
    <w:rsid w:val="00902727"/>
    <w:rsid w:val="0090312B"/>
    <w:rsid w:val="009114A2"/>
    <w:rsid w:val="0091156A"/>
    <w:rsid w:val="00912CEB"/>
    <w:rsid w:val="009133D4"/>
    <w:rsid w:val="00913A80"/>
    <w:rsid w:val="00913DC0"/>
    <w:rsid w:val="009156C1"/>
    <w:rsid w:val="00916BF5"/>
    <w:rsid w:val="00916EB5"/>
    <w:rsid w:val="0091736D"/>
    <w:rsid w:val="00920E0C"/>
    <w:rsid w:val="009218C1"/>
    <w:rsid w:val="009222B3"/>
    <w:rsid w:val="009237FB"/>
    <w:rsid w:val="00923E8E"/>
    <w:rsid w:val="009241F3"/>
    <w:rsid w:val="00926A9E"/>
    <w:rsid w:val="00927266"/>
    <w:rsid w:val="0093037A"/>
    <w:rsid w:val="009309E9"/>
    <w:rsid w:val="00931660"/>
    <w:rsid w:val="00934180"/>
    <w:rsid w:val="009345A7"/>
    <w:rsid w:val="00935CE3"/>
    <w:rsid w:val="00936CA4"/>
    <w:rsid w:val="0094154D"/>
    <w:rsid w:val="009425F5"/>
    <w:rsid w:val="00950BC8"/>
    <w:rsid w:val="0095155F"/>
    <w:rsid w:val="00953CAC"/>
    <w:rsid w:val="00954429"/>
    <w:rsid w:val="00954F75"/>
    <w:rsid w:val="009563CE"/>
    <w:rsid w:val="00956857"/>
    <w:rsid w:val="00957B4C"/>
    <w:rsid w:val="00957D3B"/>
    <w:rsid w:val="00961830"/>
    <w:rsid w:val="0096328B"/>
    <w:rsid w:val="00965AAC"/>
    <w:rsid w:val="00966C34"/>
    <w:rsid w:val="00967DB0"/>
    <w:rsid w:val="00970166"/>
    <w:rsid w:val="0097036D"/>
    <w:rsid w:val="009727D5"/>
    <w:rsid w:val="00973681"/>
    <w:rsid w:val="009737A2"/>
    <w:rsid w:val="009741B2"/>
    <w:rsid w:val="0097553B"/>
    <w:rsid w:val="00976328"/>
    <w:rsid w:val="009765B4"/>
    <w:rsid w:val="0097680D"/>
    <w:rsid w:val="00976908"/>
    <w:rsid w:val="00980237"/>
    <w:rsid w:val="0098070D"/>
    <w:rsid w:val="009821A0"/>
    <w:rsid w:val="00982334"/>
    <w:rsid w:val="00982438"/>
    <w:rsid w:val="00982D6E"/>
    <w:rsid w:val="00983A3A"/>
    <w:rsid w:val="00983EB6"/>
    <w:rsid w:val="0098404C"/>
    <w:rsid w:val="00985283"/>
    <w:rsid w:val="00985E3E"/>
    <w:rsid w:val="00986480"/>
    <w:rsid w:val="00986D32"/>
    <w:rsid w:val="00990772"/>
    <w:rsid w:val="00990F3D"/>
    <w:rsid w:val="00991A5A"/>
    <w:rsid w:val="009921AF"/>
    <w:rsid w:val="009928E1"/>
    <w:rsid w:val="00993096"/>
    <w:rsid w:val="00994C22"/>
    <w:rsid w:val="009955ED"/>
    <w:rsid w:val="00995992"/>
    <w:rsid w:val="00995F07"/>
    <w:rsid w:val="00996B40"/>
    <w:rsid w:val="00997118"/>
    <w:rsid w:val="009977F6"/>
    <w:rsid w:val="00997A3C"/>
    <w:rsid w:val="009A0344"/>
    <w:rsid w:val="009A03E5"/>
    <w:rsid w:val="009A0F3B"/>
    <w:rsid w:val="009A149F"/>
    <w:rsid w:val="009A1BB4"/>
    <w:rsid w:val="009A2496"/>
    <w:rsid w:val="009A2628"/>
    <w:rsid w:val="009A3200"/>
    <w:rsid w:val="009A4091"/>
    <w:rsid w:val="009A48F1"/>
    <w:rsid w:val="009A4A0E"/>
    <w:rsid w:val="009B0897"/>
    <w:rsid w:val="009B135F"/>
    <w:rsid w:val="009B19E5"/>
    <w:rsid w:val="009B257F"/>
    <w:rsid w:val="009B2BDD"/>
    <w:rsid w:val="009B35E4"/>
    <w:rsid w:val="009B3A96"/>
    <w:rsid w:val="009B408E"/>
    <w:rsid w:val="009B51F9"/>
    <w:rsid w:val="009B65A8"/>
    <w:rsid w:val="009B69B0"/>
    <w:rsid w:val="009B7BD9"/>
    <w:rsid w:val="009C06C8"/>
    <w:rsid w:val="009C1C5A"/>
    <w:rsid w:val="009C2DC2"/>
    <w:rsid w:val="009C433A"/>
    <w:rsid w:val="009C4728"/>
    <w:rsid w:val="009C567E"/>
    <w:rsid w:val="009C5EDE"/>
    <w:rsid w:val="009C63C2"/>
    <w:rsid w:val="009C6F8E"/>
    <w:rsid w:val="009C7337"/>
    <w:rsid w:val="009C7DD5"/>
    <w:rsid w:val="009D0F0A"/>
    <w:rsid w:val="009D0F1A"/>
    <w:rsid w:val="009D2BEF"/>
    <w:rsid w:val="009D42F8"/>
    <w:rsid w:val="009D66C7"/>
    <w:rsid w:val="009D6E2B"/>
    <w:rsid w:val="009D77F4"/>
    <w:rsid w:val="009E227D"/>
    <w:rsid w:val="009E2917"/>
    <w:rsid w:val="009E31ED"/>
    <w:rsid w:val="009E37CE"/>
    <w:rsid w:val="009E4ECF"/>
    <w:rsid w:val="009E5019"/>
    <w:rsid w:val="009E6FAC"/>
    <w:rsid w:val="009F0A89"/>
    <w:rsid w:val="009F1510"/>
    <w:rsid w:val="009F2606"/>
    <w:rsid w:val="009F36E5"/>
    <w:rsid w:val="009F3BDC"/>
    <w:rsid w:val="009F5940"/>
    <w:rsid w:val="009F6064"/>
    <w:rsid w:val="00A00EED"/>
    <w:rsid w:val="00A01C80"/>
    <w:rsid w:val="00A033CE"/>
    <w:rsid w:val="00A04F1B"/>
    <w:rsid w:val="00A0501B"/>
    <w:rsid w:val="00A06B21"/>
    <w:rsid w:val="00A073F0"/>
    <w:rsid w:val="00A10756"/>
    <w:rsid w:val="00A146A6"/>
    <w:rsid w:val="00A14947"/>
    <w:rsid w:val="00A14BC7"/>
    <w:rsid w:val="00A150B0"/>
    <w:rsid w:val="00A166EC"/>
    <w:rsid w:val="00A1691B"/>
    <w:rsid w:val="00A22FDF"/>
    <w:rsid w:val="00A240E2"/>
    <w:rsid w:val="00A240F7"/>
    <w:rsid w:val="00A242D7"/>
    <w:rsid w:val="00A24D05"/>
    <w:rsid w:val="00A2714A"/>
    <w:rsid w:val="00A32A83"/>
    <w:rsid w:val="00A368DB"/>
    <w:rsid w:val="00A37954"/>
    <w:rsid w:val="00A407EB"/>
    <w:rsid w:val="00A40DCD"/>
    <w:rsid w:val="00A423AA"/>
    <w:rsid w:val="00A423EC"/>
    <w:rsid w:val="00A44AA1"/>
    <w:rsid w:val="00A44BAF"/>
    <w:rsid w:val="00A514F4"/>
    <w:rsid w:val="00A53547"/>
    <w:rsid w:val="00A53EC6"/>
    <w:rsid w:val="00A546F7"/>
    <w:rsid w:val="00A55B64"/>
    <w:rsid w:val="00A55C0F"/>
    <w:rsid w:val="00A6267D"/>
    <w:rsid w:val="00A6469B"/>
    <w:rsid w:val="00A646F7"/>
    <w:rsid w:val="00A65B63"/>
    <w:rsid w:val="00A6725A"/>
    <w:rsid w:val="00A672B3"/>
    <w:rsid w:val="00A72480"/>
    <w:rsid w:val="00A72DBB"/>
    <w:rsid w:val="00A75710"/>
    <w:rsid w:val="00A75949"/>
    <w:rsid w:val="00A75A6F"/>
    <w:rsid w:val="00A80610"/>
    <w:rsid w:val="00A80D9F"/>
    <w:rsid w:val="00A82B04"/>
    <w:rsid w:val="00A839D3"/>
    <w:rsid w:val="00A84D4F"/>
    <w:rsid w:val="00A85700"/>
    <w:rsid w:val="00A85FD4"/>
    <w:rsid w:val="00A8713F"/>
    <w:rsid w:val="00A9009A"/>
    <w:rsid w:val="00A90BA1"/>
    <w:rsid w:val="00A931E8"/>
    <w:rsid w:val="00A93D3D"/>
    <w:rsid w:val="00A94904"/>
    <w:rsid w:val="00A97A9A"/>
    <w:rsid w:val="00AA0671"/>
    <w:rsid w:val="00AA1DAE"/>
    <w:rsid w:val="00AA2531"/>
    <w:rsid w:val="00AA2C45"/>
    <w:rsid w:val="00AA42D4"/>
    <w:rsid w:val="00AB00E1"/>
    <w:rsid w:val="00AB0C9D"/>
    <w:rsid w:val="00AB1E09"/>
    <w:rsid w:val="00AB236A"/>
    <w:rsid w:val="00AB4C15"/>
    <w:rsid w:val="00AB518D"/>
    <w:rsid w:val="00AB5330"/>
    <w:rsid w:val="00AB5B18"/>
    <w:rsid w:val="00AB7747"/>
    <w:rsid w:val="00AB7F5F"/>
    <w:rsid w:val="00AC13E1"/>
    <w:rsid w:val="00AC14CE"/>
    <w:rsid w:val="00AC186D"/>
    <w:rsid w:val="00AC2A56"/>
    <w:rsid w:val="00AC33BE"/>
    <w:rsid w:val="00AC33E3"/>
    <w:rsid w:val="00AC4C21"/>
    <w:rsid w:val="00AC76FD"/>
    <w:rsid w:val="00AD055E"/>
    <w:rsid w:val="00AD1B66"/>
    <w:rsid w:val="00AD1CCF"/>
    <w:rsid w:val="00AD2E24"/>
    <w:rsid w:val="00AD3327"/>
    <w:rsid w:val="00AD47A7"/>
    <w:rsid w:val="00AD5473"/>
    <w:rsid w:val="00AD5ED0"/>
    <w:rsid w:val="00AD6A62"/>
    <w:rsid w:val="00AE0CCA"/>
    <w:rsid w:val="00AE0D71"/>
    <w:rsid w:val="00AE31EC"/>
    <w:rsid w:val="00AE5361"/>
    <w:rsid w:val="00AE7202"/>
    <w:rsid w:val="00AF0CBF"/>
    <w:rsid w:val="00AF257F"/>
    <w:rsid w:val="00AF318A"/>
    <w:rsid w:val="00AF321B"/>
    <w:rsid w:val="00AF33CF"/>
    <w:rsid w:val="00AF36BF"/>
    <w:rsid w:val="00AF36F0"/>
    <w:rsid w:val="00AF44EF"/>
    <w:rsid w:val="00AF454D"/>
    <w:rsid w:val="00AF4D50"/>
    <w:rsid w:val="00AF59E0"/>
    <w:rsid w:val="00AF6179"/>
    <w:rsid w:val="00AF7F21"/>
    <w:rsid w:val="00B009F6"/>
    <w:rsid w:val="00B02616"/>
    <w:rsid w:val="00B07535"/>
    <w:rsid w:val="00B07B70"/>
    <w:rsid w:val="00B07E79"/>
    <w:rsid w:val="00B110B7"/>
    <w:rsid w:val="00B112AF"/>
    <w:rsid w:val="00B12009"/>
    <w:rsid w:val="00B1295A"/>
    <w:rsid w:val="00B13AF2"/>
    <w:rsid w:val="00B15587"/>
    <w:rsid w:val="00B15A4D"/>
    <w:rsid w:val="00B16A6C"/>
    <w:rsid w:val="00B20A45"/>
    <w:rsid w:val="00B20EDE"/>
    <w:rsid w:val="00B21F17"/>
    <w:rsid w:val="00B224C3"/>
    <w:rsid w:val="00B22C5C"/>
    <w:rsid w:val="00B22C89"/>
    <w:rsid w:val="00B24D4C"/>
    <w:rsid w:val="00B24E57"/>
    <w:rsid w:val="00B24F30"/>
    <w:rsid w:val="00B25730"/>
    <w:rsid w:val="00B31ABF"/>
    <w:rsid w:val="00B322F9"/>
    <w:rsid w:val="00B323CD"/>
    <w:rsid w:val="00B32950"/>
    <w:rsid w:val="00B33312"/>
    <w:rsid w:val="00B33BE3"/>
    <w:rsid w:val="00B34220"/>
    <w:rsid w:val="00B35E1E"/>
    <w:rsid w:val="00B4061C"/>
    <w:rsid w:val="00B41930"/>
    <w:rsid w:val="00B42AF6"/>
    <w:rsid w:val="00B4467E"/>
    <w:rsid w:val="00B460D1"/>
    <w:rsid w:val="00B5252F"/>
    <w:rsid w:val="00B5336A"/>
    <w:rsid w:val="00B53B5D"/>
    <w:rsid w:val="00B5442B"/>
    <w:rsid w:val="00B55389"/>
    <w:rsid w:val="00B55A24"/>
    <w:rsid w:val="00B55DA2"/>
    <w:rsid w:val="00B56041"/>
    <w:rsid w:val="00B56CFE"/>
    <w:rsid w:val="00B6055E"/>
    <w:rsid w:val="00B61BF1"/>
    <w:rsid w:val="00B630E9"/>
    <w:rsid w:val="00B6317D"/>
    <w:rsid w:val="00B65A52"/>
    <w:rsid w:val="00B65BC3"/>
    <w:rsid w:val="00B65C85"/>
    <w:rsid w:val="00B67D86"/>
    <w:rsid w:val="00B73500"/>
    <w:rsid w:val="00B7723F"/>
    <w:rsid w:val="00B80534"/>
    <w:rsid w:val="00B805A4"/>
    <w:rsid w:val="00B8107F"/>
    <w:rsid w:val="00B8433C"/>
    <w:rsid w:val="00B85004"/>
    <w:rsid w:val="00B8520D"/>
    <w:rsid w:val="00B85598"/>
    <w:rsid w:val="00B87491"/>
    <w:rsid w:val="00B87CAD"/>
    <w:rsid w:val="00B91606"/>
    <w:rsid w:val="00B93804"/>
    <w:rsid w:val="00B940E6"/>
    <w:rsid w:val="00B945CE"/>
    <w:rsid w:val="00B97AF2"/>
    <w:rsid w:val="00BA29E9"/>
    <w:rsid w:val="00BA3686"/>
    <w:rsid w:val="00BA40E3"/>
    <w:rsid w:val="00BA5225"/>
    <w:rsid w:val="00BA52C2"/>
    <w:rsid w:val="00BA6214"/>
    <w:rsid w:val="00BA7142"/>
    <w:rsid w:val="00BB117B"/>
    <w:rsid w:val="00BB237C"/>
    <w:rsid w:val="00BB2FCB"/>
    <w:rsid w:val="00BB41A3"/>
    <w:rsid w:val="00BC206F"/>
    <w:rsid w:val="00BC325B"/>
    <w:rsid w:val="00BC32DC"/>
    <w:rsid w:val="00BC35B6"/>
    <w:rsid w:val="00BC6257"/>
    <w:rsid w:val="00BC69D5"/>
    <w:rsid w:val="00BC757A"/>
    <w:rsid w:val="00BD1B51"/>
    <w:rsid w:val="00BD22DB"/>
    <w:rsid w:val="00BD2B90"/>
    <w:rsid w:val="00BD4596"/>
    <w:rsid w:val="00BD47D2"/>
    <w:rsid w:val="00BD5DC3"/>
    <w:rsid w:val="00BE026E"/>
    <w:rsid w:val="00BE0A42"/>
    <w:rsid w:val="00BE1206"/>
    <w:rsid w:val="00BE1405"/>
    <w:rsid w:val="00BE1ADA"/>
    <w:rsid w:val="00BE1FB7"/>
    <w:rsid w:val="00BE312D"/>
    <w:rsid w:val="00BE74C3"/>
    <w:rsid w:val="00BF1C20"/>
    <w:rsid w:val="00BF20AE"/>
    <w:rsid w:val="00BF27D8"/>
    <w:rsid w:val="00BF325C"/>
    <w:rsid w:val="00BF3640"/>
    <w:rsid w:val="00BF3931"/>
    <w:rsid w:val="00BF3EDE"/>
    <w:rsid w:val="00C006CD"/>
    <w:rsid w:val="00C01355"/>
    <w:rsid w:val="00C02429"/>
    <w:rsid w:val="00C03308"/>
    <w:rsid w:val="00C0479F"/>
    <w:rsid w:val="00C06E52"/>
    <w:rsid w:val="00C07529"/>
    <w:rsid w:val="00C07ABA"/>
    <w:rsid w:val="00C10578"/>
    <w:rsid w:val="00C109F8"/>
    <w:rsid w:val="00C10F9B"/>
    <w:rsid w:val="00C12CFB"/>
    <w:rsid w:val="00C131A5"/>
    <w:rsid w:val="00C131F3"/>
    <w:rsid w:val="00C135BC"/>
    <w:rsid w:val="00C14394"/>
    <w:rsid w:val="00C14445"/>
    <w:rsid w:val="00C1596D"/>
    <w:rsid w:val="00C15C95"/>
    <w:rsid w:val="00C17A44"/>
    <w:rsid w:val="00C17D5A"/>
    <w:rsid w:val="00C20355"/>
    <w:rsid w:val="00C20E6B"/>
    <w:rsid w:val="00C20FB7"/>
    <w:rsid w:val="00C22161"/>
    <w:rsid w:val="00C2539B"/>
    <w:rsid w:val="00C2596A"/>
    <w:rsid w:val="00C25F1A"/>
    <w:rsid w:val="00C27537"/>
    <w:rsid w:val="00C308B5"/>
    <w:rsid w:val="00C30D67"/>
    <w:rsid w:val="00C320CB"/>
    <w:rsid w:val="00C32884"/>
    <w:rsid w:val="00C328FE"/>
    <w:rsid w:val="00C332CD"/>
    <w:rsid w:val="00C334D8"/>
    <w:rsid w:val="00C33507"/>
    <w:rsid w:val="00C33C9E"/>
    <w:rsid w:val="00C3665B"/>
    <w:rsid w:val="00C36DB7"/>
    <w:rsid w:val="00C36E0E"/>
    <w:rsid w:val="00C40BC2"/>
    <w:rsid w:val="00C41608"/>
    <w:rsid w:val="00C423E9"/>
    <w:rsid w:val="00C43BDC"/>
    <w:rsid w:val="00C4409D"/>
    <w:rsid w:val="00C44CFF"/>
    <w:rsid w:val="00C44E72"/>
    <w:rsid w:val="00C45202"/>
    <w:rsid w:val="00C45636"/>
    <w:rsid w:val="00C45A06"/>
    <w:rsid w:val="00C46A97"/>
    <w:rsid w:val="00C46B2F"/>
    <w:rsid w:val="00C47E5B"/>
    <w:rsid w:val="00C51660"/>
    <w:rsid w:val="00C5235F"/>
    <w:rsid w:val="00C52BB0"/>
    <w:rsid w:val="00C5350F"/>
    <w:rsid w:val="00C57028"/>
    <w:rsid w:val="00C61B3E"/>
    <w:rsid w:val="00C61E4B"/>
    <w:rsid w:val="00C623C8"/>
    <w:rsid w:val="00C62553"/>
    <w:rsid w:val="00C6299B"/>
    <w:rsid w:val="00C64829"/>
    <w:rsid w:val="00C64BFF"/>
    <w:rsid w:val="00C679FC"/>
    <w:rsid w:val="00C704E9"/>
    <w:rsid w:val="00C7332F"/>
    <w:rsid w:val="00C75215"/>
    <w:rsid w:val="00C75D79"/>
    <w:rsid w:val="00C763C9"/>
    <w:rsid w:val="00C775B4"/>
    <w:rsid w:val="00C80057"/>
    <w:rsid w:val="00C813CC"/>
    <w:rsid w:val="00C82232"/>
    <w:rsid w:val="00C82913"/>
    <w:rsid w:val="00C86572"/>
    <w:rsid w:val="00C929E6"/>
    <w:rsid w:val="00C93ECE"/>
    <w:rsid w:val="00C94600"/>
    <w:rsid w:val="00C957FE"/>
    <w:rsid w:val="00C97163"/>
    <w:rsid w:val="00C972B1"/>
    <w:rsid w:val="00CA2CCE"/>
    <w:rsid w:val="00CA43FD"/>
    <w:rsid w:val="00CA479B"/>
    <w:rsid w:val="00CA5B68"/>
    <w:rsid w:val="00CA7BD6"/>
    <w:rsid w:val="00CA7E7C"/>
    <w:rsid w:val="00CA7EF8"/>
    <w:rsid w:val="00CB0EF8"/>
    <w:rsid w:val="00CB191D"/>
    <w:rsid w:val="00CB40E5"/>
    <w:rsid w:val="00CB4841"/>
    <w:rsid w:val="00CB59FF"/>
    <w:rsid w:val="00CB5E13"/>
    <w:rsid w:val="00CB6110"/>
    <w:rsid w:val="00CC1645"/>
    <w:rsid w:val="00CC45D5"/>
    <w:rsid w:val="00CC489B"/>
    <w:rsid w:val="00CC5F40"/>
    <w:rsid w:val="00CC61E7"/>
    <w:rsid w:val="00CC7AA5"/>
    <w:rsid w:val="00CC7DB8"/>
    <w:rsid w:val="00CD0DFC"/>
    <w:rsid w:val="00CD1692"/>
    <w:rsid w:val="00CD2631"/>
    <w:rsid w:val="00CD2BCD"/>
    <w:rsid w:val="00CD322F"/>
    <w:rsid w:val="00CD3A4C"/>
    <w:rsid w:val="00CD4293"/>
    <w:rsid w:val="00CD59BE"/>
    <w:rsid w:val="00CD5AFA"/>
    <w:rsid w:val="00CE10E9"/>
    <w:rsid w:val="00CE15E3"/>
    <w:rsid w:val="00CE2518"/>
    <w:rsid w:val="00CE2910"/>
    <w:rsid w:val="00CE5393"/>
    <w:rsid w:val="00CE7011"/>
    <w:rsid w:val="00CE75D5"/>
    <w:rsid w:val="00CE7632"/>
    <w:rsid w:val="00CE7E95"/>
    <w:rsid w:val="00CF04B3"/>
    <w:rsid w:val="00CF120A"/>
    <w:rsid w:val="00CF13E4"/>
    <w:rsid w:val="00CF2803"/>
    <w:rsid w:val="00CF35D9"/>
    <w:rsid w:val="00CF36BE"/>
    <w:rsid w:val="00CF467F"/>
    <w:rsid w:val="00CF6000"/>
    <w:rsid w:val="00D003F3"/>
    <w:rsid w:val="00D01159"/>
    <w:rsid w:val="00D02221"/>
    <w:rsid w:val="00D03370"/>
    <w:rsid w:val="00D0364F"/>
    <w:rsid w:val="00D036C6"/>
    <w:rsid w:val="00D04AC7"/>
    <w:rsid w:val="00D05A56"/>
    <w:rsid w:val="00D060F3"/>
    <w:rsid w:val="00D06834"/>
    <w:rsid w:val="00D07547"/>
    <w:rsid w:val="00D1325D"/>
    <w:rsid w:val="00D16297"/>
    <w:rsid w:val="00D17C4D"/>
    <w:rsid w:val="00D17FD3"/>
    <w:rsid w:val="00D2157C"/>
    <w:rsid w:val="00D22B37"/>
    <w:rsid w:val="00D24B6E"/>
    <w:rsid w:val="00D25CCD"/>
    <w:rsid w:val="00D265A2"/>
    <w:rsid w:val="00D273E9"/>
    <w:rsid w:val="00D27F5F"/>
    <w:rsid w:val="00D30650"/>
    <w:rsid w:val="00D308ED"/>
    <w:rsid w:val="00D30E52"/>
    <w:rsid w:val="00D339E2"/>
    <w:rsid w:val="00D34FF4"/>
    <w:rsid w:val="00D357D6"/>
    <w:rsid w:val="00D35CE2"/>
    <w:rsid w:val="00D36D86"/>
    <w:rsid w:val="00D372DE"/>
    <w:rsid w:val="00D428AA"/>
    <w:rsid w:val="00D4316D"/>
    <w:rsid w:val="00D45126"/>
    <w:rsid w:val="00D50A34"/>
    <w:rsid w:val="00D5191C"/>
    <w:rsid w:val="00D52282"/>
    <w:rsid w:val="00D52662"/>
    <w:rsid w:val="00D53D07"/>
    <w:rsid w:val="00D53EFA"/>
    <w:rsid w:val="00D5513E"/>
    <w:rsid w:val="00D556FE"/>
    <w:rsid w:val="00D55EBE"/>
    <w:rsid w:val="00D62FBB"/>
    <w:rsid w:val="00D637AE"/>
    <w:rsid w:val="00D63C41"/>
    <w:rsid w:val="00D63ED9"/>
    <w:rsid w:val="00D64C1B"/>
    <w:rsid w:val="00D7187C"/>
    <w:rsid w:val="00D72032"/>
    <w:rsid w:val="00D72F89"/>
    <w:rsid w:val="00D75EC7"/>
    <w:rsid w:val="00D76B03"/>
    <w:rsid w:val="00D77DA2"/>
    <w:rsid w:val="00D800E7"/>
    <w:rsid w:val="00D80321"/>
    <w:rsid w:val="00D80D61"/>
    <w:rsid w:val="00D81153"/>
    <w:rsid w:val="00D82839"/>
    <w:rsid w:val="00D8382F"/>
    <w:rsid w:val="00D84D71"/>
    <w:rsid w:val="00D85627"/>
    <w:rsid w:val="00D85F11"/>
    <w:rsid w:val="00D87868"/>
    <w:rsid w:val="00D87DC1"/>
    <w:rsid w:val="00D91101"/>
    <w:rsid w:val="00D91829"/>
    <w:rsid w:val="00D935FD"/>
    <w:rsid w:val="00D94A7C"/>
    <w:rsid w:val="00D95896"/>
    <w:rsid w:val="00D95CA9"/>
    <w:rsid w:val="00D95FB6"/>
    <w:rsid w:val="00D971AE"/>
    <w:rsid w:val="00D97409"/>
    <w:rsid w:val="00D97B49"/>
    <w:rsid w:val="00DA025D"/>
    <w:rsid w:val="00DA042D"/>
    <w:rsid w:val="00DA1607"/>
    <w:rsid w:val="00DA323B"/>
    <w:rsid w:val="00DA3E29"/>
    <w:rsid w:val="00DA4DDD"/>
    <w:rsid w:val="00DA4F03"/>
    <w:rsid w:val="00DA54A3"/>
    <w:rsid w:val="00DA602B"/>
    <w:rsid w:val="00DA66B4"/>
    <w:rsid w:val="00DA723B"/>
    <w:rsid w:val="00DA7EEF"/>
    <w:rsid w:val="00DA7FEC"/>
    <w:rsid w:val="00DB0866"/>
    <w:rsid w:val="00DB2691"/>
    <w:rsid w:val="00DB2983"/>
    <w:rsid w:val="00DB3754"/>
    <w:rsid w:val="00DB47B1"/>
    <w:rsid w:val="00DB514E"/>
    <w:rsid w:val="00DB66E8"/>
    <w:rsid w:val="00DB698D"/>
    <w:rsid w:val="00DB6C17"/>
    <w:rsid w:val="00DB7462"/>
    <w:rsid w:val="00DB7747"/>
    <w:rsid w:val="00DC012D"/>
    <w:rsid w:val="00DC017E"/>
    <w:rsid w:val="00DC1257"/>
    <w:rsid w:val="00DC1F7D"/>
    <w:rsid w:val="00DC267E"/>
    <w:rsid w:val="00DC3867"/>
    <w:rsid w:val="00DC3DC0"/>
    <w:rsid w:val="00DC5B2B"/>
    <w:rsid w:val="00DC6070"/>
    <w:rsid w:val="00DD0474"/>
    <w:rsid w:val="00DD0E96"/>
    <w:rsid w:val="00DD2464"/>
    <w:rsid w:val="00DD256F"/>
    <w:rsid w:val="00DD318D"/>
    <w:rsid w:val="00DD705A"/>
    <w:rsid w:val="00DE31F5"/>
    <w:rsid w:val="00DE3CF6"/>
    <w:rsid w:val="00DE558E"/>
    <w:rsid w:val="00DE6B15"/>
    <w:rsid w:val="00DE6C8E"/>
    <w:rsid w:val="00DF0D56"/>
    <w:rsid w:val="00DF171F"/>
    <w:rsid w:val="00DF2C8A"/>
    <w:rsid w:val="00DF2DFF"/>
    <w:rsid w:val="00DF2E12"/>
    <w:rsid w:val="00DF514A"/>
    <w:rsid w:val="00DF565D"/>
    <w:rsid w:val="00DF5B6A"/>
    <w:rsid w:val="00DF60D8"/>
    <w:rsid w:val="00DF635D"/>
    <w:rsid w:val="00DF6690"/>
    <w:rsid w:val="00DF6804"/>
    <w:rsid w:val="00DF6DA8"/>
    <w:rsid w:val="00DF6E9A"/>
    <w:rsid w:val="00DF7202"/>
    <w:rsid w:val="00DF76A3"/>
    <w:rsid w:val="00DF7F20"/>
    <w:rsid w:val="00E00E98"/>
    <w:rsid w:val="00E01C3E"/>
    <w:rsid w:val="00E02E26"/>
    <w:rsid w:val="00E02E7A"/>
    <w:rsid w:val="00E03164"/>
    <w:rsid w:val="00E03368"/>
    <w:rsid w:val="00E0358D"/>
    <w:rsid w:val="00E04323"/>
    <w:rsid w:val="00E05DB9"/>
    <w:rsid w:val="00E070A2"/>
    <w:rsid w:val="00E07903"/>
    <w:rsid w:val="00E10748"/>
    <w:rsid w:val="00E11EAD"/>
    <w:rsid w:val="00E12067"/>
    <w:rsid w:val="00E13376"/>
    <w:rsid w:val="00E138AA"/>
    <w:rsid w:val="00E175FE"/>
    <w:rsid w:val="00E17940"/>
    <w:rsid w:val="00E17D3B"/>
    <w:rsid w:val="00E256BB"/>
    <w:rsid w:val="00E26105"/>
    <w:rsid w:val="00E2627B"/>
    <w:rsid w:val="00E2656A"/>
    <w:rsid w:val="00E26EB0"/>
    <w:rsid w:val="00E32A93"/>
    <w:rsid w:val="00E3586A"/>
    <w:rsid w:val="00E35B48"/>
    <w:rsid w:val="00E3655F"/>
    <w:rsid w:val="00E369EE"/>
    <w:rsid w:val="00E36C28"/>
    <w:rsid w:val="00E3738A"/>
    <w:rsid w:val="00E408D0"/>
    <w:rsid w:val="00E412D0"/>
    <w:rsid w:val="00E41B15"/>
    <w:rsid w:val="00E43614"/>
    <w:rsid w:val="00E43825"/>
    <w:rsid w:val="00E439F8"/>
    <w:rsid w:val="00E4455A"/>
    <w:rsid w:val="00E46AF7"/>
    <w:rsid w:val="00E47768"/>
    <w:rsid w:val="00E47A1C"/>
    <w:rsid w:val="00E50098"/>
    <w:rsid w:val="00E534AC"/>
    <w:rsid w:val="00E550D4"/>
    <w:rsid w:val="00E554BC"/>
    <w:rsid w:val="00E55CFF"/>
    <w:rsid w:val="00E56322"/>
    <w:rsid w:val="00E6085A"/>
    <w:rsid w:val="00E60982"/>
    <w:rsid w:val="00E62095"/>
    <w:rsid w:val="00E62C62"/>
    <w:rsid w:val="00E63689"/>
    <w:rsid w:val="00E654C1"/>
    <w:rsid w:val="00E65D97"/>
    <w:rsid w:val="00E67776"/>
    <w:rsid w:val="00E72A5A"/>
    <w:rsid w:val="00E73354"/>
    <w:rsid w:val="00E73F8A"/>
    <w:rsid w:val="00E741D1"/>
    <w:rsid w:val="00E74DB6"/>
    <w:rsid w:val="00E75429"/>
    <w:rsid w:val="00E766B1"/>
    <w:rsid w:val="00E76B66"/>
    <w:rsid w:val="00E80634"/>
    <w:rsid w:val="00E825AD"/>
    <w:rsid w:val="00E82ABB"/>
    <w:rsid w:val="00E83304"/>
    <w:rsid w:val="00E84107"/>
    <w:rsid w:val="00E846D2"/>
    <w:rsid w:val="00E84771"/>
    <w:rsid w:val="00E91F81"/>
    <w:rsid w:val="00E9242D"/>
    <w:rsid w:val="00E938CD"/>
    <w:rsid w:val="00E94A22"/>
    <w:rsid w:val="00E959C9"/>
    <w:rsid w:val="00E95FA4"/>
    <w:rsid w:val="00E96947"/>
    <w:rsid w:val="00E97D03"/>
    <w:rsid w:val="00EA1A9C"/>
    <w:rsid w:val="00EA3E52"/>
    <w:rsid w:val="00EA4676"/>
    <w:rsid w:val="00EA6354"/>
    <w:rsid w:val="00EA6B05"/>
    <w:rsid w:val="00EA7D6C"/>
    <w:rsid w:val="00EA7E84"/>
    <w:rsid w:val="00EB13EC"/>
    <w:rsid w:val="00EB21FC"/>
    <w:rsid w:val="00EB3B9E"/>
    <w:rsid w:val="00EB523C"/>
    <w:rsid w:val="00EB5255"/>
    <w:rsid w:val="00EB58AB"/>
    <w:rsid w:val="00EB5C47"/>
    <w:rsid w:val="00EB60DB"/>
    <w:rsid w:val="00EB613C"/>
    <w:rsid w:val="00EB6A34"/>
    <w:rsid w:val="00EB6D26"/>
    <w:rsid w:val="00EB6EE7"/>
    <w:rsid w:val="00EB77F1"/>
    <w:rsid w:val="00EC1190"/>
    <w:rsid w:val="00EC15E0"/>
    <w:rsid w:val="00EC1DF0"/>
    <w:rsid w:val="00EC3173"/>
    <w:rsid w:val="00EC4421"/>
    <w:rsid w:val="00EC45C0"/>
    <w:rsid w:val="00EC4A75"/>
    <w:rsid w:val="00EC4F38"/>
    <w:rsid w:val="00ED0639"/>
    <w:rsid w:val="00ED3984"/>
    <w:rsid w:val="00ED3DE0"/>
    <w:rsid w:val="00ED456C"/>
    <w:rsid w:val="00ED6548"/>
    <w:rsid w:val="00ED76C8"/>
    <w:rsid w:val="00EE02BA"/>
    <w:rsid w:val="00EE078B"/>
    <w:rsid w:val="00EE6F39"/>
    <w:rsid w:val="00EF020F"/>
    <w:rsid w:val="00EF0CA2"/>
    <w:rsid w:val="00EF2DBC"/>
    <w:rsid w:val="00EF4755"/>
    <w:rsid w:val="00EF57FF"/>
    <w:rsid w:val="00EF62A9"/>
    <w:rsid w:val="00EF7135"/>
    <w:rsid w:val="00EF7722"/>
    <w:rsid w:val="00F00597"/>
    <w:rsid w:val="00F00B61"/>
    <w:rsid w:val="00F00D91"/>
    <w:rsid w:val="00F024E2"/>
    <w:rsid w:val="00F027DB"/>
    <w:rsid w:val="00F05359"/>
    <w:rsid w:val="00F06219"/>
    <w:rsid w:val="00F062F1"/>
    <w:rsid w:val="00F07E9A"/>
    <w:rsid w:val="00F07EC7"/>
    <w:rsid w:val="00F10B89"/>
    <w:rsid w:val="00F14A53"/>
    <w:rsid w:val="00F14A7A"/>
    <w:rsid w:val="00F15781"/>
    <w:rsid w:val="00F16691"/>
    <w:rsid w:val="00F17B9D"/>
    <w:rsid w:val="00F204C9"/>
    <w:rsid w:val="00F20DEB"/>
    <w:rsid w:val="00F22114"/>
    <w:rsid w:val="00F228B5"/>
    <w:rsid w:val="00F22985"/>
    <w:rsid w:val="00F23686"/>
    <w:rsid w:val="00F24E92"/>
    <w:rsid w:val="00F24FD6"/>
    <w:rsid w:val="00F255E0"/>
    <w:rsid w:val="00F259F0"/>
    <w:rsid w:val="00F25C03"/>
    <w:rsid w:val="00F261F8"/>
    <w:rsid w:val="00F26552"/>
    <w:rsid w:val="00F27271"/>
    <w:rsid w:val="00F277E2"/>
    <w:rsid w:val="00F27CF1"/>
    <w:rsid w:val="00F27EB9"/>
    <w:rsid w:val="00F3034A"/>
    <w:rsid w:val="00F316A6"/>
    <w:rsid w:val="00F323C7"/>
    <w:rsid w:val="00F32D86"/>
    <w:rsid w:val="00F3383E"/>
    <w:rsid w:val="00F34829"/>
    <w:rsid w:val="00F35809"/>
    <w:rsid w:val="00F37216"/>
    <w:rsid w:val="00F41AE4"/>
    <w:rsid w:val="00F41F8B"/>
    <w:rsid w:val="00F4228B"/>
    <w:rsid w:val="00F42ACD"/>
    <w:rsid w:val="00F43375"/>
    <w:rsid w:val="00F438EB"/>
    <w:rsid w:val="00F44904"/>
    <w:rsid w:val="00F465A7"/>
    <w:rsid w:val="00F475FA"/>
    <w:rsid w:val="00F47C43"/>
    <w:rsid w:val="00F5016D"/>
    <w:rsid w:val="00F50B7C"/>
    <w:rsid w:val="00F514E8"/>
    <w:rsid w:val="00F514F7"/>
    <w:rsid w:val="00F51C6B"/>
    <w:rsid w:val="00F537A5"/>
    <w:rsid w:val="00F53B35"/>
    <w:rsid w:val="00F550E6"/>
    <w:rsid w:val="00F55D47"/>
    <w:rsid w:val="00F55EE8"/>
    <w:rsid w:val="00F562A9"/>
    <w:rsid w:val="00F5710A"/>
    <w:rsid w:val="00F5792A"/>
    <w:rsid w:val="00F57AC6"/>
    <w:rsid w:val="00F607D8"/>
    <w:rsid w:val="00F656A0"/>
    <w:rsid w:val="00F65A1F"/>
    <w:rsid w:val="00F66A4E"/>
    <w:rsid w:val="00F66AE4"/>
    <w:rsid w:val="00F70E86"/>
    <w:rsid w:val="00F71120"/>
    <w:rsid w:val="00F717FB"/>
    <w:rsid w:val="00F7338A"/>
    <w:rsid w:val="00F74345"/>
    <w:rsid w:val="00F7443B"/>
    <w:rsid w:val="00F756B9"/>
    <w:rsid w:val="00F76B62"/>
    <w:rsid w:val="00F80A0A"/>
    <w:rsid w:val="00F82B19"/>
    <w:rsid w:val="00F82BAD"/>
    <w:rsid w:val="00F82E59"/>
    <w:rsid w:val="00F84D74"/>
    <w:rsid w:val="00F85674"/>
    <w:rsid w:val="00F857E3"/>
    <w:rsid w:val="00F85B0E"/>
    <w:rsid w:val="00F85E8E"/>
    <w:rsid w:val="00F920B4"/>
    <w:rsid w:val="00F9212D"/>
    <w:rsid w:val="00F923A8"/>
    <w:rsid w:val="00F942D8"/>
    <w:rsid w:val="00F965DA"/>
    <w:rsid w:val="00F973D2"/>
    <w:rsid w:val="00FA0EBE"/>
    <w:rsid w:val="00FA34AD"/>
    <w:rsid w:val="00FA3BD9"/>
    <w:rsid w:val="00FA406A"/>
    <w:rsid w:val="00FA4139"/>
    <w:rsid w:val="00FA57EE"/>
    <w:rsid w:val="00FA59E4"/>
    <w:rsid w:val="00FA703A"/>
    <w:rsid w:val="00FB079C"/>
    <w:rsid w:val="00FB0FDA"/>
    <w:rsid w:val="00FB503A"/>
    <w:rsid w:val="00FB516C"/>
    <w:rsid w:val="00FB59A1"/>
    <w:rsid w:val="00FB696C"/>
    <w:rsid w:val="00FC08C7"/>
    <w:rsid w:val="00FC15CE"/>
    <w:rsid w:val="00FC20D9"/>
    <w:rsid w:val="00FC360B"/>
    <w:rsid w:val="00FC5627"/>
    <w:rsid w:val="00FC582D"/>
    <w:rsid w:val="00FC5D47"/>
    <w:rsid w:val="00FC5DBD"/>
    <w:rsid w:val="00FD01DB"/>
    <w:rsid w:val="00FD0236"/>
    <w:rsid w:val="00FD1355"/>
    <w:rsid w:val="00FD18F4"/>
    <w:rsid w:val="00FD2BCA"/>
    <w:rsid w:val="00FD2D38"/>
    <w:rsid w:val="00FD4163"/>
    <w:rsid w:val="00FD41D4"/>
    <w:rsid w:val="00FD54DB"/>
    <w:rsid w:val="00FD619F"/>
    <w:rsid w:val="00FD6482"/>
    <w:rsid w:val="00FE0644"/>
    <w:rsid w:val="00FE1271"/>
    <w:rsid w:val="00FE1433"/>
    <w:rsid w:val="00FE32B1"/>
    <w:rsid w:val="00FE42D6"/>
    <w:rsid w:val="00FE45EE"/>
    <w:rsid w:val="00FE489A"/>
    <w:rsid w:val="00FE4AD0"/>
    <w:rsid w:val="00FE4D77"/>
    <w:rsid w:val="00FF0B18"/>
    <w:rsid w:val="00FF33F1"/>
    <w:rsid w:val="00FF3D25"/>
    <w:rsid w:val="00FF3D85"/>
    <w:rsid w:val="00FF4162"/>
    <w:rsid w:val="00FF5353"/>
    <w:rsid w:val="00FF5607"/>
    <w:rsid w:val="00FF6002"/>
    <w:rsid w:val="01290F7E"/>
    <w:rsid w:val="015D1E09"/>
    <w:rsid w:val="0176145F"/>
    <w:rsid w:val="0205273E"/>
    <w:rsid w:val="02697903"/>
    <w:rsid w:val="02F96569"/>
    <w:rsid w:val="03EA7B21"/>
    <w:rsid w:val="05F83EAE"/>
    <w:rsid w:val="063E7D85"/>
    <w:rsid w:val="064B7F58"/>
    <w:rsid w:val="068E5450"/>
    <w:rsid w:val="06911E29"/>
    <w:rsid w:val="06EA3168"/>
    <w:rsid w:val="07293586"/>
    <w:rsid w:val="07295285"/>
    <w:rsid w:val="07636392"/>
    <w:rsid w:val="07770C56"/>
    <w:rsid w:val="092217DD"/>
    <w:rsid w:val="093A7294"/>
    <w:rsid w:val="095E38C5"/>
    <w:rsid w:val="09D02052"/>
    <w:rsid w:val="0A263993"/>
    <w:rsid w:val="0A2D3AC2"/>
    <w:rsid w:val="0AA755DF"/>
    <w:rsid w:val="0B120D44"/>
    <w:rsid w:val="0BD27BF6"/>
    <w:rsid w:val="0C3B3C7D"/>
    <w:rsid w:val="0CAB2EAE"/>
    <w:rsid w:val="0D494CDB"/>
    <w:rsid w:val="0D621C7D"/>
    <w:rsid w:val="0E73034D"/>
    <w:rsid w:val="0F13775A"/>
    <w:rsid w:val="0F5F45FE"/>
    <w:rsid w:val="0F9A112B"/>
    <w:rsid w:val="106D2F64"/>
    <w:rsid w:val="10B63710"/>
    <w:rsid w:val="10F10820"/>
    <w:rsid w:val="111C2F7A"/>
    <w:rsid w:val="11665CA1"/>
    <w:rsid w:val="13951726"/>
    <w:rsid w:val="14396509"/>
    <w:rsid w:val="14DD2C3C"/>
    <w:rsid w:val="15051033"/>
    <w:rsid w:val="15A46B04"/>
    <w:rsid w:val="16087E1D"/>
    <w:rsid w:val="17701D14"/>
    <w:rsid w:val="17735226"/>
    <w:rsid w:val="189F624C"/>
    <w:rsid w:val="19410A77"/>
    <w:rsid w:val="1A1C66C0"/>
    <w:rsid w:val="1A4034AD"/>
    <w:rsid w:val="1A42393B"/>
    <w:rsid w:val="1AAD45DE"/>
    <w:rsid w:val="1B046F80"/>
    <w:rsid w:val="1B3267B5"/>
    <w:rsid w:val="1B40161D"/>
    <w:rsid w:val="1B441859"/>
    <w:rsid w:val="1B6606B1"/>
    <w:rsid w:val="1B66179A"/>
    <w:rsid w:val="1C5E7925"/>
    <w:rsid w:val="1CFD070F"/>
    <w:rsid w:val="1D095843"/>
    <w:rsid w:val="1D254DE8"/>
    <w:rsid w:val="1D5F6196"/>
    <w:rsid w:val="1D6132A5"/>
    <w:rsid w:val="1D8E56D5"/>
    <w:rsid w:val="1DEA39AB"/>
    <w:rsid w:val="1E7A43DA"/>
    <w:rsid w:val="1F662891"/>
    <w:rsid w:val="1FE7539E"/>
    <w:rsid w:val="20436FED"/>
    <w:rsid w:val="205337A8"/>
    <w:rsid w:val="20671BE0"/>
    <w:rsid w:val="20963CB8"/>
    <w:rsid w:val="20A81A1B"/>
    <w:rsid w:val="20B07FB6"/>
    <w:rsid w:val="20B646FB"/>
    <w:rsid w:val="213B74B1"/>
    <w:rsid w:val="215A2310"/>
    <w:rsid w:val="2165550F"/>
    <w:rsid w:val="21C52312"/>
    <w:rsid w:val="21DE318A"/>
    <w:rsid w:val="21EF5B80"/>
    <w:rsid w:val="22576990"/>
    <w:rsid w:val="22F47480"/>
    <w:rsid w:val="23666C1F"/>
    <w:rsid w:val="23DE1C48"/>
    <w:rsid w:val="240210CD"/>
    <w:rsid w:val="243E6375"/>
    <w:rsid w:val="24A208B7"/>
    <w:rsid w:val="24BF09F7"/>
    <w:rsid w:val="252D53FE"/>
    <w:rsid w:val="25EC2D81"/>
    <w:rsid w:val="25F0210F"/>
    <w:rsid w:val="277057A2"/>
    <w:rsid w:val="28E10FC0"/>
    <w:rsid w:val="28F80375"/>
    <w:rsid w:val="29206EB8"/>
    <w:rsid w:val="29595666"/>
    <w:rsid w:val="29874881"/>
    <w:rsid w:val="299D4F55"/>
    <w:rsid w:val="29BA3E9B"/>
    <w:rsid w:val="29E325E0"/>
    <w:rsid w:val="29E7215B"/>
    <w:rsid w:val="2A2D7858"/>
    <w:rsid w:val="2A452503"/>
    <w:rsid w:val="2BA936A8"/>
    <w:rsid w:val="2C315A5A"/>
    <w:rsid w:val="2C4B1C25"/>
    <w:rsid w:val="2CAF6E74"/>
    <w:rsid w:val="2D9E56F5"/>
    <w:rsid w:val="2E667F96"/>
    <w:rsid w:val="2E8226AB"/>
    <w:rsid w:val="2FAF3372"/>
    <w:rsid w:val="2FD065E6"/>
    <w:rsid w:val="2FD96870"/>
    <w:rsid w:val="30580BC9"/>
    <w:rsid w:val="311E2ED7"/>
    <w:rsid w:val="315619EE"/>
    <w:rsid w:val="315C449C"/>
    <w:rsid w:val="31B04B94"/>
    <w:rsid w:val="31B82709"/>
    <w:rsid w:val="31D05482"/>
    <w:rsid w:val="32400B34"/>
    <w:rsid w:val="329E6876"/>
    <w:rsid w:val="333015F2"/>
    <w:rsid w:val="334B6320"/>
    <w:rsid w:val="336B4B0B"/>
    <w:rsid w:val="33D934D4"/>
    <w:rsid w:val="33FA4686"/>
    <w:rsid w:val="33FE2F6A"/>
    <w:rsid w:val="340E07E5"/>
    <w:rsid w:val="34235BF7"/>
    <w:rsid w:val="34966D67"/>
    <w:rsid w:val="356745B5"/>
    <w:rsid w:val="358C5FA8"/>
    <w:rsid w:val="35C15DF1"/>
    <w:rsid w:val="36074A7F"/>
    <w:rsid w:val="36923549"/>
    <w:rsid w:val="36B75FBF"/>
    <w:rsid w:val="36BD0C45"/>
    <w:rsid w:val="3720628F"/>
    <w:rsid w:val="37AE5371"/>
    <w:rsid w:val="37E00298"/>
    <w:rsid w:val="38B302F9"/>
    <w:rsid w:val="38F12CD3"/>
    <w:rsid w:val="38F94775"/>
    <w:rsid w:val="392971ED"/>
    <w:rsid w:val="39325651"/>
    <w:rsid w:val="3A872856"/>
    <w:rsid w:val="3B3763D1"/>
    <w:rsid w:val="3C2F6E1E"/>
    <w:rsid w:val="3C4F64BA"/>
    <w:rsid w:val="3CDA245A"/>
    <w:rsid w:val="3D1E06B7"/>
    <w:rsid w:val="3EDA0523"/>
    <w:rsid w:val="40362E2E"/>
    <w:rsid w:val="407A6407"/>
    <w:rsid w:val="408C327C"/>
    <w:rsid w:val="4200449D"/>
    <w:rsid w:val="42286F6B"/>
    <w:rsid w:val="423A3BCC"/>
    <w:rsid w:val="42415520"/>
    <w:rsid w:val="424E57D2"/>
    <w:rsid w:val="427A3C07"/>
    <w:rsid w:val="42B26C49"/>
    <w:rsid w:val="433A6FE6"/>
    <w:rsid w:val="43480868"/>
    <w:rsid w:val="4350713C"/>
    <w:rsid w:val="436653E0"/>
    <w:rsid w:val="43C4431A"/>
    <w:rsid w:val="44B951CC"/>
    <w:rsid w:val="44CD14E0"/>
    <w:rsid w:val="44F20B0B"/>
    <w:rsid w:val="452E5F4C"/>
    <w:rsid w:val="45612018"/>
    <w:rsid w:val="458946E9"/>
    <w:rsid w:val="45A47C0E"/>
    <w:rsid w:val="46577FD6"/>
    <w:rsid w:val="46C54F44"/>
    <w:rsid w:val="46D955A7"/>
    <w:rsid w:val="47133957"/>
    <w:rsid w:val="47A07E0C"/>
    <w:rsid w:val="47B01D46"/>
    <w:rsid w:val="47BE0573"/>
    <w:rsid w:val="4858357E"/>
    <w:rsid w:val="4870272E"/>
    <w:rsid w:val="49427848"/>
    <w:rsid w:val="49DC7715"/>
    <w:rsid w:val="4A023139"/>
    <w:rsid w:val="4A7B576F"/>
    <w:rsid w:val="4ABD1B3E"/>
    <w:rsid w:val="4AF561A9"/>
    <w:rsid w:val="4B282CD2"/>
    <w:rsid w:val="4C4A0649"/>
    <w:rsid w:val="4C7E5ECA"/>
    <w:rsid w:val="4C876AA5"/>
    <w:rsid w:val="4D0E00FB"/>
    <w:rsid w:val="4D176606"/>
    <w:rsid w:val="4DEC4FB0"/>
    <w:rsid w:val="4E075D8A"/>
    <w:rsid w:val="4EC00FAD"/>
    <w:rsid w:val="4F4550DB"/>
    <w:rsid w:val="4F57584E"/>
    <w:rsid w:val="4F8D2B23"/>
    <w:rsid w:val="4F9843DC"/>
    <w:rsid w:val="4FC62A8C"/>
    <w:rsid w:val="4FE20F0D"/>
    <w:rsid w:val="4FE51552"/>
    <w:rsid w:val="50504C4B"/>
    <w:rsid w:val="509C6E7C"/>
    <w:rsid w:val="513B5500"/>
    <w:rsid w:val="5162104E"/>
    <w:rsid w:val="5257653A"/>
    <w:rsid w:val="53663CDD"/>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5C328E"/>
    <w:rsid w:val="59C0439F"/>
    <w:rsid w:val="59CA2348"/>
    <w:rsid w:val="5A6E45B7"/>
    <w:rsid w:val="5ABE2233"/>
    <w:rsid w:val="5AE93128"/>
    <w:rsid w:val="5BDF5D95"/>
    <w:rsid w:val="5BFE7528"/>
    <w:rsid w:val="5E2467F1"/>
    <w:rsid w:val="5F1A2B43"/>
    <w:rsid w:val="5FB837BB"/>
    <w:rsid w:val="60CC405A"/>
    <w:rsid w:val="61B33F41"/>
    <w:rsid w:val="61E215D8"/>
    <w:rsid w:val="621B3775"/>
    <w:rsid w:val="62364782"/>
    <w:rsid w:val="6394356A"/>
    <w:rsid w:val="63C61B2C"/>
    <w:rsid w:val="63D40BE9"/>
    <w:rsid w:val="64102431"/>
    <w:rsid w:val="64357266"/>
    <w:rsid w:val="646D58E0"/>
    <w:rsid w:val="64A5243A"/>
    <w:rsid w:val="64BC4AD4"/>
    <w:rsid w:val="64F531DE"/>
    <w:rsid w:val="65373578"/>
    <w:rsid w:val="671F124A"/>
    <w:rsid w:val="677A33C6"/>
    <w:rsid w:val="67A3540E"/>
    <w:rsid w:val="681F6961"/>
    <w:rsid w:val="68610A2F"/>
    <w:rsid w:val="68805514"/>
    <w:rsid w:val="69316E2F"/>
    <w:rsid w:val="694E2071"/>
    <w:rsid w:val="69766163"/>
    <w:rsid w:val="697A3B33"/>
    <w:rsid w:val="69D44760"/>
    <w:rsid w:val="6A520EC7"/>
    <w:rsid w:val="6AF87E20"/>
    <w:rsid w:val="6B322639"/>
    <w:rsid w:val="6C636C38"/>
    <w:rsid w:val="6D1C0D06"/>
    <w:rsid w:val="6D562617"/>
    <w:rsid w:val="6D58038F"/>
    <w:rsid w:val="6DB34098"/>
    <w:rsid w:val="6DB545B6"/>
    <w:rsid w:val="6DE02FB4"/>
    <w:rsid w:val="6E514CED"/>
    <w:rsid w:val="6E592B10"/>
    <w:rsid w:val="6EB563D5"/>
    <w:rsid w:val="6ED92677"/>
    <w:rsid w:val="6F225983"/>
    <w:rsid w:val="6F2FDD5B"/>
    <w:rsid w:val="6F8E22EE"/>
    <w:rsid w:val="6FFC5590"/>
    <w:rsid w:val="706D1DD0"/>
    <w:rsid w:val="70856B87"/>
    <w:rsid w:val="70D527EE"/>
    <w:rsid w:val="711C0D19"/>
    <w:rsid w:val="715B5300"/>
    <w:rsid w:val="71D27F8A"/>
    <w:rsid w:val="71E12E97"/>
    <w:rsid w:val="72553024"/>
    <w:rsid w:val="73122968"/>
    <w:rsid w:val="731F5D5E"/>
    <w:rsid w:val="73851E33"/>
    <w:rsid w:val="73C51AD5"/>
    <w:rsid w:val="741E793C"/>
    <w:rsid w:val="745E3944"/>
    <w:rsid w:val="74606BF5"/>
    <w:rsid w:val="746C23BF"/>
    <w:rsid w:val="746F18F8"/>
    <w:rsid w:val="749B595F"/>
    <w:rsid w:val="74F12595"/>
    <w:rsid w:val="7635099D"/>
    <w:rsid w:val="76363C9E"/>
    <w:rsid w:val="764B7507"/>
    <w:rsid w:val="776656E4"/>
    <w:rsid w:val="77762421"/>
    <w:rsid w:val="77B56B1F"/>
    <w:rsid w:val="77FC3781"/>
    <w:rsid w:val="780F09F4"/>
    <w:rsid w:val="78314998"/>
    <w:rsid w:val="788D5A48"/>
    <w:rsid w:val="789F7A13"/>
    <w:rsid w:val="78A90480"/>
    <w:rsid w:val="78EB5885"/>
    <w:rsid w:val="7A364017"/>
    <w:rsid w:val="7A8265E1"/>
    <w:rsid w:val="7B686D42"/>
    <w:rsid w:val="7B841746"/>
    <w:rsid w:val="7C6C5AC7"/>
    <w:rsid w:val="7CC62737"/>
    <w:rsid w:val="7CC6544B"/>
    <w:rsid w:val="7D0239FF"/>
    <w:rsid w:val="7D5E40CD"/>
    <w:rsid w:val="7DA95EDE"/>
    <w:rsid w:val="7DCD56F2"/>
    <w:rsid w:val="7F001CE7"/>
    <w:rsid w:val="7F9D2961"/>
    <w:rsid w:val="7FE47E50"/>
    <w:rsid w:val="EBDEC3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88"/>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97"/>
    <w:semiHidden/>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link w:val="101"/>
    <w:qFormat/>
    <w:locked/>
    <w:uiPriority w:val="0"/>
    <w:pPr>
      <w:widowControl/>
      <w:spacing w:line="360" w:lineRule="auto"/>
      <w:ind w:firstLine="482" w:firstLineChars="200"/>
      <w:jc w:val="left"/>
      <w:outlineLvl w:val="3"/>
    </w:pPr>
    <w:rPr>
      <w:rFonts w:ascii="宋体" w:hAnsi="宋体" w:cs="宋体"/>
      <w:b/>
      <w:bCs/>
      <w:kern w:val="0"/>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89"/>
    <w:qFormat/>
    <w:locked/>
    <w:uiPriority w:val="0"/>
    <w:pPr>
      <w:ind w:firstLine="420" w:firstLineChars="200"/>
    </w:pPr>
    <w:rPr>
      <w:sz w:val="21"/>
      <w:szCs w:val="24"/>
    </w:rPr>
  </w:style>
  <w:style w:type="paragraph" w:styleId="3">
    <w:name w:val="Body Text Indent"/>
    <w:basedOn w:val="1"/>
    <w:link w:val="34"/>
    <w:qFormat/>
    <w:uiPriority w:val="99"/>
    <w:pPr>
      <w:spacing w:after="120"/>
      <w:ind w:left="420" w:leftChars="200"/>
    </w:pPr>
    <w:rPr>
      <w:kern w:val="0"/>
      <w:sz w:val="24"/>
      <w:szCs w:val="20"/>
    </w:rPr>
  </w:style>
  <w:style w:type="paragraph" w:styleId="8">
    <w:name w:val="Normal Indent"/>
    <w:basedOn w:val="1"/>
    <w:next w:val="7"/>
    <w:qFormat/>
    <w:locked/>
    <w:uiPriority w:val="0"/>
    <w:pPr>
      <w:ind w:firstLine="420"/>
    </w:pPr>
  </w:style>
  <w:style w:type="paragraph" w:styleId="9">
    <w:name w:val="caption"/>
    <w:basedOn w:val="1"/>
    <w:next w:val="1"/>
    <w:qFormat/>
    <w:locked/>
    <w:uiPriority w:val="0"/>
    <w:pPr>
      <w:jc w:val="center"/>
    </w:pPr>
    <w:rPr>
      <w:rFonts w:ascii="宋体" w:hAnsi="Arial" w:cs="Arial"/>
    </w:rPr>
  </w:style>
  <w:style w:type="paragraph" w:styleId="10">
    <w:name w:val="annotation text"/>
    <w:basedOn w:val="1"/>
    <w:link w:val="31"/>
    <w:semiHidden/>
    <w:qFormat/>
    <w:uiPriority w:val="0"/>
    <w:pPr>
      <w:jc w:val="left"/>
    </w:pPr>
    <w:rPr>
      <w:kern w:val="0"/>
      <w:sz w:val="24"/>
      <w:szCs w:val="20"/>
    </w:rPr>
  </w:style>
  <w:style w:type="paragraph" w:styleId="11">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12">
    <w:name w:val="Block Text"/>
    <w:basedOn w:val="1"/>
    <w:next w:val="1"/>
    <w:qFormat/>
    <w:locked/>
    <w:uiPriority w:val="0"/>
    <w:pPr>
      <w:ind w:left="113" w:right="113" w:firstLine="555"/>
      <w:jc w:val="left"/>
    </w:pPr>
    <w:rPr>
      <w:sz w:val="28"/>
    </w:rPr>
  </w:style>
  <w:style w:type="paragraph" w:styleId="13">
    <w:name w:val="Plain Text"/>
    <w:basedOn w:val="1"/>
    <w:qFormat/>
    <w:locked/>
    <w:uiPriority w:val="99"/>
    <w:rPr>
      <w:rFonts w:ascii="宋体" w:hAnsi="Courier New" w:cs="Courier New"/>
      <w:szCs w:val="21"/>
    </w:rPr>
  </w:style>
  <w:style w:type="paragraph" w:styleId="14">
    <w:name w:val="Date"/>
    <w:basedOn w:val="1"/>
    <w:next w:val="1"/>
    <w:link w:val="35"/>
    <w:qFormat/>
    <w:uiPriority w:val="0"/>
    <w:pPr>
      <w:ind w:left="100" w:leftChars="2500"/>
    </w:pPr>
    <w:rPr>
      <w:kern w:val="0"/>
      <w:sz w:val="24"/>
      <w:szCs w:val="20"/>
    </w:rPr>
  </w:style>
  <w:style w:type="paragraph" w:styleId="15">
    <w:name w:val="Body Text Indent 2"/>
    <w:basedOn w:val="1"/>
    <w:link w:val="105"/>
    <w:qFormat/>
    <w:locked/>
    <w:uiPriority w:val="0"/>
    <w:pPr>
      <w:spacing w:line="500" w:lineRule="exact"/>
      <w:ind w:firstLine="480"/>
    </w:pPr>
    <w:rPr>
      <w:rFonts w:ascii="宋体"/>
      <w:sz w:val="24"/>
    </w:rPr>
  </w:style>
  <w:style w:type="paragraph" w:styleId="16">
    <w:name w:val="Balloon Text"/>
    <w:basedOn w:val="1"/>
    <w:link w:val="36"/>
    <w:semiHidden/>
    <w:qFormat/>
    <w:uiPriority w:val="0"/>
    <w:rPr>
      <w:kern w:val="0"/>
      <w:sz w:val="18"/>
      <w:szCs w:val="20"/>
    </w:rPr>
  </w:style>
  <w:style w:type="paragraph" w:styleId="17">
    <w:name w:val="footer"/>
    <w:basedOn w:val="1"/>
    <w:link w:val="37"/>
    <w:qFormat/>
    <w:uiPriority w:val="99"/>
    <w:pPr>
      <w:tabs>
        <w:tab w:val="center" w:pos="4153"/>
        <w:tab w:val="right" w:pos="8306"/>
      </w:tabs>
      <w:snapToGrid w:val="0"/>
      <w:jc w:val="left"/>
    </w:pPr>
    <w:rPr>
      <w:kern w:val="0"/>
      <w:sz w:val="18"/>
      <w:szCs w:val="20"/>
    </w:rPr>
  </w:style>
  <w:style w:type="paragraph" w:styleId="18">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semiHidden/>
    <w:qFormat/>
    <w:locked/>
    <w:uiPriority w:val="0"/>
    <w:pPr>
      <w:spacing w:before="120" w:after="120"/>
      <w:jc w:val="left"/>
    </w:pPr>
    <w:rPr>
      <w:b/>
      <w:bCs/>
      <w:caps/>
      <w:sz w:val="20"/>
    </w:rPr>
  </w:style>
  <w:style w:type="paragraph" w:styleId="20">
    <w:name w:val="table of figures"/>
    <w:basedOn w:val="1"/>
    <w:next w:val="1"/>
    <w:qFormat/>
    <w:locked/>
    <w:uiPriority w:val="0"/>
    <w:pPr>
      <w:spacing w:beforeLines="50" w:afterLines="50" w:line="500" w:lineRule="exact"/>
      <w:jc w:val="center"/>
    </w:pPr>
    <w:rPr>
      <w:rFonts w:ascii="仿宋_GB2312" w:eastAsia="仿宋_GB2312" w:cs="仿宋_GB2312"/>
      <w:sz w:val="28"/>
      <w:szCs w:val="28"/>
    </w:rPr>
  </w:style>
  <w:style w:type="paragraph" w:styleId="21">
    <w:name w:val="Body Text 2"/>
    <w:basedOn w:val="1"/>
    <w:link w:val="85"/>
    <w:qFormat/>
    <w:locked/>
    <w:uiPriority w:val="0"/>
    <w:pPr>
      <w:spacing w:after="120" w:line="480" w:lineRule="auto"/>
    </w:pPr>
  </w:style>
  <w:style w:type="paragraph" w:styleId="22">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3">
    <w:name w:val="Normal (Web)"/>
    <w:basedOn w:val="1"/>
    <w:link w:val="39"/>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40"/>
    <w:semiHidden/>
    <w:qFormat/>
    <w:uiPriority w:val="0"/>
    <w:rPr>
      <w:b/>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locked/>
    <w:uiPriority w:val="0"/>
  </w:style>
  <w:style w:type="character" w:styleId="29">
    <w:name w:val="Hyperlink"/>
    <w:basedOn w:val="27"/>
    <w:unhideWhenUsed/>
    <w:qFormat/>
    <w:locked/>
    <w:uiPriority w:val="99"/>
    <w:rPr>
      <w:color w:val="0000FF"/>
      <w:u w:val="single"/>
    </w:rPr>
  </w:style>
  <w:style w:type="character" w:styleId="30">
    <w:name w:val="annotation reference"/>
    <w:semiHidden/>
    <w:qFormat/>
    <w:uiPriority w:val="0"/>
    <w:rPr>
      <w:sz w:val="21"/>
    </w:rPr>
  </w:style>
  <w:style w:type="character" w:customStyle="1" w:styleId="31">
    <w:name w:val="批注文字 字符"/>
    <w:link w:val="10"/>
    <w:qFormat/>
    <w:locked/>
    <w:uiPriority w:val="0"/>
    <w:rPr>
      <w:rFonts w:ascii="Times New Roman" w:hAnsi="Times New Roman" w:eastAsia="宋体"/>
      <w:sz w:val="24"/>
    </w:rPr>
  </w:style>
  <w:style w:type="character" w:customStyle="1" w:styleId="32">
    <w:name w:val="正文文本 字符"/>
    <w:link w:val="11"/>
    <w:qFormat/>
    <w:locked/>
    <w:uiPriority w:val="0"/>
    <w:rPr>
      <w:sz w:val="18"/>
    </w:rPr>
  </w:style>
  <w:style w:type="paragraph" w:customStyle="1" w:styleId="33">
    <w:name w:val="Char1"/>
    <w:basedOn w:val="1"/>
    <w:qFormat/>
    <w:uiPriority w:val="0"/>
  </w:style>
  <w:style w:type="character" w:customStyle="1" w:styleId="34">
    <w:name w:val="正文文本缩进 字符"/>
    <w:link w:val="3"/>
    <w:semiHidden/>
    <w:qFormat/>
    <w:locked/>
    <w:uiPriority w:val="99"/>
    <w:rPr>
      <w:rFonts w:ascii="Times New Roman" w:hAnsi="Times New Roman" w:eastAsia="宋体"/>
      <w:sz w:val="24"/>
    </w:rPr>
  </w:style>
  <w:style w:type="character" w:customStyle="1" w:styleId="35">
    <w:name w:val="日期 字符1"/>
    <w:link w:val="14"/>
    <w:qFormat/>
    <w:locked/>
    <w:uiPriority w:val="0"/>
    <w:rPr>
      <w:rFonts w:ascii="Times New Roman" w:hAnsi="Times New Roman" w:eastAsia="宋体"/>
      <w:sz w:val="24"/>
    </w:rPr>
  </w:style>
  <w:style w:type="character" w:customStyle="1" w:styleId="36">
    <w:name w:val="批注框文本 字符"/>
    <w:link w:val="16"/>
    <w:semiHidden/>
    <w:qFormat/>
    <w:locked/>
    <w:uiPriority w:val="0"/>
    <w:rPr>
      <w:rFonts w:ascii="Times New Roman" w:hAnsi="Times New Roman" w:eastAsia="宋体"/>
      <w:sz w:val="18"/>
    </w:rPr>
  </w:style>
  <w:style w:type="character" w:customStyle="1" w:styleId="37">
    <w:name w:val="页脚 字符1"/>
    <w:link w:val="17"/>
    <w:qFormat/>
    <w:locked/>
    <w:uiPriority w:val="99"/>
    <w:rPr>
      <w:sz w:val="18"/>
    </w:rPr>
  </w:style>
  <w:style w:type="character" w:customStyle="1" w:styleId="38">
    <w:name w:val="页眉 字符"/>
    <w:link w:val="18"/>
    <w:qFormat/>
    <w:locked/>
    <w:uiPriority w:val="0"/>
    <w:rPr>
      <w:sz w:val="18"/>
    </w:rPr>
  </w:style>
  <w:style w:type="character" w:customStyle="1" w:styleId="39">
    <w:name w:val="普通(网站) 字符"/>
    <w:link w:val="23"/>
    <w:qFormat/>
    <w:locked/>
    <w:uiPriority w:val="0"/>
    <w:rPr>
      <w:rFonts w:ascii="宋体" w:hAnsi="宋体" w:eastAsia="宋体"/>
      <w:sz w:val="24"/>
    </w:rPr>
  </w:style>
  <w:style w:type="character" w:customStyle="1" w:styleId="40">
    <w:name w:val="批注主题 字符"/>
    <w:link w:val="24"/>
    <w:semiHidden/>
    <w:qFormat/>
    <w:locked/>
    <w:uiPriority w:val="0"/>
    <w:rPr>
      <w:rFonts w:ascii="Times New Roman" w:hAnsi="Times New Roman" w:eastAsia="宋体"/>
      <w:b/>
      <w:kern w:val="2"/>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font71"/>
    <w:qFormat/>
    <w:uiPriority w:val="0"/>
    <w:rPr>
      <w:rFonts w:hint="eastAsia" w:ascii="宋体" w:hAnsi="宋体" w:eastAsia="宋体" w:cs="宋体"/>
      <w:color w:val="000000"/>
      <w:sz w:val="21"/>
      <w:szCs w:val="21"/>
      <w:u w:val="none"/>
    </w:rPr>
  </w:style>
  <w:style w:type="character" w:customStyle="1" w:styleId="43">
    <w:name w:val="页脚 字符"/>
    <w:qFormat/>
    <w:uiPriority w:val="99"/>
  </w:style>
  <w:style w:type="character" w:customStyle="1" w:styleId="44">
    <w:name w:val="font61"/>
    <w:qFormat/>
    <w:uiPriority w:val="0"/>
    <w:rPr>
      <w:rFonts w:hint="default" w:ascii="Times New Roman" w:hAnsi="Times New Roman" w:cs="Times New Roman"/>
      <w:color w:val="000000"/>
      <w:sz w:val="21"/>
      <w:szCs w:val="21"/>
      <w:u w:val="none"/>
      <w:vertAlign w:val="subscript"/>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font11"/>
    <w:qFormat/>
    <w:uiPriority w:val="0"/>
    <w:rPr>
      <w:rFonts w:hint="default" w:ascii="Times New Roman" w:hAnsi="Times New Roman" w:cs="Times New Roman"/>
      <w:b/>
      <w:bCs/>
      <w:color w:val="000000"/>
      <w:sz w:val="21"/>
      <w:szCs w:val="21"/>
      <w:u w:val="none"/>
    </w:rPr>
  </w:style>
  <w:style w:type="character" w:customStyle="1" w:styleId="48">
    <w:name w:val="font21"/>
    <w:qFormat/>
    <w:uiPriority w:val="0"/>
    <w:rPr>
      <w:rFonts w:hint="eastAsia" w:ascii="宋体" w:hAnsi="宋体" w:eastAsia="宋体" w:cs="宋体"/>
      <w:b/>
      <w:bCs/>
      <w:color w:val="000000"/>
      <w:sz w:val="21"/>
      <w:szCs w:val="21"/>
      <w:u w:val="none"/>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标题222"/>
    <w:qFormat/>
    <w:uiPriority w:val="0"/>
    <w:rPr>
      <w:rFonts w:ascii="宋体" w:hAnsi="宋体" w:cs="宋体"/>
      <w:spacing w:val="-4"/>
      <w:sz w:val="24"/>
      <w:szCs w:val="24"/>
    </w:rPr>
  </w:style>
  <w:style w:type="character" w:customStyle="1" w:styleId="52">
    <w:name w:val="font41"/>
    <w:qFormat/>
    <w:uiPriority w:val="0"/>
    <w:rPr>
      <w:rFonts w:hint="default" w:ascii="Times New Roman" w:hAnsi="Times New Roman" w:cs="Times New Roman"/>
      <w:color w:val="000000"/>
      <w:sz w:val="21"/>
      <w:szCs w:val="21"/>
      <w:u w:val="none"/>
    </w:rPr>
  </w:style>
  <w:style w:type="paragraph" w:customStyle="1" w:styleId="53">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54">
    <w:name w:val="Bullet_Indent"/>
    <w:basedOn w:val="1"/>
    <w:qFormat/>
    <w:uiPriority w:val="99"/>
    <w:pPr>
      <w:widowControl/>
      <w:adjustRightInd w:val="0"/>
      <w:snapToGrid w:val="0"/>
      <w:spacing w:after="240" w:line="360" w:lineRule="auto"/>
      <w:ind w:left="1440" w:hanging="720"/>
      <w:jc w:val="left"/>
    </w:pPr>
    <w:rPr>
      <w:rFonts w:ascii="宋体" w:hAnsi="宋体" w:cs="宋体"/>
      <w:kern w:val="0"/>
      <w:sz w:val="24"/>
      <w:szCs w:val="20"/>
    </w:rPr>
  </w:style>
  <w:style w:type="paragraph" w:customStyle="1" w:styleId="55">
    <w:name w:val="表文字"/>
    <w:basedOn w:val="1"/>
    <w:next w:val="1"/>
    <w:qFormat/>
    <w:uiPriority w:val="0"/>
    <w:pPr>
      <w:topLinePunct/>
      <w:jc w:val="center"/>
    </w:pPr>
    <w:rPr>
      <w:szCs w:val="21"/>
    </w:rPr>
  </w:style>
  <w:style w:type="paragraph" w:customStyle="1" w:styleId="56">
    <w:name w:val="样式 四号 左侧:  1.53 厘米"/>
    <w:basedOn w:val="1"/>
    <w:qFormat/>
    <w:uiPriority w:val="0"/>
    <w:pPr>
      <w:adjustRightInd w:val="0"/>
    </w:pPr>
    <w:rPr>
      <w:w w:val="90"/>
      <w:sz w:val="28"/>
      <w:szCs w:val="28"/>
    </w:rPr>
  </w:style>
  <w:style w:type="paragraph" w:customStyle="1" w:styleId="5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58">
    <w:name w:val="标题2222222222"/>
    <w:basedOn w:val="19"/>
    <w:qFormat/>
    <w:uiPriority w:val="0"/>
    <w:pPr>
      <w:tabs>
        <w:tab w:val="right" w:leader="dot" w:pos="8722"/>
      </w:tabs>
      <w:spacing w:beforeLines="50" w:afterLines="50" w:line="360" w:lineRule="auto"/>
    </w:pPr>
    <w:rPr>
      <w:sz w:val="24"/>
    </w:rPr>
  </w:style>
  <w:style w:type="paragraph" w:customStyle="1" w:styleId="59">
    <w:name w:val="Default"/>
    <w:basedOn w:val="57"/>
    <w:qFormat/>
    <w:uiPriority w:val="0"/>
    <w:pPr>
      <w:widowControl w:val="0"/>
      <w:autoSpaceDE w:val="0"/>
      <w:autoSpaceDN w:val="0"/>
      <w:adjustRightInd w:val="0"/>
    </w:pPr>
    <w:rPr>
      <w:rFonts w:ascii="MHei-Medium" w:eastAsia="MHei-Medium"/>
    </w:rPr>
  </w:style>
  <w:style w:type="paragraph" w:customStyle="1" w:styleId="60">
    <w:name w:val="二级无标题条"/>
    <w:basedOn w:val="1"/>
    <w:qFormat/>
    <w:uiPriority w:val="0"/>
  </w:style>
  <w:style w:type="paragraph" w:customStyle="1" w:styleId="61">
    <w:name w:val="表格标题"/>
    <w:basedOn w:val="62"/>
    <w:next w:val="1"/>
    <w:qFormat/>
    <w:uiPriority w:val="0"/>
    <w:pPr>
      <w:snapToGrid w:val="0"/>
      <w:spacing w:line="276" w:lineRule="auto"/>
      <w:ind w:firstLine="0"/>
      <w:jc w:val="center"/>
      <w:textAlignment w:val="baseline"/>
    </w:pPr>
    <w:rPr>
      <w:rFonts w:ascii="Times New Roman" w:hAnsi="Times New Roman"/>
      <w:b/>
      <w:bCs w:val="0"/>
    </w:rPr>
  </w:style>
  <w:style w:type="paragraph" w:customStyle="1" w:styleId="62">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3">
    <w:name w:val="1标题3级"/>
    <w:basedOn w:val="1"/>
    <w:qFormat/>
    <w:uiPriority w:val="0"/>
    <w:pPr>
      <w:snapToGrid w:val="0"/>
      <w:spacing w:line="360" w:lineRule="auto"/>
    </w:pPr>
    <w:rPr>
      <w:rFonts w:eastAsia="仿宋_GB2312"/>
      <w:sz w:val="28"/>
      <w:szCs w:val="20"/>
    </w:rPr>
  </w:style>
  <w:style w:type="paragraph" w:customStyle="1" w:styleId="64">
    <w:name w:val="表格文字"/>
    <w:next w:val="1"/>
    <w:link w:val="77"/>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报告表格"/>
    <w:basedOn w:val="1"/>
    <w:qFormat/>
    <w:uiPriority w:val="0"/>
    <w:pPr>
      <w:autoSpaceDE w:val="0"/>
      <w:autoSpaceDN w:val="0"/>
      <w:adjustRightInd w:val="0"/>
      <w:spacing w:before="40" w:after="40"/>
      <w:jc w:val="center"/>
      <w:textAlignment w:val="bottom"/>
    </w:pPr>
    <w:rPr>
      <w:kern w:val="0"/>
    </w:rPr>
  </w:style>
  <w:style w:type="paragraph" w:customStyle="1" w:styleId="67">
    <w:name w:val="——大纲报告书表格标题"/>
    <w:basedOn w:val="1"/>
    <w:qFormat/>
    <w:uiPriority w:val="0"/>
    <w:pPr>
      <w:tabs>
        <w:tab w:val="left" w:pos="0"/>
        <w:tab w:val="left" w:pos="785"/>
      </w:tabs>
      <w:jc w:val="center"/>
      <w:outlineLvl w:val="8"/>
    </w:pPr>
    <w:rPr>
      <w:b/>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样式2"/>
    <w:basedOn w:val="1"/>
    <w:qFormat/>
    <w:uiPriority w:val="0"/>
  </w:style>
  <w:style w:type="paragraph" w:customStyle="1" w:styleId="7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1">
    <w:name w:val="样式 样式 样式 四号 左侧:  1.53 厘米 + 首行缩进:  2 字符 + 居中 左侧:  2 字符 首行缩进:  2..."/>
    <w:basedOn w:val="72"/>
    <w:qFormat/>
    <w:uiPriority w:val="0"/>
    <w:pPr>
      <w:jc w:val="center"/>
    </w:pPr>
  </w:style>
  <w:style w:type="paragraph" w:customStyle="1" w:styleId="72">
    <w:name w:val="样式 样式 四号 左侧:  1.53 厘米 + 首行缩进:  2 字符"/>
    <w:basedOn w:val="56"/>
    <w:qFormat/>
    <w:uiPriority w:val="0"/>
    <w:pPr>
      <w:ind w:left="200" w:leftChars="200"/>
    </w:pPr>
    <w:rPr>
      <w:szCs w:val="20"/>
    </w:rPr>
  </w:style>
  <w:style w:type="paragraph" w:customStyle="1" w:styleId="73">
    <w:name w:val="Normal_19"/>
    <w:qFormat/>
    <w:uiPriority w:val="0"/>
    <w:pPr>
      <w:spacing w:before="120" w:after="240"/>
      <w:jc w:val="both"/>
    </w:pPr>
    <w:rPr>
      <w:rFonts w:ascii="Calibri" w:hAnsi="Calibri" w:eastAsia="Calibri" w:cs="Times New Roman"/>
      <w:sz w:val="22"/>
      <w:szCs w:val="22"/>
      <w:lang w:val="ru-RU" w:eastAsia="en-US" w:bidi="ar-SA"/>
    </w:rPr>
  </w:style>
  <w:style w:type="paragraph" w:customStyle="1" w:styleId="74">
    <w:name w:val="表1 五号"/>
    <w:basedOn w:val="1"/>
    <w:qFormat/>
    <w:uiPriority w:val="0"/>
    <w:pPr>
      <w:adjustRightInd w:val="0"/>
      <w:snapToGrid w:val="0"/>
      <w:jc w:val="center"/>
    </w:pPr>
    <w:rPr>
      <w:szCs w:val="21"/>
    </w:rPr>
  </w:style>
  <w:style w:type="paragraph" w:customStyle="1" w:styleId="75">
    <w:name w:val="Table Paragraph"/>
    <w:basedOn w:val="1"/>
    <w:qFormat/>
    <w:uiPriority w:val="1"/>
    <w:pPr>
      <w:jc w:val="left"/>
    </w:pPr>
    <w:rPr>
      <w:rFonts w:ascii="Calibri" w:hAnsi="Calibri"/>
      <w:kern w:val="0"/>
      <w:sz w:val="22"/>
      <w:szCs w:val="22"/>
      <w:lang w:eastAsia="en-US"/>
    </w:rPr>
  </w:style>
  <w:style w:type="table" w:customStyle="1" w:styleId="76">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77">
    <w:name w:val="表格文字 Char4"/>
    <w:link w:val="64"/>
    <w:qFormat/>
    <w:locked/>
    <w:uiPriority w:val="0"/>
    <w:rPr>
      <w:rFonts w:ascii="Calibri" w:hAnsi="Calibri"/>
      <w:sz w:val="21"/>
      <w:szCs w:val="21"/>
    </w:rPr>
  </w:style>
  <w:style w:type="paragraph" w:styleId="78">
    <w:name w:val="List Paragraph"/>
    <w:basedOn w:val="1"/>
    <w:qFormat/>
    <w:uiPriority w:val="99"/>
    <w:pPr>
      <w:ind w:firstLine="420" w:firstLineChars="200"/>
    </w:pPr>
  </w:style>
  <w:style w:type="paragraph" w:customStyle="1" w:styleId="79">
    <w:name w:val="表内字"/>
    <w:qFormat/>
    <w:uiPriority w:val="0"/>
    <w:pPr>
      <w:jc w:val="center"/>
    </w:pPr>
    <w:rPr>
      <w:rFonts w:ascii="Calibri" w:hAnsi="Calibri" w:eastAsia="宋体" w:cs="Times New Roman"/>
      <w:sz w:val="21"/>
      <w:szCs w:val="21"/>
      <w:lang w:val="en-US" w:eastAsia="zh-CN" w:bidi="ar-SA"/>
    </w:rPr>
  </w:style>
  <w:style w:type="paragraph" w:customStyle="1" w:styleId="80">
    <w:name w:val="表内文字加粗"/>
    <w:qFormat/>
    <w:uiPriority w:val="0"/>
    <w:pPr>
      <w:autoSpaceDE w:val="0"/>
      <w:autoSpaceDN w:val="0"/>
      <w:adjustRightInd w:val="0"/>
      <w:jc w:val="center"/>
      <w:textAlignment w:val="bottom"/>
    </w:pPr>
    <w:rPr>
      <w:rFonts w:ascii="Calibri" w:hAnsi="Calibri" w:eastAsia="宋体" w:cs="Times New Roman"/>
      <w:b/>
      <w:sz w:val="21"/>
      <w:lang w:val="en-US" w:eastAsia="zh-CN" w:bidi="ar-SA"/>
    </w:rPr>
  </w:style>
  <w:style w:type="paragraph" w:customStyle="1" w:styleId="81">
    <w:name w:val="图例表例"/>
    <w:basedOn w:val="1"/>
    <w:next w:val="1"/>
    <w:qFormat/>
    <w:uiPriority w:val="0"/>
    <w:pPr>
      <w:jc w:val="center"/>
    </w:pPr>
    <w:rPr>
      <w:rFonts w:ascii="Calibri" w:hAnsi="Calibri"/>
      <w:b/>
      <w:sz w:val="24"/>
      <w:szCs w:val="21"/>
    </w:rPr>
  </w:style>
  <w:style w:type="character" w:styleId="82">
    <w:name w:val="Placeholder Text"/>
    <w:basedOn w:val="27"/>
    <w:unhideWhenUsed/>
    <w:qFormat/>
    <w:uiPriority w:val="99"/>
    <w:rPr>
      <w:color w:val="808080"/>
    </w:rPr>
  </w:style>
  <w:style w:type="paragraph" w:customStyle="1" w:styleId="83">
    <w:name w:val="样式 小四 加粗 行距: 1.5 倍行距"/>
    <w:basedOn w:val="1"/>
    <w:qFormat/>
    <w:uiPriority w:val="0"/>
    <w:pPr>
      <w:spacing w:line="360" w:lineRule="auto"/>
      <w:ind w:firstLine="482" w:firstLineChars="200"/>
    </w:pPr>
    <w:rPr>
      <w:rFonts w:ascii="Calibri" w:hAnsi="Calibri" w:cs="宋体"/>
      <w:b/>
      <w:bCs/>
      <w:sz w:val="24"/>
      <w:szCs w:val="20"/>
    </w:rPr>
  </w:style>
  <w:style w:type="paragraph" w:customStyle="1" w:styleId="84">
    <w:name w:val="1表格"/>
    <w:basedOn w:val="21"/>
    <w:qFormat/>
    <w:uiPriority w:val="0"/>
    <w:pPr>
      <w:snapToGrid w:val="0"/>
      <w:spacing w:after="0" w:line="240" w:lineRule="auto"/>
      <w:jc w:val="center"/>
    </w:pPr>
    <w:rPr>
      <w:color w:val="000000"/>
      <w:szCs w:val="21"/>
    </w:rPr>
  </w:style>
  <w:style w:type="character" w:customStyle="1" w:styleId="85">
    <w:name w:val="正文文本 2 字符"/>
    <w:basedOn w:val="27"/>
    <w:link w:val="21"/>
    <w:qFormat/>
    <w:uiPriority w:val="0"/>
    <w:rPr>
      <w:rFonts w:ascii="Times New Roman" w:hAnsi="Times New Roman"/>
      <w:kern w:val="2"/>
      <w:sz w:val="21"/>
      <w:szCs w:val="24"/>
    </w:rPr>
  </w:style>
  <w:style w:type="character" w:customStyle="1" w:styleId="86">
    <w:name w:val="1正文文本 Char"/>
    <w:link w:val="87"/>
    <w:qFormat/>
    <w:uiPriority w:val="0"/>
    <w:rPr>
      <w:rFonts w:hAnsi="宋体"/>
      <w:sz w:val="21"/>
      <w:szCs w:val="24"/>
    </w:rPr>
  </w:style>
  <w:style w:type="paragraph" w:customStyle="1" w:styleId="87">
    <w:name w:val="1正文文本"/>
    <w:basedOn w:val="1"/>
    <w:link w:val="86"/>
    <w:qFormat/>
    <w:uiPriority w:val="0"/>
    <w:pPr>
      <w:autoSpaceDE w:val="0"/>
      <w:autoSpaceDN w:val="0"/>
      <w:adjustRightInd w:val="0"/>
      <w:spacing w:line="480" w:lineRule="exact"/>
      <w:ind w:firstLine="200" w:firstLineChars="200"/>
    </w:pPr>
    <w:rPr>
      <w:rFonts w:ascii="Calibri" w:hAnsi="宋体"/>
      <w:kern w:val="0"/>
    </w:rPr>
  </w:style>
  <w:style w:type="character" w:customStyle="1" w:styleId="88">
    <w:name w:val="标题 2 字符"/>
    <w:basedOn w:val="27"/>
    <w:link w:val="5"/>
    <w:semiHidden/>
    <w:qFormat/>
    <w:uiPriority w:val="0"/>
    <w:rPr>
      <w:rFonts w:asciiTheme="majorHAnsi" w:hAnsiTheme="majorHAnsi" w:eastAsiaTheme="majorEastAsia" w:cstheme="majorBidi"/>
      <w:b/>
      <w:bCs/>
      <w:kern w:val="2"/>
      <w:sz w:val="32"/>
      <w:szCs w:val="32"/>
    </w:rPr>
  </w:style>
  <w:style w:type="character" w:customStyle="1" w:styleId="89">
    <w:name w:val="正文文本首行缩进 2 字符"/>
    <w:basedOn w:val="34"/>
    <w:link w:val="2"/>
    <w:qFormat/>
    <w:uiPriority w:val="99"/>
    <w:rPr>
      <w:rFonts w:ascii="Times New Roman" w:hAnsi="Times New Roman" w:eastAsia="宋体"/>
      <w:sz w:val="21"/>
      <w:szCs w:val="24"/>
    </w:rPr>
  </w:style>
  <w:style w:type="paragraph" w:customStyle="1" w:styleId="90">
    <w:name w:val="y正文"/>
    <w:qFormat/>
    <w:uiPriority w:val="0"/>
    <w:pPr>
      <w:spacing w:line="360" w:lineRule="auto"/>
      <w:ind w:firstLine="480" w:firstLineChars="200"/>
      <w:jc w:val="both"/>
    </w:pPr>
    <w:rPr>
      <w:rFonts w:ascii="Times New Roman" w:hAnsi="Times New Roman" w:eastAsia="宋体" w:cs="Times New Roman"/>
      <w:kern w:val="2"/>
      <w:sz w:val="24"/>
      <w:szCs w:val="21"/>
      <w:lang w:val="en-US" w:eastAsia="zh-CN" w:bidi="ar-SA"/>
    </w:rPr>
  </w:style>
  <w:style w:type="paragraph" w:styleId="91">
    <w:name w:val="No Spacing"/>
    <w:qFormat/>
    <w:uiPriority w:val="1"/>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92">
    <w:name w:val="表格文字zh"/>
    <w:basedOn w:val="13"/>
    <w:qFormat/>
    <w:uiPriority w:val="0"/>
    <w:pPr>
      <w:adjustRightInd w:val="0"/>
      <w:snapToGrid w:val="0"/>
      <w:jc w:val="center"/>
    </w:pPr>
    <w:rPr>
      <w:rFonts w:ascii="Times New Roman" w:hAnsi="Times New Roman" w:eastAsia="Times New Roman" w:cs="Times New Roman"/>
      <w:color w:val="000000"/>
    </w:rPr>
  </w:style>
  <w:style w:type="paragraph" w:customStyle="1" w:styleId="93">
    <w:name w:val="图表标题"/>
    <w:next w:val="1"/>
    <w:qFormat/>
    <w:uiPriority w:val="0"/>
    <w:pPr>
      <w:keepLines/>
      <w:widowControl w:val="0"/>
      <w:spacing w:beforeLines="20" w:afterLines="20" w:line="360" w:lineRule="auto"/>
      <w:jc w:val="center"/>
    </w:pPr>
    <w:rPr>
      <w:rFonts w:ascii="Times New Roman" w:hAnsi="Times New Roman" w:eastAsia="宋体" w:cs="Times New Roman"/>
      <w:b/>
      <w:kern w:val="2"/>
      <w:sz w:val="24"/>
      <w:szCs w:val="22"/>
      <w:lang w:val="en-US" w:eastAsia="zh-CN" w:bidi="ar-SA"/>
    </w:rPr>
  </w:style>
  <w:style w:type="paragraph" w:customStyle="1" w:styleId="94">
    <w:name w:val="表格样式"/>
    <w:basedOn w:val="1"/>
    <w:link w:val="95"/>
    <w:qFormat/>
    <w:uiPriority w:val="0"/>
    <w:pPr>
      <w:spacing w:before="60" w:after="60" w:line="240" w:lineRule="atLeast"/>
      <w:jc w:val="center"/>
    </w:pPr>
    <w:rPr>
      <w:szCs w:val="20"/>
    </w:rPr>
  </w:style>
  <w:style w:type="character" w:customStyle="1" w:styleId="95">
    <w:name w:val="表格样式 Char"/>
    <w:basedOn w:val="27"/>
    <w:link w:val="94"/>
    <w:qFormat/>
    <w:uiPriority w:val="0"/>
    <w:rPr>
      <w:rFonts w:ascii="Times New Roman" w:hAnsi="Times New Roman"/>
      <w:kern w:val="2"/>
      <w:sz w:val="21"/>
    </w:rPr>
  </w:style>
  <w:style w:type="paragraph" w:customStyle="1" w:styleId="96">
    <w:name w:val="正文（标准）"/>
    <w:basedOn w:val="1"/>
    <w:qFormat/>
    <w:uiPriority w:val="0"/>
    <w:pPr>
      <w:adjustRightInd w:val="0"/>
      <w:spacing w:line="360" w:lineRule="auto"/>
      <w:ind w:firstLine="200" w:firstLineChars="200"/>
    </w:pPr>
    <w:rPr>
      <w:sz w:val="24"/>
      <w:szCs w:val="30"/>
    </w:rPr>
  </w:style>
  <w:style w:type="character" w:customStyle="1" w:styleId="97">
    <w:name w:val="标题 3 字符"/>
    <w:basedOn w:val="27"/>
    <w:link w:val="6"/>
    <w:semiHidden/>
    <w:qFormat/>
    <w:uiPriority w:val="0"/>
    <w:rPr>
      <w:rFonts w:ascii="Times New Roman" w:hAnsi="Times New Roman"/>
      <w:b/>
      <w:bCs/>
      <w:kern w:val="2"/>
      <w:sz w:val="32"/>
      <w:szCs w:val="32"/>
    </w:rPr>
  </w:style>
  <w:style w:type="paragraph" w:customStyle="1" w:styleId="9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00">
    <w:name w:val="正文文本 Char"/>
    <w:qFormat/>
    <w:locked/>
    <w:uiPriority w:val="0"/>
    <w:rPr>
      <w:sz w:val="18"/>
      <w:lang w:val="zh-CN" w:eastAsia="zh-CN"/>
    </w:rPr>
  </w:style>
  <w:style w:type="character" w:customStyle="1" w:styleId="101">
    <w:name w:val="标题 4 字符"/>
    <w:basedOn w:val="27"/>
    <w:link w:val="7"/>
    <w:qFormat/>
    <w:uiPriority w:val="0"/>
    <w:rPr>
      <w:rFonts w:ascii="宋体" w:hAnsi="宋体" w:cs="宋体"/>
      <w:b/>
      <w:bCs/>
      <w:sz w:val="24"/>
      <w:szCs w:val="24"/>
    </w:rPr>
  </w:style>
  <w:style w:type="character" w:customStyle="1" w:styleId="102">
    <w:name w:val="A表格 字符"/>
    <w:link w:val="103"/>
    <w:qFormat/>
    <w:uiPriority w:val="0"/>
    <w:rPr>
      <w:color w:val="000000" w:themeColor="text1"/>
      <w:szCs w:val="21"/>
      <w:lang w:val="zh-CN"/>
      <w14:textFill>
        <w14:solidFill>
          <w14:schemeClr w14:val="tx1"/>
        </w14:solidFill>
      </w14:textFill>
    </w:rPr>
  </w:style>
  <w:style w:type="paragraph" w:customStyle="1" w:styleId="103">
    <w:name w:val="A表格"/>
    <w:basedOn w:val="1"/>
    <w:link w:val="102"/>
    <w:qFormat/>
    <w:uiPriority w:val="0"/>
    <w:pPr>
      <w:jc w:val="center"/>
    </w:pPr>
    <w:rPr>
      <w:rFonts w:ascii="Calibri" w:hAnsi="Calibri"/>
      <w:color w:val="000000" w:themeColor="text1"/>
      <w:kern w:val="0"/>
      <w:sz w:val="20"/>
      <w:szCs w:val="21"/>
      <w:lang w:val="zh-CN"/>
      <w14:textFill>
        <w14:solidFill>
          <w14:schemeClr w14:val="tx1"/>
        </w14:solidFill>
      </w14:textFill>
    </w:rPr>
  </w:style>
  <w:style w:type="paragraph" w:customStyle="1" w:styleId="104">
    <w:name w:val="正文2"/>
    <w:next w:val="1"/>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105">
    <w:name w:val="正文文本缩进 2 字符"/>
    <w:basedOn w:val="27"/>
    <w:link w:val="15"/>
    <w:qFormat/>
    <w:uiPriority w:val="0"/>
    <w:rPr>
      <w:rFonts w:ascii="宋体" w:hAnsi="Times New Roman"/>
      <w:kern w:val="2"/>
      <w:sz w:val="24"/>
      <w:szCs w:val="24"/>
    </w:rPr>
  </w:style>
  <w:style w:type="paragraph" w:customStyle="1" w:styleId="106">
    <w:name w:val="书正文"/>
    <w:basedOn w:val="1"/>
    <w:link w:val="107"/>
    <w:qFormat/>
    <w:uiPriority w:val="0"/>
    <w:pPr>
      <w:spacing w:line="360" w:lineRule="auto"/>
      <w:ind w:firstLine="480" w:firstLineChars="200"/>
    </w:pPr>
    <w:rPr>
      <w:color w:val="000000"/>
      <w:kern w:val="0"/>
      <w:sz w:val="24"/>
    </w:rPr>
  </w:style>
  <w:style w:type="character" w:customStyle="1" w:styleId="107">
    <w:name w:val="书正文 字符"/>
    <w:basedOn w:val="27"/>
    <w:link w:val="106"/>
    <w:qFormat/>
    <w:uiPriority w:val="0"/>
    <w:rPr>
      <w:rFonts w:ascii="Times New Roman" w:hAnsi="Times New Roman"/>
      <w:color w:val="000000"/>
      <w:sz w:val="24"/>
      <w:szCs w:val="24"/>
    </w:rPr>
  </w:style>
  <w:style w:type="paragraph" w:customStyle="1" w:styleId="108">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09">
    <w:name w:val="cf01"/>
    <w:basedOn w:val="27"/>
    <w:qFormat/>
    <w:uiPriority w:val="0"/>
    <w:rPr>
      <w:rFonts w:hint="eastAsia" w:ascii="Microsoft YaHei UI" w:hAnsi="Microsoft YaHei UI" w:eastAsia="Microsoft YaHei UI"/>
      <w:sz w:val="18"/>
      <w:szCs w:val="18"/>
    </w:rPr>
  </w:style>
  <w:style w:type="character" w:customStyle="1" w:styleId="110">
    <w:name w:val="cf11"/>
    <w:basedOn w:val="27"/>
    <w:qFormat/>
    <w:uiPriority w:val="0"/>
    <w:rPr>
      <w:rFonts w:hint="eastAsia" w:ascii="Microsoft YaHei UI" w:hAnsi="Microsoft YaHei UI" w:eastAsia="Microsoft YaHei UI"/>
      <w:color w:val="222222"/>
      <w:sz w:val="18"/>
      <w:szCs w:val="18"/>
    </w:rPr>
  </w:style>
  <w:style w:type="character" w:customStyle="1" w:styleId="111">
    <w:name w:val="rpt_表项 Char"/>
    <w:link w:val="112"/>
    <w:qFormat/>
    <w:uiPriority w:val="0"/>
    <w:rPr>
      <w:rFonts w:cs="宋体"/>
      <w:kern w:val="2"/>
      <w:sz w:val="22"/>
    </w:rPr>
  </w:style>
  <w:style w:type="paragraph" w:customStyle="1" w:styleId="112">
    <w:name w:val="rpt_表项"/>
    <w:basedOn w:val="1"/>
    <w:link w:val="111"/>
    <w:qFormat/>
    <w:uiPriority w:val="0"/>
    <w:pPr>
      <w:spacing w:before="60" w:after="60"/>
      <w:jc w:val="center"/>
    </w:pPr>
    <w:rPr>
      <w:rFonts w:cs="宋体"/>
      <w:sz w:val="2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3.bin"/><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98</Pages>
  <Words>9525</Words>
  <Characters>54297</Characters>
  <Lines>452</Lines>
  <Paragraphs>127</Paragraphs>
  <TotalTime>7</TotalTime>
  <ScaleCrop>false</ScaleCrop>
  <LinksUpToDate>false</LinksUpToDate>
  <CharactersWithSpaces>63695</CharactersWithSpaces>
  <Application>WPS Office_11.8.2.1122_F1E327BC-269C-435d-A152-05C5408002CA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2023-12-07T16:34:00Z</dcterms:created>
  <dc:creator>lhj</dc:creator>
  <cp:lastModifiedBy>user</cp:lastModifiedBy>
  <cp:lastPrinted>2023-12-08T12:17:00Z</cp:lastPrinted>
  <dcterms:modified xsi:type="dcterms:W3CDTF">2024-01-26T16:53:00Z</dcterms:modified>
  <dc:title>附件2</dc:title>
  <cp:revision>1050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2052-11.8.2.1122</vt:lpwstr>
  </property>
  <property fmtid="{D5CDD505-2E9C-101B-9397-08002B2CF9AE}" pid="3" name="ICV">
    <vt:lpwstr>C1FD9510AB160550EC72B365EAB283CC</vt:lpwstr>
  </property>
</Properties>
</file>