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13</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keepNext w:val="0"/>
        <w:keepLines w:val="0"/>
        <w:pageBreakBefore w:val="0"/>
        <w:widowControl w:val="0"/>
        <w:kinsoku/>
        <w:wordWrap w:val="0"/>
        <w:overflowPunct w:val="0"/>
        <w:topLinePunct w:val="0"/>
        <w:autoSpaceDE/>
        <w:autoSpaceDN/>
        <w:bidi w:val="0"/>
        <w:adjustRightInd w:val="0"/>
        <w:snapToGrid w:val="0"/>
        <w:spacing w:line="560" w:lineRule="exact"/>
        <w:jc w:val="center"/>
        <w:textAlignment w:val="auto"/>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关于四川鸿乔再生资源利用有限公司再生资源综合利用升级改造项目环境影响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ascii="Times New Roman" w:hAnsi="Times New Roman" w:eastAsia="方正小标宋简体" w:cs="Times New Roman"/>
          <w:kern w:val="0"/>
          <w:sz w:val="44"/>
          <w:szCs w:val="44"/>
        </w:rPr>
        <w:t>报告表的批复</w:t>
      </w:r>
    </w:p>
    <w:p>
      <w:pPr>
        <w:pStyle w:val="9"/>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rPr>
      </w:pPr>
    </w:p>
    <w:p>
      <w:pPr>
        <w:keepNext w:val="0"/>
        <w:keepLines w:val="0"/>
        <w:pageBreakBefore w:val="0"/>
        <w:kinsoku/>
        <w:overflowPunct w:val="0"/>
        <w:topLinePunct/>
        <w:bidi w:val="0"/>
        <w:snapToGrid w:val="0"/>
        <w:spacing w:line="5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四川鸿乔再生资源利用有限公司：</w:t>
      </w:r>
    </w:p>
    <w:p>
      <w:pPr>
        <w:keepNext w:val="0"/>
        <w:keepLines w:val="0"/>
        <w:pageBreakBefore w:val="0"/>
        <w:widowControl/>
        <w:kinsoku/>
        <w:bidi w:val="0"/>
        <w:spacing w:line="52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你公司报送的《四川鸿乔再生资源利用有限公司再生资源综合利用升级改造项目环境影响报告表》（以下简称《报告表》）收悉。经研究，批复如下：</w:t>
      </w:r>
    </w:p>
    <w:p>
      <w:pPr>
        <w:keepNext w:val="0"/>
        <w:keepLines w:val="0"/>
        <w:pageBreakBefore w:val="0"/>
        <w:kinsoku/>
        <w:bidi w:val="0"/>
        <w:adjustRightIn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一、项目概况及总体意见</w:t>
      </w:r>
    </w:p>
    <w:p>
      <w:pPr>
        <w:keepNext w:val="0"/>
        <w:keepLines w:val="0"/>
        <w:pageBreakBefore w:val="0"/>
        <w:kinsoku/>
        <w:bidi w:val="0"/>
        <w:adjustRightIn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项目位于大英县蓬莱镇虎泉村8社，拟在公司现有</w:t>
      </w:r>
      <w:r>
        <w:rPr>
          <w:rFonts w:hint="eastAsia" w:ascii="Times New Roman" w:hAnsi="Times New Roman" w:eastAsia="仿宋_GB2312" w:cs="Times New Roman"/>
          <w:sz w:val="32"/>
          <w:szCs w:val="32"/>
        </w:rPr>
        <w:t>厂区</w:t>
      </w:r>
      <w:r>
        <w:rPr>
          <w:rFonts w:ascii="Times New Roman" w:hAnsi="Times New Roman" w:eastAsia="仿宋_GB2312" w:cs="Times New Roman"/>
          <w:sz w:val="32"/>
          <w:szCs w:val="32"/>
        </w:rPr>
        <w:t>空地搭建一个面积约660m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厂房，新增一条蒸压灰</w:t>
      </w:r>
      <w:r>
        <w:rPr>
          <w:rFonts w:hint="eastAsia" w:ascii="Times New Roman" w:hAnsi="Times New Roman" w:eastAsia="仿宋_GB2312" w:cs="Times New Roman"/>
          <w:sz w:val="32"/>
          <w:szCs w:val="32"/>
        </w:rPr>
        <w:t>砂</w:t>
      </w:r>
      <w:r>
        <w:rPr>
          <w:rFonts w:ascii="Times New Roman" w:hAnsi="Times New Roman" w:eastAsia="仿宋_GB2312" w:cs="Times New Roman"/>
          <w:sz w:val="32"/>
          <w:szCs w:val="32"/>
        </w:rPr>
        <w:t>砖生产线，</w:t>
      </w:r>
      <w:r>
        <w:rPr>
          <w:rFonts w:hint="eastAsia" w:ascii="Times New Roman" w:hAnsi="Times New Roman" w:eastAsia="仿宋_GB2312" w:cs="Times New Roman"/>
          <w:sz w:val="32"/>
          <w:szCs w:val="32"/>
        </w:rPr>
        <w:t>建成后形成年产</w:t>
      </w:r>
      <w:r>
        <w:rPr>
          <w:rFonts w:ascii="Times New Roman" w:hAnsi="Times New Roman" w:eastAsia="仿宋_GB2312" w:cs="Times New Roman"/>
          <w:sz w:val="32"/>
          <w:szCs w:val="32"/>
        </w:rPr>
        <w:t>蒸压灰砂砖4.4</w:t>
      </w:r>
      <w:r>
        <w:rPr>
          <w:rFonts w:hint="eastAsia" w:ascii="Times New Roman" w:hAnsi="Times New Roman" w:eastAsia="仿宋_GB2312" w:cs="Times New Roman"/>
          <w:sz w:val="32"/>
          <w:szCs w:val="32"/>
        </w:rPr>
        <w:t>万</w:t>
      </w:r>
      <w:r>
        <w:rPr>
          <w:rFonts w:ascii="Times New Roman" w:hAnsi="Times New Roman" w:eastAsia="仿宋_GB2312" w:cs="Times New Roman"/>
          <w:sz w:val="32"/>
          <w:szCs w:val="32"/>
        </w:rPr>
        <w:t>m³</w:t>
      </w:r>
      <w:r>
        <w:rPr>
          <w:rFonts w:hint="eastAsia" w:ascii="Times New Roman" w:hAnsi="Times New Roman" w:eastAsia="仿宋_GB2312" w:cs="Times New Roman"/>
          <w:sz w:val="32"/>
          <w:szCs w:val="32"/>
        </w:rPr>
        <w:t>的生产规模；</w:t>
      </w:r>
      <w:r>
        <w:rPr>
          <w:rFonts w:ascii="Times New Roman" w:hAnsi="Times New Roman" w:eastAsia="仿宋_GB2312" w:cs="Times New Roman"/>
          <w:sz w:val="32"/>
          <w:szCs w:val="32"/>
        </w:rPr>
        <w:t>同时将公司</w:t>
      </w:r>
      <w:r>
        <w:rPr>
          <w:rFonts w:hint="eastAsia" w:ascii="Times New Roman" w:hAnsi="Times New Roman" w:eastAsia="仿宋_GB2312" w:cs="Times New Roman"/>
          <w:sz w:val="32"/>
          <w:szCs w:val="32"/>
        </w:rPr>
        <w:t>原</w:t>
      </w:r>
      <w:r>
        <w:rPr>
          <w:rFonts w:ascii="Times New Roman" w:hAnsi="Times New Roman" w:eastAsia="仿宋_GB2312" w:cs="Times New Roman"/>
          <w:sz w:val="32"/>
          <w:szCs w:val="32"/>
        </w:rPr>
        <w:t>有蒸养砖生产线的</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生产规模由8万m³减少至3.6万m³</w:t>
      </w:r>
      <w:r>
        <w:rPr>
          <w:rFonts w:hint="eastAsia" w:ascii="Times New Roman" w:hAnsi="Times New Roman" w:eastAsia="仿宋_GB2312" w:cs="Times New Roman"/>
          <w:sz w:val="32"/>
          <w:szCs w:val="32"/>
        </w:rPr>
        <w:t>，并对该条生产线破碎等工序进行环保升级，将破碎机布置于密闭车间内，对易产尘点增设喷雾降尘设施。</w:t>
      </w:r>
      <w:r>
        <w:rPr>
          <w:rFonts w:ascii="Times New Roman" w:hAnsi="Times New Roman" w:eastAsia="仿宋_GB2312" w:cs="Times New Roman"/>
          <w:sz w:val="32"/>
          <w:szCs w:val="32"/>
        </w:rPr>
        <w:t>项目总投资1000万元，环保投资64万元。</w:t>
      </w:r>
    </w:p>
    <w:p>
      <w:pPr>
        <w:keepNext w:val="0"/>
        <w:keepLines w:val="0"/>
        <w:pageBreakBefore w:val="0"/>
        <w:kinsoku/>
        <w:bidi w:val="0"/>
        <w:adjustRightInd w:val="0"/>
        <w:spacing w:line="520" w:lineRule="exact"/>
        <w:ind w:firstLine="640" w:firstLineChars="200"/>
        <w:textAlignment w:val="auto"/>
        <w:rPr>
          <w:rFonts w:ascii="Times New Roman" w:hAnsi="Times New Roman" w:eastAsia="仿宋_GB2312" w:cs="Times New Roman"/>
          <w:sz w:val="32"/>
          <w:szCs w:val="32"/>
        </w:rPr>
        <w:sectPr>
          <w:footerReference r:id="rId3"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项目经大英县发展和改革局登记备案（川投资备【2401-510923-07-02-846811】JXQB-000</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号</w:t>
      </w:r>
      <w:r>
        <w:rPr>
          <w:rFonts w:ascii="Times New Roman" w:hAnsi="Times New Roman" w:eastAsia="仿宋_GB2312" w:cs="Times New Roman"/>
          <w:sz w:val="32"/>
          <w:szCs w:val="32"/>
        </w:rPr>
        <w:t>），属于《产业结</w:t>
      </w:r>
    </w:p>
    <w:p>
      <w:pPr>
        <w:keepNext w:val="0"/>
        <w:keepLines w:val="0"/>
        <w:pageBreakBefore w:val="0"/>
        <w:kinsoku/>
        <w:bidi w:val="0"/>
        <w:adjustRightInd w:val="0"/>
        <w:spacing w:line="5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构调整指导目录（2024年本）》中的</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类项目。项目不新增建设用地。《报告表》认为该项目建设符合国家产业政策，选址符合相关规划要求。</w:t>
      </w:r>
    </w:p>
    <w:p>
      <w:pPr>
        <w:keepNext w:val="0"/>
        <w:keepLines w:val="0"/>
        <w:pageBreakBefore w:val="0"/>
        <w:kinsoku/>
        <w:overflowPunct w:val="0"/>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在严格落实《报告表》提出的环保对策及措施，严格执行环</w:t>
      </w:r>
      <w:r>
        <w:rPr>
          <w:rFonts w:ascii="Times New Roman" w:hAnsi="Times New Roman" w:eastAsia="仿宋_GB2312" w:cs="Times New Roman"/>
          <w:kern w:val="0"/>
          <w:sz w:val="32"/>
          <w:szCs w:val="32"/>
        </w:rPr>
        <w:t>境保</w:t>
      </w:r>
      <w:r>
        <w:rPr>
          <w:rFonts w:hint="eastAsia" w:ascii="仿宋_GB2312" w:hAnsi="仿宋_GB2312" w:eastAsia="仿宋_GB2312" w:cs="仿宋_GB2312"/>
          <w:kern w:val="0"/>
          <w:sz w:val="32"/>
          <w:szCs w:val="32"/>
        </w:rPr>
        <w:t>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r>
        <w:rPr>
          <w:rFonts w:ascii="Times New Roman" w:hAnsi="Times New Roman" w:eastAsia="仿宋_GB2312" w:cs="Times New Roman"/>
          <w:sz w:val="32"/>
          <w:szCs w:val="32"/>
        </w:rPr>
        <w:t>。</w:t>
      </w:r>
    </w:p>
    <w:p>
      <w:pPr>
        <w:keepNext w:val="0"/>
        <w:keepLines w:val="0"/>
        <w:pageBreakBefore w:val="0"/>
        <w:kinsoku/>
        <w:overflowPunct w:val="0"/>
        <w:bidi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二、项目建设及营运期应重点做好以下工作</w:t>
      </w:r>
    </w:p>
    <w:p>
      <w:pPr>
        <w:keepNext w:val="0"/>
        <w:keepLines w:val="0"/>
        <w:pageBreakBefore w:val="0"/>
        <w:kinsoku/>
        <w:autoSpaceDE w:val="0"/>
        <w:autoSpaceDN w:val="0"/>
        <w:bidi w:val="0"/>
        <w:adjustRightInd w:val="0"/>
        <w:spacing w:line="52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（一）加强施工期环境管理。</w:t>
      </w:r>
      <w:r>
        <w:rPr>
          <w:rFonts w:ascii="Times New Roman" w:hAnsi="Times New Roman" w:eastAsia="仿宋_GB2312" w:cs="Times New Roman"/>
          <w:bCs/>
          <w:sz w:val="32"/>
          <w:szCs w:val="32"/>
        </w:rPr>
        <w:t>严格落实建筑</w:t>
      </w:r>
      <w:r>
        <w:rPr>
          <w:rFonts w:hint="eastAsia" w:ascii="仿宋_GB2312" w:hAnsi="仿宋_GB2312" w:eastAsia="仿宋_GB2312" w:cs="仿宋_GB2312"/>
          <w:bCs/>
          <w:sz w:val="32"/>
          <w:szCs w:val="32"/>
        </w:rPr>
        <w:t>施工“六必须六不准”和“六个百分百”要求，禁止在风天进行</w:t>
      </w:r>
      <w:r>
        <w:rPr>
          <w:rFonts w:hint="eastAsia" w:ascii="仿宋_GB2312" w:hAnsi="仿宋_GB2312" w:eastAsia="仿宋_GB2312" w:cs="仿宋_GB2312"/>
          <w:sz w:val="32"/>
          <w:szCs w:val="32"/>
        </w:rPr>
        <w:t>渣土作业，建材堆放地点要相对集中，临时废渣及时清运；施工人员生活污水</w:t>
      </w:r>
      <w:r>
        <w:rPr>
          <w:rFonts w:hint="eastAsia" w:ascii="仿宋_GB2312" w:hAnsi="仿宋_GB2312" w:eastAsia="仿宋_GB2312" w:cs="仿宋_GB2312"/>
          <w:kern w:val="0"/>
          <w:sz w:val="32"/>
          <w:szCs w:val="32"/>
        </w:rPr>
        <w:t>依托现有预处理池预处理后经罐车运至大英县工业污水处理厂处理；</w:t>
      </w:r>
      <w:r>
        <w:rPr>
          <w:rFonts w:hint="eastAsia" w:ascii="仿宋_GB2312" w:hAnsi="仿宋_GB2312" w:eastAsia="仿宋_GB2312" w:cs="仿宋_GB2312"/>
          <w:color w:val="000000"/>
          <w:kern w:val="18"/>
          <w:sz w:val="32"/>
          <w:szCs w:val="32"/>
        </w:rPr>
        <w:t>建筑垃圾及时清运至指定地点，生活垃圾集中收集交由市政环卫部门统一处置。施工场界噪声须满足《建筑施工</w:t>
      </w:r>
      <w:r>
        <w:rPr>
          <w:rFonts w:ascii="Times New Roman" w:hAnsi="Times New Roman" w:eastAsia="仿宋_GB2312" w:cs="Times New Roman"/>
          <w:color w:val="000000"/>
          <w:kern w:val="18"/>
          <w:sz w:val="32"/>
          <w:szCs w:val="32"/>
        </w:rPr>
        <w:t>场界环境噪声排放标准》(GB12523-2011)的要求。</w:t>
      </w:r>
    </w:p>
    <w:p>
      <w:pPr>
        <w:pStyle w:val="11"/>
        <w:keepNext w:val="0"/>
        <w:keepLines w:val="0"/>
        <w:pageBreakBefore w:val="0"/>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（二）落实废水污染治理措施。</w:t>
      </w:r>
      <w:r>
        <w:rPr>
          <w:rFonts w:ascii="Times New Roman" w:hAnsi="Times New Roman" w:eastAsia="仿宋_GB2312" w:cs="Times New Roman"/>
          <w:sz w:val="32"/>
          <w:szCs w:val="32"/>
        </w:rPr>
        <w:t>生活污水依托已有的预处理池</w:t>
      </w:r>
      <w:r>
        <w:rPr>
          <w:rFonts w:hint="eastAsia" w:ascii="Times New Roman" w:hAnsi="Times New Roman" w:eastAsia="仿宋_GB2312" w:cs="Times New Roman"/>
          <w:sz w:val="32"/>
          <w:szCs w:val="32"/>
        </w:rPr>
        <w:t>处理后，由罐车拉运至大英县工业污水处理厂处理。切割边角料冲洗废水、配料机冲洗废水经导流沟进入沉淀池处理后，与锅炉蒸汽废水一并回用于建筑垃圾与碎石的湿式球磨工序，不外排。</w:t>
      </w:r>
    </w:p>
    <w:p>
      <w:pPr>
        <w:pStyle w:val="11"/>
        <w:keepNext w:val="0"/>
        <w:keepLines w:val="0"/>
        <w:pageBreakBefore w:val="0"/>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（三）落实废气污染治理措施。</w:t>
      </w:r>
      <w:r>
        <w:rPr>
          <w:rFonts w:hint="eastAsia" w:ascii="Times New Roman" w:hAnsi="Times New Roman" w:eastAsia="仿宋_GB2312" w:cs="Times New Roman"/>
          <w:sz w:val="32"/>
          <w:szCs w:val="32"/>
        </w:rPr>
        <w:t>硬化厂区内路面，控制运输车辆行驶速度，减少起尘量。建筑垃圾、碎石堆存区设置在密闭厂房内并配置喷雾装置；水泥、石灰粉、干渣、粉煤灰等原辅料密闭输送至相应粉料筒仓，呼吸口粉尘经筒仓自带的脉冲布袋除尘器收集处理，定期脱落回收至筒仓内。蒸养砖生产线原料装卸、配料搅拌采取湿法作业；破碎筛分粉尘采取负压抽风收集，经布袋除尘处理后通过15m排气筒（DA001）排放。蒸压灰砂砖生产线配料后的各种原材料密闭输送至搅拌机，进行密封搅拌，湿法作业</w:t>
      </w:r>
      <w:r>
        <w:rPr>
          <w:rFonts w:hint="eastAsia" w:ascii="Times New Roman" w:hAnsi="Times New Roman" w:eastAsia="仿宋_GB2312" w:cs="Times New Roman"/>
          <w:sz w:val="32"/>
          <w:szCs w:val="32"/>
          <w:lang w:eastAsia="zh-CN"/>
        </w:rPr>
        <w:t>，整个搅拌站主机设置在封闭车间，产尘点通过集气设施收集粉尘，经布袋除尘器处理后通过</w:t>
      </w:r>
      <w:r>
        <w:rPr>
          <w:rFonts w:hint="eastAsia" w:ascii="Times New Roman" w:hAnsi="Times New Roman" w:eastAsia="仿宋_GB2312" w:cs="Times New Roman"/>
          <w:sz w:val="32"/>
          <w:szCs w:val="32"/>
          <w:lang w:val="en-US" w:eastAsia="zh-CN"/>
        </w:rPr>
        <w:t>15m排气筒（DA001）排放</w:t>
      </w:r>
      <w:r>
        <w:rPr>
          <w:rFonts w:hint="eastAsia" w:ascii="Times New Roman" w:hAnsi="Times New Roman" w:eastAsia="仿宋_GB2312" w:cs="Times New Roman"/>
          <w:sz w:val="32"/>
          <w:szCs w:val="32"/>
        </w:rPr>
        <w:t>。燃气蒸汽锅炉采用国内领先的低氮燃烧器，废气通过15m排气筒（DA002）排放。厂房外围、</w:t>
      </w:r>
      <w:r>
        <w:rPr>
          <w:rFonts w:ascii="Times New Roman" w:hAnsi="Times New Roman" w:eastAsia="仿宋_GB2312" w:cs="Times New Roman"/>
          <w:sz w:val="32"/>
          <w:szCs w:val="32"/>
        </w:rPr>
        <w:t>运输道路两侧</w:t>
      </w:r>
      <w:r>
        <w:rPr>
          <w:rFonts w:hint="eastAsia" w:ascii="Times New Roman" w:hAnsi="Times New Roman" w:eastAsia="仿宋_GB2312" w:cs="Times New Roman"/>
          <w:sz w:val="32"/>
          <w:szCs w:val="32"/>
        </w:rPr>
        <w:t>布设固定式喷雾装置，定期洒水降尘，减少无组织粉尘的排放。</w:t>
      </w:r>
    </w:p>
    <w:p>
      <w:pPr>
        <w:keepNext w:val="0"/>
        <w:keepLines w:val="0"/>
        <w:pageBreakBefore w:val="0"/>
        <w:widowControl/>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（四）严格落实固体废物处置措施。</w:t>
      </w:r>
      <w:r>
        <w:rPr>
          <w:rFonts w:hint="eastAsia" w:ascii="Times New Roman" w:hAnsi="Times New Roman" w:eastAsia="仿宋_GB2312" w:cs="Times New Roman"/>
          <w:sz w:val="32"/>
          <w:szCs w:val="32"/>
        </w:rPr>
        <w:t>废机油、废机油桶、洗车隔油池产生的浮油</w:t>
      </w:r>
      <w:r>
        <w:rPr>
          <w:rFonts w:ascii="Times New Roman" w:hAnsi="Times New Roman" w:eastAsia="仿宋_GB2312" w:cs="Times New Roman"/>
          <w:sz w:val="32"/>
          <w:szCs w:val="32"/>
        </w:rPr>
        <w:t>等危险废物分类暂存于危险废物暂存间，定期交由有资质单位处置，转移过程严格落实《危险废物转移管理办法》。</w:t>
      </w:r>
      <w:r>
        <w:rPr>
          <w:rFonts w:hint="eastAsia" w:ascii="Times New Roman" w:hAnsi="Times New Roman" w:eastAsia="仿宋_GB2312" w:cs="Times New Roman"/>
          <w:sz w:val="32"/>
          <w:szCs w:val="32"/>
        </w:rPr>
        <w:t>沉淀池沉渣、布袋除尘器收集的粉尘、不合格品等全部回用于生产线，不外排。</w:t>
      </w:r>
      <w:r>
        <w:rPr>
          <w:rFonts w:ascii="Times New Roman" w:hAnsi="Times New Roman" w:eastAsia="仿宋_GB2312" w:cs="Times New Roman"/>
          <w:sz w:val="32"/>
          <w:szCs w:val="32"/>
        </w:rPr>
        <w:t>生活垃圾经收集后统一交由市政环卫部门清运处理。</w:t>
      </w:r>
    </w:p>
    <w:p>
      <w:pPr>
        <w:pStyle w:val="10"/>
        <w:keepNext w:val="0"/>
        <w:keepLines w:val="0"/>
        <w:pageBreakBefore w:val="0"/>
        <w:kinsoku/>
        <w:bidi w:val="0"/>
        <w:spacing w:line="52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_GB2312" w:cs="Times New Roman"/>
          <w:sz w:val="32"/>
          <w:szCs w:val="32"/>
        </w:rPr>
        <w:t>（五）落实噪声污染防治措施。</w:t>
      </w:r>
      <w:r>
        <w:rPr>
          <w:rFonts w:ascii="Times New Roman" w:hAnsi="Times New Roman" w:eastAsia="仿宋_GB2312" w:cs="Times New Roman"/>
          <w:sz w:val="32"/>
          <w:szCs w:val="32"/>
        </w:rPr>
        <w:t>设施设备合理布局，采取选用低噪声设备、基础减振、降噪和建筑隔声等措施，并优化作业时段，确保厂界噪声满足《工业企业厂界环境噪声排放标准》（GB12348-2008）中的</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类声环境功能区排放限值的要求。</w:t>
      </w:r>
    </w:p>
    <w:p>
      <w:pPr>
        <w:pStyle w:val="10"/>
        <w:keepNext w:val="0"/>
        <w:keepLines w:val="0"/>
        <w:pageBreakBefore w:val="0"/>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（六）落实地下水、土壤污染防治措施。</w:t>
      </w:r>
      <w:r>
        <w:rPr>
          <w:rFonts w:ascii="Times New Roman" w:hAnsi="Times New Roman" w:eastAsia="仿宋_GB2312" w:cs="Times New Roman"/>
          <w:sz w:val="32"/>
          <w:szCs w:val="32"/>
        </w:rPr>
        <w:t>严格按照《报告表》要求，采取分区防渗措施，防止地下水和土壤环境污染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对危废暂存间进行重点防渗，对生产车间除重点防渗区外区域</w:t>
      </w:r>
      <w:r>
        <w:rPr>
          <w:rFonts w:hint="eastAsia" w:ascii="Times New Roman" w:hAnsi="Times New Roman" w:eastAsia="仿宋_GB2312" w:cs="Times New Roman"/>
          <w:sz w:val="32"/>
          <w:szCs w:val="32"/>
        </w:rPr>
        <w:t>、一般固废暂存间、沉淀池</w:t>
      </w:r>
      <w:r>
        <w:rPr>
          <w:rFonts w:ascii="Times New Roman" w:hAnsi="Times New Roman" w:eastAsia="仿宋_GB2312" w:cs="Times New Roman"/>
          <w:sz w:val="32"/>
          <w:szCs w:val="32"/>
        </w:rPr>
        <w:t>进行一般防渗，</w:t>
      </w:r>
      <w:r>
        <w:rPr>
          <w:rFonts w:hint="eastAsia" w:ascii="Times New Roman" w:hAnsi="Times New Roman" w:eastAsia="仿宋_GB2312" w:cs="Times New Roman"/>
          <w:sz w:val="32"/>
          <w:szCs w:val="32"/>
        </w:rPr>
        <w:t>对厂内其他区域进行简单防渗</w:t>
      </w:r>
      <w:r>
        <w:rPr>
          <w:rFonts w:ascii="Times New Roman" w:hAnsi="Times New Roman" w:eastAsia="仿宋_GB2312" w:cs="Times New Roman"/>
          <w:sz w:val="32"/>
          <w:szCs w:val="32"/>
        </w:rPr>
        <w:t>。</w:t>
      </w:r>
    </w:p>
    <w:p>
      <w:pPr>
        <w:pStyle w:val="10"/>
        <w:keepNext w:val="0"/>
        <w:keepLines w:val="0"/>
        <w:pageBreakBefore w:val="0"/>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（七）落实环境风险防范措施。</w:t>
      </w:r>
      <w:r>
        <w:rPr>
          <w:rFonts w:ascii="Times New Roman" w:hAnsi="Times New Roman" w:eastAsia="仿宋_GB2312" w:cs="Times New Roman"/>
          <w:sz w:val="32"/>
          <w:szCs w:val="32"/>
        </w:rPr>
        <w:t>严格落实《报告表》提出的风险防范措施，制定并不断完善突发环境事件应急预案，规范内部管理，严格操作规范，</w:t>
      </w:r>
      <w:r>
        <w:rPr>
          <w:rFonts w:hint="eastAsia" w:ascii="Times New Roman" w:hAnsi="Times New Roman" w:eastAsia="仿宋_GB2312" w:cs="Times New Roman"/>
          <w:sz w:val="32"/>
          <w:szCs w:val="32"/>
        </w:rPr>
        <w:t>定期开展自行监测，</w:t>
      </w:r>
      <w:r>
        <w:rPr>
          <w:rFonts w:ascii="Times New Roman" w:hAnsi="Times New Roman" w:eastAsia="仿宋_GB2312" w:cs="Times New Roman"/>
          <w:sz w:val="32"/>
          <w:szCs w:val="32"/>
        </w:rPr>
        <w:t>防止污染事故的发生。</w:t>
      </w:r>
    </w:p>
    <w:p>
      <w:pPr>
        <w:pStyle w:val="10"/>
        <w:keepNext w:val="0"/>
        <w:keepLines w:val="0"/>
        <w:pageBreakBefore w:val="0"/>
        <w:kinsoku/>
        <w:bidi w:val="0"/>
        <w:spacing w:line="520" w:lineRule="exact"/>
        <w:ind w:firstLine="640" w:firstLineChars="200"/>
        <w:textAlignment w:val="auto"/>
        <w:rPr>
          <w:rFonts w:ascii="Times New Roman" w:hAnsi="Times New Roman" w:eastAsia="黑体" w:cs="Times New Roman"/>
          <w:bCs/>
          <w:sz w:val="32"/>
          <w:szCs w:val="32"/>
        </w:rPr>
      </w:pPr>
      <w:r>
        <w:rPr>
          <w:rFonts w:ascii="Times New Roman" w:hAnsi="Times New Roman" w:eastAsia="黑体" w:cs="Times New Roman"/>
          <w:sz w:val="32"/>
          <w:szCs w:val="32"/>
        </w:rPr>
        <w:t>三、污染物排放总量</w:t>
      </w:r>
    </w:p>
    <w:p>
      <w:pPr>
        <w:keepNext w:val="0"/>
        <w:keepLines w:val="0"/>
        <w:pageBreakBefore w:val="0"/>
        <w:kinsoku/>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根据《报告表》预测，项目建成后</w:t>
      </w:r>
      <w:r>
        <w:rPr>
          <w:rFonts w:hint="eastAsia" w:ascii="Times New Roman" w:hAnsi="Times New Roman" w:eastAsia="仿宋_GB2312" w:cs="Times New Roman"/>
          <w:sz w:val="32"/>
          <w:szCs w:val="32"/>
        </w:rPr>
        <w:t>全厂</w:t>
      </w:r>
      <w:r>
        <w:rPr>
          <w:rFonts w:ascii="Times New Roman" w:hAnsi="Times New Roman" w:eastAsia="仿宋_GB2312" w:cs="Times New Roman"/>
          <w:sz w:val="32"/>
          <w:szCs w:val="32"/>
        </w:rPr>
        <w:t>主要大气污染物有组织排放总量为：</w:t>
      </w:r>
      <w:r>
        <w:rPr>
          <w:rFonts w:hint="eastAsia" w:ascii="Times New Roman" w:hAnsi="Times New Roman" w:eastAsia="仿宋_GB2312" w:cs="Times New Roman"/>
          <w:sz w:val="32"/>
          <w:szCs w:val="32"/>
        </w:rPr>
        <w:t>颗粒物0.0792</w:t>
      </w:r>
      <w:r>
        <w:rPr>
          <w:rFonts w:ascii="Times New Roman" w:hAnsi="Times New Roman" w:eastAsia="仿宋_GB2312" w:cs="Times New Roman"/>
          <w:bCs/>
          <w:sz w:val="32"/>
          <w:szCs w:val="32"/>
        </w:rPr>
        <w:t>t/a</w:t>
      </w:r>
      <w:r>
        <w:rPr>
          <w:rFonts w:hint="eastAsia" w:ascii="Times New Roman" w:hAnsi="Times New Roman" w:eastAsia="仿宋_GB2312" w:cs="Times New Roman"/>
          <w:bCs/>
          <w:sz w:val="32"/>
          <w:szCs w:val="32"/>
        </w:rPr>
        <w:t>，SO</w:t>
      </w:r>
      <w:r>
        <w:rPr>
          <w:rFonts w:hint="eastAsia" w:ascii="Times New Roman" w:hAnsi="Times New Roman" w:eastAsia="仿宋_GB2312" w:cs="Times New Roman"/>
          <w:bCs/>
          <w:sz w:val="32"/>
          <w:szCs w:val="32"/>
          <w:vertAlign w:val="subscript"/>
        </w:rPr>
        <w:t>2</w:t>
      </w:r>
      <w:r>
        <w:rPr>
          <w:rFonts w:hint="eastAsia" w:ascii="Times New Roman" w:hAnsi="Times New Roman" w:eastAsia="仿宋_GB2312" w:cs="Times New Roman"/>
          <w:bCs/>
          <w:sz w:val="32"/>
          <w:szCs w:val="32"/>
        </w:rPr>
        <w:t>0.24</w:t>
      </w:r>
      <w:r>
        <w:rPr>
          <w:rFonts w:ascii="Times New Roman" w:hAnsi="Times New Roman" w:eastAsia="仿宋_GB2312" w:cs="Times New Roman"/>
          <w:bCs/>
          <w:sz w:val="32"/>
          <w:szCs w:val="32"/>
        </w:rPr>
        <w:t>t/a</w:t>
      </w:r>
      <w:r>
        <w:rPr>
          <w:rFonts w:hint="eastAsia" w:ascii="Times New Roman" w:hAnsi="Times New Roman" w:eastAsia="仿宋_GB2312" w:cs="Times New Roman"/>
          <w:bCs/>
          <w:sz w:val="32"/>
          <w:szCs w:val="32"/>
        </w:rPr>
        <w:t>，NO</w:t>
      </w:r>
      <w:r>
        <w:rPr>
          <w:rFonts w:hint="eastAsia" w:ascii="Times New Roman" w:hAnsi="Times New Roman" w:eastAsia="仿宋_GB2312" w:cs="Times New Roman"/>
          <w:bCs/>
          <w:sz w:val="32"/>
          <w:szCs w:val="32"/>
          <w:vertAlign w:val="subscript"/>
        </w:rPr>
        <w:t>X</w:t>
      </w:r>
      <w:r>
        <w:rPr>
          <w:rFonts w:hint="eastAsia" w:ascii="Times New Roman" w:hAnsi="Times New Roman" w:eastAsia="仿宋_GB2312" w:cs="Times New Roman"/>
          <w:bCs/>
          <w:sz w:val="32"/>
          <w:szCs w:val="32"/>
        </w:rPr>
        <w:t>0.42</w:t>
      </w:r>
      <w:r>
        <w:rPr>
          <w:rFonts w:ascii="Times New Roman" w:hAnsi="Times New Roman" w:eastAsia="仿宋_GB2312" w:cs="Times New Roman"/>
          <w:bCs/>
          <w:sz w:val="32"/>
          <w:szCs w:val="32"/>
        </w:rPr>
        <w:t>t/a</w:t>
      </w:r>
      <w:r>
        <w:rPr>
          <w:rFonts w:ascii="Times New Roman" w:hAnsi="Times New Roman" w:eastAsia="仿宋_GB2312" w:cs="Times New Roman"/>
          <w:sz w:val="32"/>
          <w:szCs w:val="32"/>
        </w:rPr>
        <w:t>。</w:t>
      </w:r>
    </w:p>
    <w:p>
      <w:pPr>
        <w:keepNext w:val="0"/>
        <w:keepLines w:val="0"/>
        <w:pageBreakBefore w:val="0"/>
        <w:kinsoku/>
        <w:bidi w:val="0"/>
        <w:spacing w:line="520" w:lineRule="exact"/>
        <w:ind w:firstLine="640" w:firstLineChars="200"/>
        <w:textAlignment w:val="auto"/>
        <w:rPr>
          <w:rFonts w:ascii="Times New Roman" w:hAnsi="Times New Roman" w:eastAsia="仿宋_GB2312" w:cs="Times New Roman"/>
          <w:color w:val="000000"/>
          <w:kern w:val="18"/>
          <w:sz w:val="32"/>
          <w:szCs w:val="32"/>
        </w:rPr>
      </w:pPr>
      <w:r>
        <w:rPr>
          <w:rFonts w:ascii="Times New Roman" w:hAnsi="Times New Roman" w:eastAsia="黑体" w:cs="Times New Roman"/>
          <w:color w:val="000000"/>
          <w:kern w:val="18"/>
          <w:sz w:val="32"/>
          <w:szCs w:val="32"/>
        </w:rPr>
        <w:t>四、</w:t>
      </w:r>
      <w:r>
        <w:rPr>
          <w:rFonts w:ascii="Times New Roman" w:hAnsi="Times New Roman" w:eastAsia="仿宋_GB2312" w:cs="Times New Roman"/>
          <w:color w:val="000000"/>
          <w:kern w:val="18"/>
          <w:sz w:val="32"/>
          <w:szCs w:val="32"/>
        </w:rPr>
        <w:t>项目开工建设前，应依法完备其他行政许可手续。</w:t>
      </w:r>
    </w:p>
    <w:p>
      <w:pPr>
        <w:keepNext w:val="0"/>
        <w:keepLines w:val="0"/>
        <w:pageBreakBefore w:val="0"/>
        <w:kinsoku/>
        <w:overflowPunct w:val="0"/>
        <w:bidi w:val="0"/>
        <w:snapToGrid w:val="0"/>
        <w:spacing w:line="52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color w:val="000000"/>
          <w:kern w:val="18"/>
          <w:sz w:val="32"/>
          <w:szCs w:val="32"/>
        </w:rPr>
        <w:t>五、排污许可和环保</w:t>
      </w:r>
      <w:r>
        <w:rPr>
          <w:rFonts w:ascii="Times New Roman" w:hAnsi="Times New Roman" w:eastAsia="黑体" w:cs="Times New Roman"/>
          <w:sz w:val="32"/>
          <w:szCs w:val="32"/>
        </w:rPr>
        <w:t>验收</w:t>
      </w:r>
    </w:p>
    <w:p>
      <w:pPr>
        <w:keepNext w:val="0"/>
        <w:keepLines w:val="0"/>
        <w:pageBreakBefore w:val="0"/>
        <w:kinsoku/>
        <w:overflowPunct w:val="0"/>
        <w:bidi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验收报告。</w:t>
      </w:r>
    </w:p>
    <w:p>
      <w:pPr>
        <w:keepNext w:val="0"/>
        <w:keepLines w:val="0"/>
        <w:pageBreakBefore w:val="0"/>
        <w:kinsoku/>
        <w:overflowPunct w:val="0"/>
        <w:bidi w:val="0"/>
        <w:snapToGrid w:val="0"/>
        <w:spacing w:line="520" w:lineRule="exact"/>
        <w:ind w:firstLine="640" w:firstLineChars="200"/>
        <w:textAlignment w:val="auto"/>
        <w:rPr>
          <w:rFonts w:ascii="Times New Roman" w:hAnsi="Times New Roman" w:eastAsia="黑体" w:cs="Times New Roman"/>
          <w:color w:val="000000"/>
          <w:kern w:val="18"/>
          <w:sz w:val="32"/>
          <w:szCs w:val="32"/>
        </w:rPr>
      </w:pPr>
      <w:r>
        <w:rPr>
          <w:rFonts w:ascii="Times New Roman" w:hAnsi="Times New Roman" w:eastAsia="黑体" w:cs="Times New Roman"/>
          <w:color w:val="000000"/>
          <w:kern w:val="18"/>
          <w:sz w:val="32"/>
          <w:szCs w:val="32"/>
        </w:rPr>
        <w:t>六、其他规定</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项目环境影响评价文件经批准后，如工程的性质、规模、地点、工艺或者防治污染、防</w:t>
      </w:r>
      <w:bookmarkStart w:id="0" w:name="_GoBack"/>
      <w:bookmarkEnd w:id="0"/>
      <w:r>
        <w:rPr>
          <w:rFonts w:hint="default" w:ascii="Times New Roman" w:hAnsi="Times New Roman" w:eastAsia="仿宋_GB2312" w:cs="Times New Roman"/>
          <w:sz w:val="32"/>
          <w:szCs w:val="32"/>
        </w:rPr>
        <w:t>止生态破坏的措施发生重大变动，你公司应当重新报批环境影响评价文件，否则不得实施建设。自环境影响评价文件批准之日起，如项目超过5年未开工建设，环境影响评价文件应当报我局重新审核。</w:t>
      </w:r>
    </w:p>
    <w:p>
      <w:pPr>
        <w:pStyle w:val="2"/>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default"/>
          <w:lang w:val="en-US" w:eastAsia="zh-CN"/>
        </w:rPr>
      </w:pPr>
    </w:p>
    <w:p>
      <w:pPr>
        <w:pStyle w:val="21"/>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cs="Times New Roman"/>
          <w:lang w:val="en-US" w:eastAsia="zh-CN"/>
        </w:rPr>
      </w:pPr>
    </w:p>
    <w:p>
      <w:pPr>
        <w:pStyle w:val="21"/>
        <w:keepNext w:val="0"/>
        <w:keepLines w:val="0"/>
        <w:pageBreakBefore w:val="0"/>
        <w:widowControl w:val="0"/>
        <w:kinsoku/>
        <w:wordWrap/>
        <w:overflowPunct/>
        <w:topLinePunct w:val="0"/>
        <w:autoSpaceDE/>
        <w:autoSpaceDN/>
        <w:bidi w:val="0"/>
        <w:adjustRightInd/>
        <w:snapToGrid/>
        <w:spacing w:line="600" w:lineRule="exact"/>
        <w:ind w:firstLine="4928" w:firstLineChars="1600"/>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lang w:val="en-US" w:eastAsia="zh-CN"/>
        </w:rPr>
      </w:pPr>
      <w:r>
        <w:rPr>
          <w:rFonts w:hint="default" w:ascii="Times New Roman" w:hAnsi="Times New Roman" w:eastAsia="仿宋_GB2312" w:cs="Times New Roman"/>
          <w:spacing w:val="-6"/>
          <w:sz w:val="32"/>
          <w:szCs w:val="32"/>
          <w:lang w:val="en-US" w:eastAsia="zh-CN"/>
        </w:rPr>
        <w:t>2024年</w:t>
      </w:r>
      <w:r>
        <w:rPr>
          <w:rFonts w:hint="eastAsia"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lang w:val="en-US" w:eastAsia="zh-CN"/>
        </w:rPr>
        <w:t>月</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lang w:val="en-US" w:eastAsia="zh-CN"/>
        </w:rPr>
        <w:t xml:space="preserve">日        </w:t>
      </w:r>
    </w:p>
    <w:sectPr>
      <w:footerReference r:id="rId4" w:type="default"/>
      <w:pgSz w:w="11906" w:h="16838"/>
      <w:pgMar w:top="2098" w:right="1474" w:bottom="1474"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-151130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9pt;height:144pt;width:144pt;mso-position-horizontal:outside;mso-position-horizontal-relative:margin;mso-wrap-style:none;z-index:251659264;mso-width-relative:page;mso-height-relative:page;" filled="f" stroked="f" coordsize="21600,21600" o:gfxdata="UEsDBAoAAAAAAIdO4kAAAAAAAAAAAAAAAAAEAAAAZHJzL1BLAwQUAAAACACHTuJAH4dIt9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5QIs50XBlzMP+10O&#10;sq7k/wL1D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4dIt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62B5ABB"/>
    <w:rsid w:val="07445783"/>
    <w:rsid w:val="08076BAC"/>
    <w:rsid w:val="08157D0A"/>
    <w:rsid w:val="082B7D91"/>
    <w:rsid w:val="088675ED"/>
    <w:rsid w:val="089E130F"/>
    <w:rsid w:val="08A70EB9"/>
    <w:rsid w:val="092A1E12"/>
    <w:rsid w:val="094E2162"/>
    <w:rsid w:val="098F0FA5"/>
    <w:rsid w:val="0AE4604C"/>
    <w:rsid w:val="0B327E48"/>
    <w:rsid w:val="0C4C2651"/>
    <w:rsid w:val="0F410220"/>
    <w:rsid w:val="0F5D7B56"/>
    <w:rsid w:val="0FB35FED"/>
    <w:rsid w:val="10632F32"/>
    <w:rsid w:val="108B04C2"/>
    <w:rsid w:val="11553800"/>
    <w:rsid w:val="12011292"/>
    <w:rsid w:val="129F4917"/>
    <w:rsid w:val="13A050E7"/>
    <w:rsid w:val="13A244C7"/>
    <w:rsid w:val="14741B39"/>
    <w:rsid w:val="14AA3E63"/>
    <w:rsid w:val="15AB60E4"/>
    <w:rsid w:val="15C947BC"/>
    <w:rsid w:val="16243B6E"/>
    <w:rsid w:val="1735378C"/>
    <w:rsid w:val="17586B74"/>
    <w:rsid w:val="18196B6F"/>
    <w:rsid w:val="1ACF0994"/>
    <w:rsid w:val="1ADB2985"/>
    <w:rsid w:val="1B326960"/>
    <w:rsid w:val="1BCC1635"/>
    <w:rsid w:val="1D04432C"/>
    <w:rsid w:val="1D1F6E89"/>
    <w:rsid w:val="1DC1221D"/>
    <w:rsid w:val="1DEC2C84"/>
    <w:rsid w:val="1E17071F"/>
    <w:rsid w:val="1E29348B"/>
    <w:rsid w:val="1E6609BF"/>
    <w:rsid w:val="1EAC44A7"/>
    <w:rsid w:val="1F8E271B"/>
    <w:rsid w:val="1FC85967"/>
    <w:rsid w:val="203222E6"/>
    <w:rsid w:val="204F3B10"/>
    <w:rsid w:val="20E64474"/>
    <w:rsid w:val="21464F13"/>
    <w:rsid w:val="224F429B"/>
    <w:rsid w:val="23631F61"/>
    <w:rsid w:val="23E07BD5"/>
    <w:rsid w:val="251C281B"/>
    <w:rsid w:val="25FC1B6A"/>
    <w:rsid w:val="26672398"/>
    <w:rsid w:val="271B5D95"/>
    <w:rsid w:val="273A436A"/>
    <w:rsid w:val="27E16961"/>
    <w:rsid w:val="290D5E5A"/>
    <w:rsid w:val="29E46919"/>
    <w:rsid w:val="2A1F2C38"/>
    <w:rsid w:val="2A2D6A04"/>
    <w:rsid w:val="2A784B2D"/>
    <w:rsid w:val="2A785045"/>
    <w:rsid w:val="2AAB5339"/>
    <w:rsid w:val="2AC24BA7"/>
    <w:rsid w:val="2B79362F"/>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4D12CF9"/>
    <w:rsid w:val="354A265C"/>
    <w:rsid w:val="363D60B8"/>
    <w:rsid w:val="37225683"/>
    <w:rsid w:val="372748CB"/>
    <w:rsid w:val="376A1E4F"/>
    <w:rsid w:val="38C236CA"/>
    <w:rsid w:val="39116741"/>
    <w:rsid w:val="3965276B"/>
    <w:rsid w:val="3A2A31CC"/>
    <w:rsid w:val="3B313DE1"/>
    <w:rsid w:val="3B495557"/>
    <w:rsid w:val="3BD232AA"/>
    <w:rsid w:val="3C1E30AA"/>
    <w:rsid w:val="3C620396"/>
    <w:rsid w:val="3C7D32C2"/>
    <w:rsid w:val="3C8A5E5F"/>
    <w:rsid w:val="3E406C06"/>
    <w:rsid w:val="40B97948"/>
    <w:rsid w:val="40BF5A1E"/>
    <w:rsid w:val="415844BA"/>
    <w:rsid w:val="41EC74B9"/>
    <w:rsid w:val="42A751E8"/>
    <w:rsid w:val="433E49AD"/>
    <w:rsid w:val="44000AFA"/>
    <w:rsid w:val="44242A3A"/>
    <w:rsid w:val="46564467"/>
    <w:rsid w:val="47173438"/>
    <w:rsid w:val="48473F43"/>
    <w:rsid w:val="486C0E54"/>
    <w:rsid w:val="491F4DFE"/>
    <w:rsid w:val="4944487A"/>
    <w:rsid w:val="4BA71E75"/>
    <w:rsid w:val="4C6267F5"/>
    <w:rsid w:val="4D6E4AFA"/>
    <w:rsid w:val="4DA81B78"/>
    <w:rsid w:val="4DC16BB8"/>
    <w:rsid w:val="4E4D24B7"/>
    <w:rsid w:val="504C6A58"/>
    <w:rsid w:val="509E5922"/>
    <w:rsid w:val="50A22112"/>
    <w:rsid w:val="50D50B0D"/>
    <w:rsid w:val="518979CC"/>
    <w:rsid w:val="52614E59"/>
    <w:rsid w:val="52A56FED"/>
    <w:rsid w:val="53ED2369"/>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D7A93"/>
    <w:rsid w:val="61CF012A"/>
    <w:rsid w:val="62BB2173"/>
    <w:rsid w:val="6307250B"/>
    <w:rsid w:val="63133F4E"/>
    <w:rsid w:val="632C2E62"/>
    <w:rsid w:val="64EF4296"/>
    <w:rsid w:val="670815C7"/>
    <w:rsid w:val="681D537C"/>
    <w:rsid w:val="69966FC3"/>
    <w:rsid w:val="69BE7A7D"/>
    <w:rsid w:val="69CD2D06"/>
    <w:rsid w:val="6A2932E0"/>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0B7313"/>
    <w:rsid w:val="746F0F41"/>
    <w:rsid w:val="75091655"/>
    <w:rsid w:val="751C3136"/>
    <w:rsid w:val="76150602"/>
    <w:rsid w:val="76FC7D28"/>
    <w:rsid w:val="77992DA9"/>
    <w:rsid w:val="782446B8"/>
    <w:rsid w:val="78E7601E"/>
    <w:rsid w:val="78F06C72"/>
    <w:rsid w:val="79C96773"/>
    <w:rsid w:val="79D61A12"/>
    <w:rsid w:val="7A195E96"/>
    <w:rsid w:val="7B191EC6"/>
    <w:rsid w:val="7C663B77"/>
    <w:rsid w:val="7C7535FD"/>
    <w:rsid w:val="7D1512CD"/>
    <w:rsid w:val="7E17693C"/>
    <w:rsid w:val="7EBC6E92"/>
    <w:rsid w:val="7F6F37D7"/>
    <w:rsid w:val="CEFF9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Body Text Indent 2"/>
    <w:basedOn w:val="1"/>
    <w:next w:val="11"/>
    <w:qFormat/>
    <w:uiPriority w:val="0"/>
    <w:pPr>
      <w:adjustRightInd w:val="0"/>
      <w:snapToGrid w:val="0"/>
      <w:spacing w:line="440" w:lineRule="atLeast"/>
      <w:ind w:firstLine="573"/>
    </w:pPr>
    <w:rPr>
      <w:rFonts w:ascii="宋体"/>
    </w:rPr>
  </w:style>
  <w:style w:type="paragraph" w:customStyle="1" w:styleId="11">
    <w:name w:val="简单回函地址"/>
    <w:basedOn w:val="1"/>
    <w:next w:val="12"/>
    <w:autoRedefine/>
    <w:qFormat/>
    <w:uiPriority w:val="0"/>
    <w:rPr>
      <w:szCs w:val="20"/>
    </w:rPr>
  </w:style>
  <w:style w:type="paragraph" w:customStyle="1" w:styleId="12">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autoRedefine/>
    <w:qFormat/>
    <w:uiPriority w:val="0"/>
    <w:pPr>
      <w:ind w:left="2100"/>
    </w:pPr>
    <w:rPr>
      <w:rFonts w:ascii="楷体_GB2312" w:hAnsi="Calibri" w:eastAsia="楷体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_Style 2"/>
    <w:basedOn w:val="1"/>
    <w:qFormat/>
    <w:uiPriority w:val="34"/>
    <w:pPr>
      <w:ind w:firstLine="420" w:firstLineChars="200"/>
    </w:pPr>
  </w:style>
  <w:style w:type="paragraph" w:customStyle="1" w:styleId="24">
    <w:name w:val="正文文本1"/>
    <w:basedOn w:val="22"/>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7">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8">
    <w:name w:val="font21"/>
    <w:basedOn w:val="20"/>
    <w:autoRedefine/>
    <w:qFormat/>
    <w:uiPriority w:val="0"/>
    <w:rPr>
      <w:rFonts w:hint="eastAsia" w:ascii="宋体" w:hAnsi="宋体" w:eastAsia="宋体" w:cs="宋体"/>
      <w:color w:val="000000"/>
      <w:sz w:val="20"/>
      <w:szCs w:val="20"/>
      <w:u w:val="none"/>
    </w:rPr>
  </w:style>
  <w:style w:type="paragraph" w:customStyle="1" w:styleId="29">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0">
    <w:name w:val="font71"/>
    <w:basedOn w:val="20"/>
    <w:autoRedefine/>
    <w:qFormat/>
    <w:uiPriority w:val="0"/>
    <w:rPr>
      <w:rFonts w:hint="eastAsia" w:ascii="宋体" w:hAnsi="宋体" w:eastAsia="宋体" w:cs="宋体"/>
      <w:color w:val="000000"/>
      <w:sz w:val="22"/>
      <w:szCs w:val="22"/>
      <w:u w:val="none"/>
    </w:rPr>
  </w:style>
  <w:style w:type="paragraph" w:customStyle="1" w:styleId="31">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1</TotalTime>
  <ScaleCrop>false</ScaleCrop>
  <LinksUpToDate>false</LinksUpToDate>
  <CharactersWithSpaces>904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2023-01-06T15:22:00Z</dcterms:created>
  <dc:creator>pc</dc:creator>
  <cp:lastModifiedBy>罗彬彬</cp:lastModifiedBy>
  <cp:lastPrinted>2024-02-21T17:31:00Z</cp:lastPrinted>
  <dcterms:modified xsi:type="dcterms:W3CDTF">2024-03-11T02:29:53Z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770FC33594934BA7A1849BCD676E20C8_13</vt:lpwstr>
  </property>
</Properties>
</file>