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bidi w:val="0"/>
        <w:adjustRightInd/>
        <w:snapToGrid/>
        <w:spacing w:line="620" w:lineRule="exact"/>
        <w:jc w:val="right"/>
        <w:textAlignment w:val="auto"/>
        <w:rPr>
          <w:rFonts w:hint="default" w:ascii="Times New Roman" w:hAnsi="Times New Roman" w:eastAsia="仿宋_GB2312" w:cs="Times New Roman"/>
          <w:color w:val="auto"/>
          <w:kern w:val="0"/>
          <w:sz w:val="32"/>
          <w:szCs w:val="32"/>
          <w:lang w:bidi="ar-SA"/>
        </w:rPr>
      </w:pPr>
    </w:p>
    <w:p>
      <w:pPr>
        <w:keepNext w:val="0"/>
        <w:keepLines w:val="0"/>
        <w:pageBreakBefore w:val="0"/>
        <w:widowControl w:val="0"/>
        <w:kinsoku/>
        <w:wordWrap w:val="0"/>
        <w:overflowPunct/>
        <w:topLinePunct w:val="0"/>
        <w:autoSpaceDE/>
        <w:bidi w:val="0"/>
        <w:adjustRightInd/>
        <w:snapToGrid/>
        <w:spacing w:line="620" w:lineRule="exact"/>
        <w:jc w:val="right"/>
        <w:textAlignment w:val="auto"/>
        <w:rPr>
          <w:rFonts w:hint="default" w:ascii="Times New Roman" w:hAnsi="Times New Roman" w:eastAsia="仿宋_GB2312" w:cs="Times New Roman"/>
          <w:color w:val="auto"/>
          <w:kern w:val="0"/>
          <w:sz w:val="32"/>
          <w:szCs w:val="32"/>
          <w:lang w:bidi="ar-SA"/>
        </w:rPr>
      </w:pPr>
    </w:p>
    <w:p>
      <w:pPr>
        <w:keepNext w:val="0"/>
        <w:keepLines w:val="0"/>
        <w:pageBreakBefore w:val="0"/>
        <w:widowControl w:val="0"/>
        <w:kinsoku/>
        <w:wordWrap w:val="0"/>
        <w:overflowPunct/>
        <w:topLinePunct w:val="0"/>
        <w:autoSpaceDE/>
        <w:bidi w:val="0"/>
        <w:adjustRightInd/>
        <w:snapToGrid/>
        <w:spacing w:line="400" w:lineRule="exact"/>
        <w:jc w:val="right"/>
        <w:textAlignment w:val="auto"/>
        <w:rPr>
          <w:rFonts w:hint="default" w:ascii="Times New Roman" w:hAnsi="Times New Roman" w:eastAsia="仿宋_GB2312" w:cs="Times New Roman"/>
          <w:color w:val="auto"/>
          <w:kern w:val="0"/>
          <w:sz w:val="32"/>
          <w:szCs w:val="32"/>
          <w:lang w:bidi="ar-SA"/>
        </w:rPr>
      </w:pPr>
    </w:p>
    <w:p>
      <w:pPr>
        <w:keepNext w:val="0"/>
        <w:keepLines w:val="0"/>
        <w:pageBreakBefore w:val="0"/>
        <w:widowControl w:val="0"/>
        <w:kinsoku/>
        <w:wordWrap w:val="0"/>
        <w:overflowPunct/>
        <w:topLinePunct w:val="0"/>
        <w:autoSpaceDE/>
        <w:bidi w:val="0"/>
        <w:adjustRightInd/>
        <w:snapToGrid/>
        <w:spacing w:line="560" w:lineRule="exact"/>
        <w:jc w:val="right"/>
        <w:textAlignment w:val="auto"/>
        <w:rPr>
          <w:rFonts w:hint="default" w:ascii="Times New Roman" w:hAnsi="Times New Roman" w:eastAsia="仿宋_GB2312" w:cs="Times New Roman"/>
          <w:color w:val="auto"/>
          <w:kern w:val="0"/>
          <w:sz w:val="32"/>
          <w:szCs w:val="32"/>
          <w:lang w:bidi="ar-SA"/>
        </w:rPr>
      </w:pPr>
      <w:r>
        <w:rPr>
          <w:rFonts w:hint="default" w:ascii="Times New Roman" w:hAnsi="Times New Roman" w:eastAsia="仿宋_GB2312" w:cs="Times New Roman"/>
          <w:color w:val="auto"/>
          <w:kern w:val="0"/>
          <w:sz w:val="32"/>
          <w:szCs w:val="32"/>
          <w:lang w:bidi="ar-SA"/>
        </w:rPr>
        <w:t>大府办函〔2</w:t>
      </w:r>
      <w:r>
        <w:rPr>
          <w:rFonts w:hint="default" w:ascii="Times New Roman" w:hAnsi="Times New Roman" w:eastAsia="仿宋_GB2312" w:cs="Times New Roman"/>
          <w:color w:val="auto"/>
          <w:kern w:val="0"/>
          <w:sz w:val="32"/>
          <w:szCs w:val="32"/>
          <w:lang w:val="en-US" w:eastAsia="zh-CN" w:bidi="ar-SA"/>
        </w:rPr>
        <w:t>023</w:t>
      </w:r>
      <w:r>
        <w:rPr>
          <w:rFonts w:hint="default" w:ascii="Times New Roman" w:hAnsi="Times New Roman" w:eastAsia="仿宋_GB2312" w:cs="Times New Roman"/>
          <w:color w:val="auto"/>
          <w:kern w:val="0"/>
          <w:sz w:val="32"/>
          <w:szCs w:val="32"/>
          <w:lang w:bidi="ar-SA"/>
        </w:rPr>
        <w:t>〕</w:t>
      </w:r>
      <w:r>
        <w:rPr>
          <w:rFonts w:hint="default" w:ascii="Times New Roman" w:hAnsi="Times New Roman" w:eastAsia="仿宋_GB2312" w:cs="Times New Roman"/>
          <w:color w:val="auto"/>
          <w:kern w:val="0"/>
          <w:sz w:val="32"/>
          <w:szCs w:val="32"/>
          <w:lang w:val="en-US" w:eastAsia="zh-CN" w:bidi="ar-SA"/>
        </w:rPr>
        <w:t>4</w:t>
      </w:r>
      <w:r>
        <w:rPr>
          <w:rFonts w:hint="eastAsia" w:ascii="Times New Roman" w:hAnsi="Times New Roman" w:eastAsia="仿宋_GB2312" w:cs="Times New Roman"/>
          <w:color w:val="auto"/>
          <w:kern w:val="0"/>
          <w:sz w:val="32"/>
          <w:szCs w:val="32"/>
          <w:lang w:val="en-US" w:eastAsia="zh-CN" w:bidi="ar-SA"/>
        </w:rPr>
        <w:t>4</w:t>
      </w:r>
      <w:r>
        <w:rPr>
          <w:rFonts w:hint="default" w:ascii="Times New Roman" w:hAnsi="Times New Roman" w:eastAsia="仿宋_GB2312" w:cs="Times New Roman"/>
          <w:color w:val="auto"/>
          <w:kern w:val="0"/>
          <w:sz w:val="32"/>
          <w:szCs w:val="32"/>
          <w:lang w:bidi="ar-SA"/>
        </w:rPr>
        <w:t>号</w:t>
      </w:r>
    </w:p>
    <w:p>
      <w:pPr>
        <w:keepNext w:val="0"/>
        <w:keepLines w:val="0"/>
        <w:pageBreakBefore w:val="0"/>
        <w:widowControl w:val="0"/>
        <w:kinsoku/>
        <w:wordWrap/>
        <w:overflowPunct/>
        <w:topLinePunct w:val="0"/>
        <w:autoSpaceDE/>
        <w:autoSpaceDN w:val="0"/>
        <w:bidi w:val="0"/>
        <w:adjustRightInd/>
        <w:snapToGrid/>
        <w:spacing w:line="560" w:lineRule="exact"/>
        <w:ind w:left="0" w:right="0" w:firstLine="640" w:firstLineChars="200"/>
        <w:jc w:val="both"/>
        <w:textAlignment w:val="auto"/>
        <w:outlineLvl w:val="9"/>
        <w:rPr>
          <w:rFonts w:hint="default" w:ascii="Times New Roman" w:hAnsi="Times New Roman" w:cs="Times New Roman"/>
          <w:color w:val="auto"/>
          <w:kern w:val="0"/>
          <w:sz w:val="32"/>
          <w:szCs w:val="32"/>
          <w:lang w:bidi="ar-SA"/>
        </w:rPr>
      </w:pPr>
    </w:p>
    <w:p>
      <w:pPr>
        <w:keepNext w:val="0"/>
        <w:keepLines w:val="0"/>
        <w:pageBreakBefore w:val="0"/>
        <w:widowControl w:val="0"/>
        <w:kinsoku/>
        <w:wordWrap/>
        <w:overflowPunct/>
        <w:topLinePunct w:val="0"/>
        <w:autoSpaceDE/>
        <w:autoSpaceDN w:val="0"/>
        <w:bidi w:val="0"/>
        <w:adjustRightInd/>
        <w:snapToGrid/>
        <w:spacing w:line="610" w:lineRule="exact"/>
        <w:ind w:left="0" w:right="0" w:firstLine="640" w:firstLineChars="200"/>
        <w:jc w:val="both"/>
        <w:textAlignment w:val="auto"/>
        <w:outlineLvl w:val="9"/>
        <w:rPr>
          <w:rFonts w:hint="default" w:ascii="Times New Roman" w:hAnsi="Times New Roman" w:cs="Times New Roman"/>
          <w:color w:val="auto"/>
          <w:kern w:val="0"/>
          <w:sz w:val="32"/>
          <w:szCs w:val="32"/>
          <w:lang w:bidi="ar-SA"/>
        </w:rPr>
      </w:pP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b w:val="0"/>
          <w:bCs w:val="0"/>
          <w:color w:val="auto"/>
          <w:spacing w:val="0"/>
          <w:sz w:val="44"/>
          <w:szCs w:val="44"/>
        </w:rPr>
      </w:pPr>
      <w:r>
        <w:rPr>
          <w:rFonts w:hint="default" w:ascii="Times New Roman" w:hAnsi="Times New Roman" w:eastAsia="方正小标宋简体" w:cs="Times New Roman"/>
          <w:b w:val="0"/>
          <w:bCs w:val="0"/>
          <w:color w:val="auto"/>
          <w:spacing w:val="0"/>
          <w:sz w:val="44"/>
          <w:szCs w:val="44"/>
          <w:lang w:eastAsia="zh-CN"/>
        </w:rPr>
        <w:t>大英县</w:t>
      </w:r>
      <w:r>
        <w:rPr>
          <w:rFonts w:hint="default" w:ascii="Times New Roman" w:hAnsi="Times New Roman" w:eastAsia="方正小标宋简体" w:cs="Times New Roman"/>
          <w:b w:val="0"/>
          <w:bCs w:val="0"/>
          <w:color w:val="auto"/>
          <w:spacing w:val="0"/>
          <w:sz w:val="44"/>
          <w:szCs w:val="44"/>
        </w:rPr>
        <w:t>人民政府办公室</w:t>
      </w: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b w:val="0"/>
          <w:bCs w:val="0"/>
          <w:color w:val="auto"/>
          <w:spacing w:val="0"/>
          <w:sz w:val="44"/>
          <w:szCs w:val="44"/>
        </w:rPr>
      </w:pPr>
      <w:r>
        <w:rPr>
          <w:rFonts w:hint="default" w:ascii="Times New Roman" w:hAnsi="Times New Roman" w:eastAsia="方正小标宋简体" w:cs="Times New Roman"/>
          <w:b w:val="0"/>
          <w:bCs w:val="0"/>
          <w:color w:val="auto"/>
          <w:spacing w:val="0"/>
          <w:sz w:val="44"/>
          <w:szCs w:val="44"/>
        </w:rPr>
        <w:t>关于印发</w:t>
      </w:r>
      <w:r>
        <w:rPr>
          <w:rFonts w:hint="default" w:ascii="Times New Roman" w:hAnsi="Times New Roman" w:eastAsia="方正小标宋简体" w:cs="Times New Roman"/>
          <w:b w:val="0"/>
          <w:bCs w:val="0"/>
          <w:color w:val="auto"/>
          <w:spacing w:val="0"/>
          <w:sz w:val="44"/>
          <w:szCs w:val="44"/>
          <w:highlight w:val="none"/>
        </w:rPr>
        <w:t>《</w:t>
      </w:r>
      <w:r>
        <w:rPr>
          <w:rFonts w:hint="default" w:ascii="Times New Roman" w:hAnsi="Times New Roman" w:eastAsia="方正小标宋简体" w:cs="Times New Roman"/>
          <w:b w:val="0"/>
          <w:bCs w:val="0"/>
          <w:color w:val="auto"/>
          <w:spacing w:val="0"/>
          <w:sz w:val="44"/>
          <w:szCs w:val="44"/>
        </w:rPr>
        <w:t>大英县“十四五”农业农村</w:t>
      </w: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b w:val="0"/>
          <w:bCs w:val="0"/>
          <w:color w:val="auto"/>
          <w:spacing w:val="0"/>
          <w:sz w:val="44"/>
          <w:szCs w:val="44"/>
        </w:rPr>
      </w:pPr>
      <w:r>
        <w:rPr>
          <w:rFonts w:hint="default" w:ascii="Times New Roman" w:hAnsi="Times New Roman" w:eastAsia="方正小标宋简体" w:cs="Times New Roman"/>
          <w:b w:val="0"/>
          <w:bCs w:val="0"/>
          <w:color w:val="auto"/>
          <w:spacing w:val="0"/>
          <w:sz w:val="44"/>
          <w:szCs w:val="44"/>
        </w:rPr>
        <w:t>发展规划</w:t>
      </w:r>
      <w:r>
        <w:rPr>
          <w:rFonts w:hint="default" w:ascii="Times New Roman" w:hAnsi="Times New Roman" w:eastAsia="方正小标宋简体" w:cs="Times New Roman"/>
          <w:b w:val="0"/>
          <w:bCs w:val="0"/>
          <w:color w:val="auto"/>
          <w:spacing w:val="0"/>
          <w:sz w:val="44"/>
          <w:szCs w:val="44"/>
          <w:highlight w:val="none"/>
        </w:rPr>
        <w:t>》</w:t>
      </w:r>
      <w:r>
        <w:rPr>
          <w:rFonts w:hint="default" w:ascii="Times New Roman" w:hAnsi="Times New Roman" w:eastAsia="方正小标宋简体" w:cs="Times New Roman"/>
          <w:b w:val="0"/>
          <w:bCs w:val="0"/>
          <w:color w:val="auto"/>
          <w:spacing w:val="0"/>
          <w:sz w:val="44"/>
          <w:szCs w:val="44"/>
        </w:rPr>
        <w:t>的通知</w:t>
      </w:r>
    </w:p>
    <w:p>
      <w:pPr>
        <w:keepNext w:val="0"/>
        <w:keepLines w:val="0"/>
        <w:pageBreakBefore w:val="0"/>
        <w:widowControl/>
        <w:kinsoku/>
        <w:wordWrap/>
        <w:overflowPunct/>
        <w:topLinePunct w:val="0"/>
        <w:autoSpaceDE w:val="0"/>
        <w:autoSpaceDN w:val="0"/>
        <w:bidi w:val="0"/>
        <w:adjustRightInd w:val="0"/>
        <w:snapToGrid w:val="0"/>
        <w:spacing w:line="560" w:lineRule="exact"/>
        <w:rPr>
          <w:rFonts w:hint="default" w:ascii="Times New Roman" w:hAnsi="Times New Roman" w:cs="Times New Roman"/>
          <w:b w:val="0"/>
          <w:bCs w:val="0"/>
          <w:color w:val="auto"/>
          <w:spacing w:val="0"/>
          <w:sz w:val="21"/>
        </w:rPr>
      </w:pPr>
    </w:p>
    <w:p>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default" w:ascii="Times New Roman" w:hAnsi="Times New Roman" w:cs="Times New Roman"/>
          <w:b w:val="0"/>
          <w:bCs w:val="0"/>
          <w:color w:val="auto"/>
          <w:spacing w:val="0"/>
          <w:sz w:val="21"/>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b w:val="0"/>
          <w:bCs w:val="0"/>
          <w:color w:val="auto"/>
          <w:spacing w:val="0"/>
          <w:sz w:val="32"/>
          <w:szCs w:val="32"/>
          <w:lang w:eastAsia="zh-CN"/>
        </w:rPr>
        <w:t>各镇人民政府，各园区管委会，盐井街道办事处，县直有关部门：</w:t>
      </w:r>
    </w:p>
    <w:p>
      <w:pPr>
        <w:keepNext w:val="0"/>
        <w:keepLines w:val="0"/>
        <w:pageBreakBefore w:val="0"/>
        <w:widowControl/>
        <w:kinsoku/>
        <w:wordWrap/>
        <w:overflowPunct/>
        <w:topLinePunct w:val="0"/>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《大英县“十四五”农业农村发展规划》</w:t>
      </w:r>
      <w:r>
        <w:rPr>
          <w:rFonts w:hint="default" w:ascii="Times New Roman" w:hAnsi="Times New Roman" w:eastAsia="仿宋_GB2312" w:cs="Times New Roman"/>
          <w:b w:val="0"/>
          <w:bCs w:val="0"/>
          <w:color w:val="auto"/>
          <w:spacing w:val="0"/>
          <w:sz w:val="32"/>
          <w:szCs w:val="32"/>
        </w:rPr>
        <w:t>已经县政府</w:t>
      </w:r>
      <w:r>
        <w:rPr>
          <w:rFonts w:hint="eastAsia" w:ascii="Times New Roman" w:hAnsi="Times New Roman" w:eastAsia="仿宋_GB2312" w:cs="Times New Roman"/>
          <w:b w:val="0"/>
          <w:bCs w:val="0"/>
          <w:color w:val="auto"/>
          <w:spacing w:val="0"/>
          <w:sz w:val="32"/>
          <w:szCs w:val="32"/>
          <w:lang w:eastAsia="zh-CN"/>
        </w:rPr>
        <w:t>六届</w:t>
      </w:r>
      <w:r>
        <w:rPr>
          <w:rFonts w:hint="eastAsia" w:ascii="Times New Roman" w:hAnsi="Times New Roman" w:eastAsia="仿宋_GB2312" w:cs="Times New Roman"/>
          <w:b w:val="0"/>
          <w:bCs w:val="0"/>
          <w:color w:val="auto"/>
          <w:spacing w:val="0"/>
          <w:sz w:val="32"/>
          <w:szCs w:val="32"/>
          <w:lang w:val="en-US" w:eastAsia="zh-CN"/>
        </w:rPr>
        <w:t>45次常务会议审议通过</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现印发给你们，请认真贯彻落实。</w:t>
      </w:r>
    </w:p>
    <w:p>
      <w:pPr>
        <w:keepNext w:val="0"/>
        <w:keepLines w:val="0"/>
        <w:pageBreakBefore w:val="0"/>
        <w:widowControl/>
        <w:tabs>
          <w:tab w:val="left" w:pos="4055"/>
        </w:tabs>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b w:val="0"/>
          <w:bCs w:val="0"/>
          <w:color w:val="auto"/>
          <w:spacing w:val="0"/>
          <w:sz w:val="32"/>
          <w:szCs w:val="32"/>
          <w:lang w:eastAsia="zh-CN"/>
        </w:rPr>
      </w:pPr>
    </w:p>
    <w:p>
      <w:pPr>
        <w:keepNext w:val="0"/>
        <w:keepLines w:val="0"/>
        <w:pageBreakBefore w:val="0"/>
        <w:widowControl/>
        <w:tabs>
          <w:tab w:val="left" w:pos="4055"/>
        </w:tabs>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b w:val="0"/>
          <w:bCs w:val="0"/>
          <w:color w:val="auto"/>
          <w:spacing w:val="0"/>
          <w:sz w:val="32"/>
          <w:szCs w:val="32"/>
          <w:lang w:eastAsia="zh-CN"/>
        </w:rPr>
      </w:pPr>
    </w:p>
    <w:p>
      <w:pPr>
        <w:pStyle w:val="27"/>
        <w:rPr>
          <w:rFonts w:hint="default"/>
          <w:lang w:eastAsia="zh-CN"/>
        </w:rPr>
      </w:pPr>
    </w:p>
    <w:p>
      <w:pPr>
        <w:keepNext w:val="0"/>
        <w:keepLines w:val="0"/>
        <w:pageBreakBefore w:val="0"/>
        <w:widowControl/>
        <w:tabs>
          <w:tab w:val="left" w:pos="7511"/>
          <w:tab w:val="left" w:pos="7653"/>
        </w:tabs>
        <w:kinsoku/>
        <w:wordWrap/>
        <w:overflowPunct/>
        <w:topLinePunct w:val="0"/>
        <w:autoSpaceDE w:val="0"/>
        <w:autoSpaceDN w:val="0"/>
        <w:bidi w:val="0"/>
        <w:adjustRightInd w:val="0"/>
        <w:snapToGrid w:val="0"/>
        <w:spacing w:line="560" w:lineRule="exact"/>
        <w:ind w:firstLine="4160" w:firstLineChars="1300"/>
        <w:jc w:val="both"/>
        <w:textAlignment w:val="baseline"/>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lang w:eastAsia="zh-CN"/>
        </w:rPr>
        <w:t>大英县</w:t>
      </w:r>
      <w:r>
        <w:rPr>
          <w:rFonts w:hint="default" w:ascii="Times New Roman" w:hAnsi="Times New Roman" w:eastAsia="仿宋_GB2312" w:cs="Times New Roman"/>
          <w:b w:val="0"/>
          <w:bCs w:val="0"/>
          <w:color w:val="auto"/>
          <w:spacing w:val="0"/>
          <w:sz w:val="32"/>
          <w:szCs w:val="32"/>
        </w:rPr>
        <w:t>人民政府办公室</w:t>
      </w:r>
    </w:p>
    <w:p>
      <w:pPr>
        <w:keepNext w:val="0"/>
        <w:keepLines w:val="0"/>
        <w:pageBreakBefore w:val="0"/>
        <w:widowControl/>
        <w:tabs>
          <w:tab w:val="left" w:pos="7511"/>
          <w:tab w:val="left" w:pos="7653"/>
        </w:tabs>
        <w:kinsoku/>
        <w:wordWrap/>
        <w:overflowPunct/>
        <w:topLinePunct w:val="0"/>
        <w:autoSpaceDE w:val="0"/>
        <w:autoSpaceDN w:val="0"/>
        <w:bidi w:val="0"/>
        <w:adjustRightInd w:val="0"/>
        <w:snapToGrid w:val="0"/>
        <w:spacing w:line="560" w:lineRule="exact"/>
        <w:ind w:left="0" w:leftChars="0" w:firstLine="4578" w:firstLineChars="1251"/>
        <w:jc w:val="both"/>
        <w:textAlignment w:val="baseline"/>
        <w:rPr>
          <w:rFonts w:hint="default" w:ascii="Times New Roman" w:hAnsi="Times New Roman" w:eastAsia="仿宋_GB2312" w:cs="Times New Roman"/>
          <w:b w:val="0"/>
          <w:bCs w:val="0"/>
          <w:color w:val="auto"/>
          <w:spacing w:val="23"/>
          <w:sz w:val="32"/>
          <w:szCs w:val="32"/>
        </w:rPr>
      </w:pPr>
      <w:r>
        <w:rPr>
          <w:rFonts w:hint="default" w:ascii="Times New Roman" w:hAnsi="Times New Roman" w:eastAsia="仿宋_GB2312" w:cs="Times New Roman"/>
          <w:b w:val="0"/>
          <w:bCs w:val="0"/>
          <w:color w:val="auto"/>
          <w:spacing w:val="23"/>
          <w:sz w:val="32"/>
          <w:szCs w:val="32"/>
        </w:rPr>
        <w:t>2023年6月</w:t>
      </w:r>
      <w:r>
        <w:rPr>
          <w:rFonts w:hint="eastAsia" w:ascii="Times New Roman" w:hAnsi="Times New Roman" w:eastAsia="仿宋_GB2312" w:cs="Times New Roman"/>
          <w:b w:val="0"/>
          <w:bCs w:val="0"/>
          <w:color w:val="auto"/>
          <w:spacing w:val="23"/>
          <w:sz w:val="32"/>
          <w:szCs w:val="32"/>
          <w:lang w:val="en-US" w:eastAsia="zh-CN"/>
        </w:rPr>
        <w:t>16</w:t>
      </w:r>
      <w:r>
        <w:rPr>
          <w:rFonts w:hint="default" w:ascii="Times New Roman" w:hAnsi="Times New Roman" w:eastAsia="仿宋_GB2312" w:cs="Times New Roman"/>
          <w:b w:val="0"/>
          <w:bCs w:val="0"/>
          <w:color w:val="auto"/>
          <w:spacing w:val="23"/>
          <w:sz w:val="32"/>
          <w:szCs w:val="32"/>
        </w:rPr>
        <w:t>日</w:t>
      </w:r>
    </w:p>
    <w:p>
      <w:pPr>
        <w:spacing w:line="640" w:lineRule="exact"/>
        <w:jc w:val="center"/>
        <w:rPr>
          <w:rFonts w:hint="default" w:ascii="Times New Roman" w:hAnsi="Times New Roman" w:eastAsia="仿宋" w:cs="Times New Roman"/>
          <w:color w:val="auto"/>
          <w:sz w:val="78"/>
          <w:szCs w:val="48"/>
        </w:rPr>
      </w:pPr>
    </w:p>
    <w:p>
      <w:pPr>
        <w:pStyle w:val="29"/>
        <w:rPr>
          <w:rFonts w:hint="default" w:ascii="Times New Roman" w:hAnsi="Times New Roman" w:cs="Times New Roman"/>
        </w:rPr>
      </w:pPr>
    </w:p>
    <w:p>
      <w:pPr>
        <w:jc w:val="center"/>
        <w:rPr>
          <w:rFonts w:hint="default" w:ascii="Times New Roman" w:hAnsi="Times New Roman" w:eastAsia="方正小标宋简体" w:cs="Times New Roman"/>
          <w:b w:val="0"/>
          <w:bCs/>
          <w:color w:val="auto"/>
          <w:sz w:val="44"/>
          <w:szCs w:val="44"/>
          <w:lang w:val="zh-CN" w:bidi="mn-Mong-CN"/>
        </w:rPr>
      </w:pPr>
    </w:p>
    <w:p>
      <w:pPr>
        <w:jc w:val="center"/>
        <w:rPr>
          <w:rFonts w:hint="default" w:ascii="Times New Roman" w:hAnsi="Times New Roman" w:eastAsia="方正小标宋简体" w:cs="Times New Roman"/>
          <w:b w:val="0"/>
          <w:bCs/>
          <w:color w:val="auto"/>
          <w:sz w:val="44"/>
          <w:szCs w:val="44"/>
          <w:lang w:val="zh-CN" w:bidi="mn-Mong-CN"/>
        </w:rPr>
      </w:pPr>
    </w:p>
    <w:p>
      <w:pPr>
        <w:jc w:val="center"/>
        <w:rPr>
          <w:rFonts w:hint="default" w:ascii="Times New Roman" w:hAnsi="Times New Roman" w:eastAsia="方正小标宋简体" w:cs="Times New Roman"/>
          <w:b w:val="0"/>
          <w:bCs/>
          <w:color w:val="auto"/>
          <w:sz w:val="44"/>
          <w:szCs w:val="44"/>
          <w:lang w:val="zh-CN" w:bidi="mn-Mong-CN"/>
        </w:rPr>
      </w:pPr>
    </w:p>
    <w:p>
      <w:pPr>
        <w:jc w:val="center"/>
        <w:rPr>
          <w:rFonts w:hint="default" w:ascii="Times New Roman" w:hAnsi="Times New Roman" w:eastAsia="方正小标宋简体" w:cs="Times New Roman"/>
          <w:b w:val="0"/>
          <w:bCs/>
          <w:color w:val="auto"/>
          <w:sz w:val="44"/>
          <w:szCs w:val="44"/>
          <w:lang w:val="zh-CN" w:bidi="mn-Mong-CN"/>
        </w:rPr>
      </w:pPr>
      <w:bookmarkStart w:id="953" w:name="_GoBack"/>
      <w:r>
        <w:rPr>
          <w:rFonts w:hint="default" w:ascii="Times New Roman" w:hAnsi="Times New Roman" w:eastAsia="方正小标宋简体" w:cs="Times New Roman"/>
          <w:b w:val="0"/>
          <w:bCs/>
          <w:color w:val="auto"/>
          <w:sz w:val="44"/>
          <w:szCs w:val="44"/>
          <w:lang w:val="zh-CN" w:bidi="mn-Mong-CN"/>
        </w:rPr>
        <w:t>大英县“十四五”农业农村发展规划</w:t>
      </w:r>
    </w:p>
    <w:bookmarkEnd w:id="953"/>
    <w:p>
      <w:pPr>
        <w:spacing w:before="312" w:beforeLines="100" w:after="312" w:afterLines="100" w:line="560" w:lineRule="exact"/>
        <w:jc w:val="center"/>
        <w:outlineLvl w:val="0"/>
        <w:rPr>
          <w:rFonts w:hint="default" w:ascii="Times New Roman" w:hAnsi="Times New Roman" w:eastAsia="黑体" w:cs="Times New Roman"/>
          <w:b w:val="0"/>
          <w:bCs w:val="0"/>
          <w:color w:val="auto"/>
          <w:sz w:val="32"/>
          <w:szCs w:val="32"/>
        </w:rPr>
      </w:pPr>
      <w:bookmarkStart w:id="0" w:name="_Toc13312"/>
      <w:bookmarkStart w:id="1" w:name="_Toc30928"/>
      <w:bookmarkStart w:id="2" w:name="_Toc19927"/>
      <w:bookmarkStart w:id="3" w:name="_Toc19911"/>
      <w:bookmarkStart w:id="4" w:name="_Toc12163"/>
      <w:bookmarkStart w:id="5" w:name="_Toc32258"/>
      <w:bookmarkStart w:id="6" w:name="_Toc22305"/>
      <w:bookmarkStart w:id="7" w:name="_Toc2676"/>
      <w:r>
        <w:rPr>
          <w:rFonts w:hint="default" w:ascii="Times New Roman" w:hAnsi="Times New Roman" w:eastAsia="黑体" w:cs="Times New Roman"/>
          <w:b w:val="0"/>
          <w:bCs w:val="0"/>
          <w:color w:val="auto"/>
          <w:sz w:val="32"/>
          <w:szCs w:val="32"/>
        </w:rPr>
        <w:t>第一篇  规划背景</w:t>
      </w:r>
      <w:bookmarkEnd w:id="0"/>
      <w:bookmarkEnd w:id="1"/>
      <w:bookmarkEnd w:id="2"/>
      <w:bookmarkEnd w:id="3"/>
      <w:bookmarkEnd w:id="4"/>
      <w:bookmarkEnd w:id="5"/>
      <w:bookmarkEnd w:id="6"/>
      <w:bookmarkEnd w:id="7"/>
    </w:p>
    <w:p>
      <w:pPr>
        <w:spacing w:before="312" w:beforeLines="100" w:after="312" w:afterLines="100" w:line="560" w:lineRule="exact"/>
        <w:jc w:val="center"/>
        <w:outlineLvl w:val="1"/>
        <w:rPr>
          <w:rFonts w:hint="default" w:ascii="Times New Roman" w:hAnsi="Times New Roman" w:eastAsia="黑体" w:cs="Times New Roman"/>
          <w:color w:val="auto"/>
          <w:kern w:val="0"/>
          <w:sz w:val="28"/>
          <w:szCs w:val="28"/>
          <w:lang w:val="mn-Mong-CN" w:bidi="mn-Mong-CN"/>
        </w:rPr>
      </w:pPr>
      <w:bookmarkStart w:id="8" w:name="_Toc28663"/>
      <w:bookmarkStart w:id="9" w:name="_Toc11286"/>
      <w:bookmarkStart w:id="10" w:name="_Toc31323"/>
      <w:bookmarkStart w:id="11" w:name="_Toc23931"/>
      <w:bookmarkStart w:id="12" w:name="_Toc32284"/>
      <w:bookmarkStart w:id="13" w:name="_Toc16673"/>
      <w:bookmarkStart w:id="14" w:name="_Toc5397"/>
      <w:bookmarkStart w:id="15" w:name="_Toc29644"/>
      <w:r>
        <w:rPr>
          <w:rFonts w:hint="default" w:ascii="Times New Roman" w:hAnsi="Times New Roman" w:eastAsia="黑体" w:cs="Times New Roman"/>
          <w:color w:val="auto"/>
          <w:kern w:val="0"/>
          <w:sz w:val="28"/>
          <w:szCs w:val="28"/>
          <w:lang w:val="mn-Mong-CN" w:bidi="mn-Mong-CN"/>
        </w:rPr>
        <w:t>第一章  重大意义</w:t>
      </w:r>
      <w:bookmarkEnd w:id="8"/>
      <w:bookmarkEnd w:id="9"/>
      <w:bookmarkEnd w:id="10"/>
      <w:bookmarkEnd w:id="11"/>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十三五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以来，面对复杂严峻的国内外形势，特别是突如其来的新冠肺炎疫情，大英县</w:t>
      </w:r>
      <w:r>
        <w:rPr>
          <w:rFonts w:hint="default" w:ascii="Times New Roman" w:hAnsi="Times New Roman" w:eastAsia="仿宋_GB2312" w:cs="Times New Roman"/>
          <w:color w:val="auto"/>
          <w:sz w:val="32"/>
          <w:szCs w:val="32"/>
          <w:lang w:val="en-US" w:eastAsia="zh-CN"/>
        </w:rPr>
        <w:t>坚持</w:t>
      </w:r>
      <w:r>
        <w:rPr>
          <w:rFonts w:hint="default" w:ascii="Times New Roman" w:hAnsi="Times New Roman" w:eastAsia="仿宋_GB2312" w:cs="Times New Roman"/>
          <w:color w:val="auto"/>
          <w:sz w:val="32"/>
          <w:szCs w:val="32"/>
        </w:rPr>
        <w:t>以习近平</w:t>
      </w:r>
      <w:r>
        <w:rPr>
          <w:rFonts w:hint="default" w:ascii="Times New Roman" w:hAnsi="Times New Roman" w:eastAsia="仿宋_GB2312" w:cs="Times New Roman"/>
          <w:color w:val="auto"/>
          <w:sz w:val="32"/>
          <w:szCs w:val="32"/>
          <w:lang w:eastAsia="zh-CN"/>
        </w:rPr>
        <w:t>新时代</w:t>
      </w:r>
      <w:r>
        <w:rPr>
          <w:rFonts w:hint="default" w:ascii="Times New Roman" w:hAnsi="Times New Roman" w:eastAsia="仿宋_GB2312" w:cs="Times New Roman"/>
          <w:color w:val="auto"/>
          <w:sz w:val="32"/>
          <w:szCs w:val="32"/>
        </w:rPr>
        <w:t>中国特色社会主义思想为指导，全面贯彻落实中央、省委、市委决策部署，坚持以乡村振兴为抓手，以农业供给侧结构性改革为主线，围绕绿色发展推动农业现代化建设，</w:t>
      </w:r>
      <w:r>
        <w:rPr>
          <w:rFonts w:hint="default" w:ascii="Times New Roman" w:hAnsi="Times New Roman" w:eastAsia="仿宋_GB2312" w:cs="Times New Roman"/>
          <w:color w:val="auto"/>
          <w:sz w:val="32"/>
          <w:szCs w:val="32"/>
          <w:lang w:val="en-US" w:eastAsia="zh-CN"/>
        </w:rPr>
        <w:t>全县</w:t>
      </w:r>
      <w:r>
        <w:rPr>
          <w:rFonts w:hint="default" w:ascii="Times New Roman" w:hAnsi="Times New Roman" w:eastAsia="仿宋_GB2312" w:cs="Times New Roman"/>
          <w:color w:val="auto"/>
          <w:sz w:val="32"/>
          <w:szCs w:val="32"/>
          <w:lang w:val="zh-CN"/>
        </w:rPr>
        <w:t>农业农村经济社会取得</w:t>
      </w:r>
      <w:r>
        <w:rPr>
          <w:rFonts w:hint="default"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lang w:val="zh-CN"/>
        </w:rPr>
        <w:t>显著成效。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恰逢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两个百年目标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交接，是</w:t>
      </w: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由全面建成小康社会向基本实现社会主义现代化迈进开局起步的五年，也是</w:t>
      </w:r>
      <w:r>
        <w:rPr>
          <w:rFonts w:hint="default" w:ascii="Times New Roman" w:hAnsi="Times New Roman" w:eastAsia="仿宋_GB2312" w:cs="Times New Roman"/>
          <w:color w:val="auto"/>
          <w:sz w:val="32"/>
          <w:szCs w:val="32"/>
          <w:lang w:val="en-US" w:eastAsia="zh-CN"/>
        </w:rPr>
        <w:t>大英</w:t>
      </w:r>
      <w:r>
        <w:rPr>
          <w:rFonts w:hint="default" w:ascii="Times New Roman" w:hAnsi="Times New Roman" w:eastAsia="仿宋_GB2312" w:cs="Times New Roman"/>
          <w:color w:val="auto"/>
          <w:sz w:val="32"/>
          <w:szCs w:val="32"/>
        </w:rPr>
        <w:t>主动融入成渝地区双城经济圈、加快现代农业融城发展、协同发展的五年，还是</w:t>
      </w:r>
      <w:r>
        <w:rPr>
          <w:rFonts w:hint="default" w:ascii="Times New Roman" w:hAnsi="Times New Roman" w:eastAsia="仿宋_GB2312" w:cs="Times New Roman"/>
          <w:color w:val="auto"/>
          <w:sz w:val="32"/>
          <w:szCs w:val="32"/>
          <w:lang w:val="en-US" w:eastAsia="zh-CN"/>
        </w:rPr>
        <w:t>大英</w:t>
      </w:r>
      <w:r>
        <w:rPr>
          <w:rFonts w:hint="default" w:ascii="Times New Roman" w:hAnsi="Times New Roman" w:eastAsia="仿宋_GB2312" w:cs="Times New Roman"/>
          <w:color w:val="auto"/>
          <w:sz w:val="32"/>
          <w:szCs w:val="32"/>
        </w:rPr>
        <w:t>全面实施乡村振兴战略、持续深化农业供给侧结构性改革、推动农业农村高质量发展极其重要的五年，更是</w:t>
      </w:r>
      <w:r>
        <w:rPr>
          <w:rFonts w:hint="default" w:ascii="Times New Roman" w:hAnsi="Times New Roman" w:eastAsia="仿宋_GB2312" w:cs="Times New Roman"/>
          <w:color w:val="auto"/>
          <w:sz w:val="32"/>
          <w:szCs w:val="32"/>
          <w:lang w:val="en-US" w:eastAsia="zh-CN"/>
        </w:rPr>
        <w:t>大英</w:t>
      </w:r>
      <w:r>
        <w:rPr>
          <w:rFonts w:hint="default" w:ascii="Times New Roman" w:hAnsi="Times New Roman" w:eastAsia="仿宋_GB2312" w:cs="Times New Roman"/>
          <w:color w:val="auto"/>
          <w:sz w:val="32"/>
          <w:szCs w:val="32"/>
        </w:rPr>
        <w:t>贯彻落实省委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一干多支、五区协同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和市委</w:t>
      </w:r>
      <w:r>
        <w:rPr>
          <w:rFonts w:hint="default" w:ascii="Times New Roman" w:hAnsi="Times New Roman" w:eastAsia="仿宋_GB2312" w:cs="Times New Roman"/>
          <w:color w:val="auto"/>
          <w:sz w:val="32"/>
          <w:szCs w:val="32"/>
          <w:lang w:val="zh-CN"/>
        </w:rPr>
        <w:t>富民强市“一二三四五”兴遂</w:t>
      </w:r>
      <w:r>
        <w:rPr>
          <w:rFonts w:hint="default" w:ascii="Times New Roman" w:hAnsi="Times New Roman" w:eastAsia="仿宋_GB2312" w:cs="Times New Roman"/>
          <w:color w:val="auto"/>
          <w:sz w:val="32"/>
          <w:szCs w:val="32"/>
        </w:rPr>
        <w:t>战略、支持市委建设川渝毗邻地区一体化发展先行区、加快建设</w:t>
      </w: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农业农村现代化新高地追赶跨越的五年。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农业农村规划，是</w:t>
      </w: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积极主动应对新形势新挑战的五年规划，是体现农业农村高质量发展要求的五年规划。科学编制并有效实施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农业农村规划，对于统一思想、坚定信心、凝聚民心、集聚要素、凝聚合力具有十分重大深远的意义。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2"/>
        <w:rPr>
          <w:rFonts w:hint="default" w:ascii="Times New Roman" w:hAnsi="Times New Roman" w:eastAsia="楷体" w:cs="Times New Roman"/>
          <w:b/>
          <w:color w:val="auto"/>
          <w:sz w:val="32"/>
          <w:szCs w:val="32"/>
        </w:rPr>
      </w:pPr>
      <w:bookmarkStart w:id="16" w:name="_Toc31712"/>
      <w:bookmarkStart w:id="17" w:name="_Toc15049"/>
      <w:bookmarkStart w:id="18" w:name="_Toc25747"/>
      <w:bookmarkStart w:id="19" w:name="_Toc25555"/>
      <w:bookmarkStart w:id="20" w:name="_Toc20519"/>
      <w:bookmarkStart w:id="21" w:name="_Toc25489"/>
      <w:bookmarkStart w:id="22" w:name="_Toc17204"/>
      <w:bookmarkStart w:id="23" w:name="_Toc13376"/>
      <w:r>
        <w:rPr>
          <w:rFonts w:hint="default" w:ascii="Times New Roman" w:hAnsi="Times New Roman" w:eastAsia="楷体" w:cs="Times New Roman"/>
          <w:b/>
          <w:color w:val="auto"/>
          <w:sz w:val="32"/>
          <w:szCs w:val="32"/>
        </w:rPr>
        <w:t>1.1</w:t>
      </w:r>
      <w:r>
        <w:rPr>
          <w:rFonts w:hint="default" w:ascii="Times New Roman" w:hAnsi="Times New Roman" w:eastAsia="楷体" w:cs="Times New Roman"/>
          <w:b/>
          <w:color w:val="auto"/>
          <w:sz w:val="32"/>
          <w:szCs w:val="32"/>
          <w:lang w:val="en-US" w:eastAsia="zh-CN"/>
        </w:rPr>
        <w:t xml:space="preserve"> </w:t>
      </w:r>
      <w:r>
        <w:rPr>
          <w:rFonts w:hint="default" w:ascii="Times New Roman" w:hAnsi="Times New Roman" w:eastAsia="楷体" w:cs="Times New Roman"/>
          <w:b/>
          <w:color w:val="auto"/>
          <w:sz w:val="32"/>
          <w:szCs w:val="32"/>
          <w:lang w:eastAsia="zh-CN"/>
        </w:rPr>
        <w:t>“</w:t>
      </w:r>
      <w:r>
        <w:rPr>
          <w:rFonts w:hint="default" w:ascii="Times New Roman" w:hAnsi="Times New Roman" w:eastAsia="楷体" w:cs="Times New Roman"/>
          <w:b/>
          <w:color w:val="auto"/>
          <w:sz w:val="32"/>
          <w:szCs w:val="32"/>
        </w:rPr>
        <w:t>十四五</w:t>
      </w:r>
      <w:r>
        <w:rPr>
          <w:rFonts w:hint="default" w:ascii="Times New Roman" w:hAnsi="Times New Roman" w:eastAsia="楷体" w:cs="Times New Roman"/>
          <w:b/>
          <w:color w:val="auto"/>
          <w:sz w:val="32"/>
          <w:szCs w:val="32"/>
          <w:lang w:eastAsia="zh-CN"/>
        </w:rPr>
        <w:t>”</w:t>
      </w:r>
      <w:r>
        <w:rPr>
          <w:rFonts w:hint="default" w:ascii="Times New Roman" w:hAnsi="Times New Roman" w:eastAsia="楷体" w:cs="Times New Roman"/>
          <w:b/>
          <w:color w:val="auto"/>
          <w:sz w:val="32"/>
          <w:szCs w:val="32"/>
        </w:rPr>
        <w:t>时期是从实现农村全面小康到全面推进乡村振兴的关键时期</w:t>
      </w:r>
      <w:bookmarkEnd w:id="16"/>
      <w:bookmarkEnd w:id="17"/>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时期，是脱贫攻坚与乡村振兴衔接、供给侧结构性改革的深化与农业农村高质量发展等重要历史节点。总体而言，</w:t>
      </w: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农业农村经济发展面临着第二个百年目标建设需要顺利开局、精准脱贫与乡村振兴战略需要有效衔接、农业供给侧结构性改革需要适期深化等重大机遇。只有以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农业农村规划为蓝图，坚持创新为第一动力、协调为内生特点、绿色为普遍形态</w:t>
      </w:r>
      <w:r>
        <w:rPr>
          <w:rFonts w:hint="default" w:ascii="Times New Roman" w:hAnsi="Times New Roman" w:eastAsia="仿宋_GB2312" w:cs="Times New Roman"/>
          <w:color w:val="auto"/>
          <w:sz w:val="32"/>
          <w:szCs w:val="32"/>
          <w:highlight w:val="none"/>
        </w:rPr>
        <w:t>、开放为必</w:t>
      </w:r>
      <w:r>
        <w:rPr>
          <w:rFonts w:hint="default" w:ascii="Times New Roman" w:hAnsi="Times New Roman" w:eastAsia="仿宋_GB2312" w:cs="Times New Roman"/>
          <w:color w:val="auto"/>
          <w:sz w:val="32"/>
          <w:szCs w:val="32"/>
          <w:highlight w:val="none"/>
          <w:lang w:val="en-US" w:eastAsia="zh-CN"/>
        </w:rPr>
        <w:t>经</w:t>
      </w:r>
      <w:r>
        <w:rPr>
          <w:rFonts w:hint="default" w:ascii="Times New Roman" w:hAnsi="Times New Roman" w:eastAsia="仿宋_GB2312" w:cs="Times New Roman"/>
          <w:color w:val="auto"/>
          <w:sz w:val="32"/>
          <w:szCs w:val="32"/>
          <w:highlight w:val="none"/>
        </w:rPr>
        <w:t>之路、</w:t>
      </w:r>
      <w:r>
        <w:rPr>
          <w:rFonts w:hint="default" w:ascii="Times New Roman" w:hAnsi="Times New Roman" w:eastAsia="仿宋_GB2312" w:cs="Times New Roman"/>
          <w:color w:val="auto"/>
          <w:sz w:val="32"/>
          <w:szCs w:val="32"/>
        </w:rPr>
        <w:t>共享为根本目的，才能加快实现</w:t>
      </w:r>
      <w:r>
        <w:rPr>
          <w:rFonts w:hint="default" w:ascii="Times New Roman" w:hAnsi="Times New Roman" w:eastAsia="仿宋_GB2312" w:cs="Times New Roman"/>
          <w:color w:val="auto"/>
          <w:sz w:val="32"/>
          <w:szCs w:val="32"/>
          <w:lang w:val="en-US" w:eastAsia="zh-CN"/>
        </w:rPr>
        <w:t>大英</w:t>
      </w:r>
      <w:r>
        <w:rPr>
          <w:rFonts w:hint="default" w:ascii="Times New Roman" w:hAnsi="Times New Roman" w:eastAsia="仿宋_GB2312" w:cs="Times New Roman"/>
          <w:color w:val="auto"/>
          <w:sz w:val="32"/>
          <w:szCs w:val="32"/>
        </w:rPr>
        <w:t>农业农村现代化和农民生活再迈新台阶，筑牢小康社会的关键时期。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2"/>
        <w:rPr>
          <w:rFonts w:hint="default" w:ascii="Times New Roman" w:hAnsi="Times New Roman" w:eastAsia="楷体" w:cs="Times New Roman"/>
          <w:b/>
          <w:color w:val="auto"/>
          <w:sz w:val="32"/>
          <w:szCs w:val="32"/>
        </w:rPr>
      </w:pPr>
      <w:bookmarkStart w:id="24" w:name="_Toc20535"/>
      <w:bookmarkStart w:id="25" w:name="_Toc29055"/>
      <w:bookmarkStart w:id="26" w:name="_Toc29541"/>
      <w:bookmarkStart w:id="27" w:name="_Toc10160"/>
      <w:bookmarkStart w:id="28" w:name="_Toc29540"/>
      <w:bookmarkStart w:id="29" w:name="_Toc31239"/>
      <w:bookmarkStart w:id="30" w:name="_Toc1416"/>
      <w:bookmarkStart w:id="31" w:name="_Toc22366"/>
      <w:r>
        <w:rPr>
          <w:rFonts w:hint="default" w:ascii="Times New Roman" w:hAnsi="Times New Roman" w:eastAsia="楷体" w:cs="Times New Roman"/>
          <w:b/>
          <w:color w:val="auto"/>
          <w:sz w:val="32"/>
          <w:szCs w:val="32"/>
        </w:rPr>
        <w:t>1.2</w:t>
      </w:r>
      <w:r>
        <w:rPr>
          <w:rFonts w:hint="default" w:ascii="Times New Roman" w:hAnsi="Times New Roman" w:eastAsia="楷体" w:cs="Times New Roman"/>
          <w:b/>
          <w:color w:val="auto"/>
          <w:sz w:val="32"/>
          <w:szCs w:val="32"/>
          <w:lang w:val="en-US" w:eastAsia="zh-CN"/>
        </w:rPr>
        <w:t xml:space="preserve"> </w:t>
      </w:r>
      <w:r>
        <w:rPr>
          <w:rFonts w:hint="default" w:ascii="Times New Roman" w:hAnsi="Times New Roman" w:eastAsia="楷体" w:cs="Times New Roman"/>
          <w:b/>
          <w:color w:val="auto"/>
          <w:sz w:val="32"/>
          <w:szCs w:val="32"/>
          <w:lang w:eastAsia="zh-CN"/>
        </w:rPr>
        <w:t>“</w:t>
      </w:r>
      <w:r>
        <w:rPr>
          <w:rFonts w:hint="default" w:ascii="Times New Roman" w:hAnsi="Times New Roman" w:eastAsia="楷体" w:cs="Times New Roman"/>
          <w:b/>
          <w:color w:val="auto"/>
          <w:sz w:val="32"/>
          <w:szCs w:val="32"/>
        </w:rPr>
        <w:t>十四五</w:t>
      </w:r>
      <w:r>
        <w:rPr>
          <w:rFonts w:hint="default" w:ascii="Times New Roman" w:hAnsi="Times New Roman" w:eastAsia="楷体" w:cs="Times New Roman"/>
          <w:b/>
          <w:color w:val="auto"/>
          <w:sz w:val="32"/>
          <w:szCs w:val="32"/>
          <w:lang w:eastAsia="zh-CN"/>
        </w:rPr>
        <w:t>”</w:t>
      </w:r>
      <w:r>
        <w:rPr>
          <w:rFonts w:hint="default" w:ascii="Times New Roman" w:hAnsi="Times New Roman" w:eastAsia="楷体" w:cs="Times New Roman"/>
          <w:b/>
          <w:color w:val="auto"/>
          <w:sz w:val="32"/>
          <w:szCs w:val="32"/>
        </w:rPr>
        <w:t>时期是高质量建设现代农业产业、生产、经营体系的重要时期</w:t>
      </w:r>
      <w:bookmarkEnd w:id="24"/>
      <w:bookmarkEnd w:id="25"/>
      <w:bookmarkEnd w:id="26"/>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建县以来，</w:t>
      </w: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农业产业结构加快调整，农业生产方式加快转变，产业体系加快完善，农业基础设施加快夯实，产业环境持续得到改善，农业总产值持续增加，发展动能不断释放，大英农业的竞争力、影响力、辐射力、吸引力、带动力不断提升，农业发展质量持续向好、向优，农业对县域经济发展的贡献愈加突出，</w:t>
      </w:r>
      <w:r>
        <w:rPr>
          <w:rFonts w:hint="default" w:ascii="Times New Roman" w:hAnsi="Times New Roman" w:eastAsia="仿宋_GB2312" w:cs="Times New Roman"/>
          <w:color w:val="auto"/>
          <w:sz w:val="32"/>
          <w:szCs w:val="32"/>
          <w:lang w:val="en-US" w:eastAsia="zh-CN"/>
        </w:rPr>
        <w:t>全县</w:t>
      </w:r>
      <w:r>
        <w:rPr>
          <w:rFonts w:hint="default" w:ascii="Times New Roman" w:hAnsi="Times New Roman" w:eastAsia="仿宋_GB2312" w:cs="Times New Roman"/>
          <w:color w:val="auto"/>
          <w:sz w:val="32"/>
          <w:szCs w:val="32"/>
        </w:rPr>
        <w:t>粮食、生猪、果蔬、中药材等特色产业基础不断夯实，发展优势明显。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时期，是坚决贯彻落实党中央关于粮食安全</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生猪生产确保重要农产品供给的首要任务，是坚决认真落实全省农业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10+3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产业体系总体部署和以现代农业园区建设为抓手推进农业农村现代化的主要任务，加快构建具有大英特色的现代农业产业体系，是实现农业农村现代化的必然选择。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2"/>
        <w:rPr>
          <w:rFonts w:hint="default" w:ascii="Times New Roman" w:hAnsi="Times New Roman" w:eastAsia="楷体" w:cs="Times New Roman"/>
          <w:b/>
          <w:color w:val="auto"/>
          <w:sz w:val="32"/>
          <w:szCs w:val="32"/>
        </w:rPr>
      </w:pPr>
      <w:bookmarkStart w:id="32" w:name="_Toc30316"/>
      <w:bookmarkStart w:id="33" w:name="_Toc5065"/>
      <w:bookmarkStart w:id="34" w:name="_Toc27088"/>
      <w:bookmarkStart w:id="35" w:name="_Toc27202"/>
      <w:bookmarkStart w:id="36" w:name="_Toc8073"/>
      <w:bookmarkStart w:id="37" w:name="_Toc29386"/>
      <w:bookmarkStart w:id="38" w:name="_Toc29802"/>
      <w:bookmarkStart w:id="39" w:name="_Toc9537"/>
      <w:r>
        <w:rPr>
          <w:rFonts w:hint="default" w:ascii="Times New Roman" w:hAnsi="Times New Roman" w:eastAsia="楷体" w:cs="Times New Roman"/>
          <w:b/>
          <w:color w:val="auto"/>
          <w:sz w:val="32"/>
          <w:szCs w:val="32"/>
        </w:rPr>
        <w:t>1.3</w:t>
      </w:r>
      <w:r>
        <w:rPr>
          <w:rFonts w:hint="default" w:ascii="Times New Roman" w:hAnsi="Times New Roman" w:eastAsia="楷体" w:cs="Times New Roman"/>
          <w:b/>
          <w:color w:val="auto"/>
          <w:sz w:val="32"/>
          <w:szCs w:val="32"/>
          <w:lang w:val="en-US" w:eastAsia="zh-CN"/>
        </w:rPr>
        <w:t xml:space="preserve"> </w:t>
      </w:r>
      <w:r>
        <w:rPr>
          <w:rFonts w:hint="default" w:ascii="Times New Roman" w:hAnsi="Times New Roman" w:eastAsia="楷体" w:cs="Times New Roman"/>
          <w:b/>
          <w:color w:val="auto"/>
          <w:sz w:val="32"/>
          <w:szCs w:val="32"/>
          <w:lang w:eastAsia="zh-CN"/>
        </w:rPr>
        <w:t>“</w:t>
      </w:r>
      <w:r>
        <w:rPr>
          <w:rFonts w:hint="default" w:ascii="Times New Roman" w:hAnsi="Times New Roman" w:eastAsia="楷体" w:cs="Times New Roman"/>
          <w:b/>
          <w:color w:val="auto"/>
          <w:sz w:val="32"/>
          <w:szCs w:val="32"/>
        </w:rPr>
        <w:t>十四五</w:t>
      </w:r>
      <w:r>
        <w:rPr>
          <w:rFonts w:hint="default" w:ascii="Times New Roman" w:hAnsi="Times New Roman" w:eastAsia="楷体" w:cs="Times New Roman"/>
          <w:b/>
          <w:color w:val="auto"/>
          <w:sz w:val="32"/>
          <w:szCs w:val="32"/>
          <w:lang w:eastAsia="zh-CN"/>
        </w:rPr>
        <w:t>”</w:t>
      </w:r>
      <w:r>
        <w:rPr>
          <w:rFonts w:hint="default" w:ascii="Times New Roman" w:hAnsi="Times New Roman" w:eastAsia="楷体" w:cs="Times New Roman"/>
          <w:b/>
          <w:color w:val="auto"/>
          <w:sz w:val="32"/>
          <w:szCs w:val="32"/>
        </w:rPr>
        <w:t>时期是建设</w:t>
      </w:r>
      <w:r>
        <w:rPr>
          <w:rFonts w:hint="default" w:ascii="Times New Roman" w:hAnsi="Times New Roman" w:eastAsia="楷体" w:cs="Times New Roman"/>
          <w:b/>
          <w:color w:val="auto"/>
          <w:sz w:val="32"/>
          <w:szCs w:val="32"/>
          <w:lang w:eastAsia="zh-CN"/>
        </w:rPr>
        <w:t>“</w:t>
      </w:r>
      <w:r>
        <w:rPr>
          <w:rFonts w:hint="default" w:ascii="Times New Roman" w:hAnsi="Times New Roman" w:eastAsia="楷体" w:cs="Times New Roman"/>
          <w:b/>
          <w:color w:val="auto"/>
          <w:sz w:val="32"/>
          <w:szCs w:val="32"/>
        </w:rPr>
        <w:t>美丽大英·宜居乡村</w:t>
      </w:r>
      <w:r>
        <w:rPr>
          <w:rFonts w:hint="default" w:ascii="Times New Roman" w:hAnsi="Times New Roman" w:eastAsia="楷体" w:cs="Times New Roman"/>
          <w:b/>
          <w:color w:val="auto"/>
          <w:sz w:val="32"/>
          <w:szCs w:val="32"/>
          <w:lang w:eastAsia="zh-CN"/>
        </w:rPr>
        <w:t>”</w:t>
      </w:r>
      <w:r>
        <w:rPr>
          <w:rFonts w:hint="default" w:ascii="Times New Roman" w:hAnsi="Times New Roman" w:eastAsia="楷体" w:cs="Times New Roman"/>
          <w:b/>
          <w:color w:val="auto"/>
          <w:sz w:val="32"/>
          <w:szCs w:val="32"/>
        </w:rPr>
        <w:t>的攻坚时期</w:t>
      </w:r>
      <w:bookmarkEnd w:id="32"/>
      <w:bookmarkEnd w:id="33"/>
      <w:bookmarkEnd w:id="34"/>
      <w:bookmarkEnd w:id="35"/>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实施乡村建设行动，持续深化农村生态文明建设和人居环境整治，是推动城乡一体发展，全面推进美丽宜居乡村建设的现实要求。近年来，</w:t>
      </w: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认真落实《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美丽四川·宜居乡村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推进方案（2018—2020年）》，农业农村环境突出问题治理取得阶段性成效，农村人居环境明显改善，村容村貌大幅提升，农村群众好习惯好风气不断养成，农旅融合蓬勃发展。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时期，大英将以涪江流域绿色发展示范带建设为重点，坚持生态优先绿色发展引领，加强农村人居环境整治，形成绿色生态生产生活体系，为高质量实现宜居、宜业、宜游的新大英提供支撑。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2"/>
        <w:rPr>
          <w:rFonts w:hint="default" w:ascii="Times New Roman" w:hAnsi="Times New Roman" w:eastAsia="楷体" w:cs="Times New Roman"/>
          <w:b/>
          <w:color w:val="auto"/>
          <w:sz w:val="32"/>
          <w:szCs w:val="32"/>
        </w:rPr>
      </w:pPr>
      <w:bookmarkStart w:id="40" w:name="_Toc3639"/>
      <w:bookmarkStart w:id="41" w:name="_Toc1558"/>
      <w:bookmarkStart w:id="42" w:name="_Toc7337"/>
      <w:bookmarkStart w:id="43" w:name="_Toc4240"/>
      <w:bookmarkStart w:id="44" w:name="_Toc28072"/>
      <w:bookmarkStart w:id="45" w:name="_Toc30497"/>
      <w:bookmarkStart w:id="46" w:name="_Toc14324"/>
      <w:bookmarkStart w:id="47" w:name="_Toc25509"/>
      <w:r>
        <w:rPr>
          <w:rFonts w:hint="default" w:ascii="Times New Roman" w:hAnsi="Times New Roman" w:eastAsia="楷体" w:cs="Times New Roman"/>
          <w:b/>
          <w:color w:val="auto"/>
          <w:sz w:val="32"/>
          <w:szCs w:val="32"/>
        </w:rPr>
        <w:t>1.4</w:t>
      </w:r>
      <w:r>
        <w:rPr>
          <w:rFonts w:hint="default" w:ascii="Times New Roman" w:hAnsi="Times New Roman" w:eastAsia="楷体" w:cs="Times New Roman"/>
          <w:b/>
          <w:color w:val="auto"/>
          <w:sz w:val="32"/>
          <w:szCs w:val="32"/>
          <w:lang w:val="en-US" w:eastAsia="zh-CN"/>
        </w:rPr>
        <w:t xml:space="preserve"> </w:t>
      </w:r>
      <w:r>
        <w:rPr>
          <w:rFonts w:hint="default" w:ascii="Times New Roman" w:hAnsi="Times New Roman" w:eastAsia="楷体" w:cs="Times New Roman"/>
          <w:b/>
          <w:color w:val="auto"/>
          <w:sz w:val="32"/>
          <w:szCs w:val="32"/>
          <w:lang w:eastAsia="zh-CN"/>
        </w:rPr>
        <w:t>“</w:t>
      </w:r>
      <w:r>
        <w:rPr>
          <w:rFonts w:hint="default" w:ascii="Times New Roman" w:hAnsi="Times New Roman" w:eastAsia="楷体" w:cs="Times New Roman"/>
          <w:b/>
          <w:color w:val="auto"/>
          <w:sz w:val="32"/>
          <w:szCs w:val="32"/>
        </w:rPr>
        <w:t>十四五</w:t>
      </w:r>
      <w:r>
        <w:rPr>
          <w:rFonts w:hint="default" w:ascii="Times New Roman" w:hAnsi="Times New Roman" w:eastAsia="楷体" w:cs="Times New Roman"/>
          <w:b/>
          <w:color w:val="auto"/>
          <w:sz w:val="32"/>
          <w:szCs w:val="32"/>
          <w:lang w:eastAsia="zh-CN"/>
        </w:rPr>
        <w:t>”</w:t>
      </w:r>
      <w:r>
        <w:rPr>
          <w:rFonts w:hint="default" w:ascii="Times New Roman" w:hAnsi="Times New Roman" w:eastAsia="楷体" w:cs="Times New Roman"/>
          <w:b/>
          <w:color w:val="auto"/>
          <w:sz w:val="32"/>
          <w:szCs w:val="32"/>
        </w:rPr>
        <w:t>是</w:t>
      </w:r>
      <w:r>
        <w:rPr>
          <w:rFonts w:hint="default" w:ascii="Times New Roman" w:hAnsi="Times New Roman" w:eastAsia="楷体" w:cs="Times New Roman"/>
          <w:b/>
          <w:color w:val="auto"/>
          <w:sz w:val="32"/>
          <w:szCs w:val="32"/>
          <w:lang w:eastAsia="zh-CN"/>
        </w:rPr>
        <w:t>农村居民人均可支配收入</w:t>
      </w:r>
      <w:r>
        <w:rPr>
          <w:rFonts w:hint="default" w:ascii="Times New Roman" w:hAnsi="Times New Roman" w:eastAsia="楷体" w:cs="Times New Roman"/>
          <w:b/>
          <w:color w:val="auto"/>
          <w:sz w:val="32"/>
          <w:szCs w:val="32"/>
        </w:rPr>
        <w:t>持续增长的加速期</w:t>
      </w:r>
      <w:bookmarkEnd w:id="40"/>
      <w:bookmarkEnd w:id="41"/>
      <w:bookmarkEnd w:id="42"/>
      <w:bookmarkEnd w:id="43"/>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国特色社会主义进入新时代，人民对美好生活的向往是党和国家事业奋斗的方向，建县以来，大英突出政策扶持、产业带动、就业创业推动，多渠道、多举措增加农民收入，特别围绕打赢脱贫攻坚战，农民增收实现较快增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时期，增加</w:t>
      </w:r>
      <w:r>
        <w:rPr>
          <w:rFonts w:hint="default" w:ascii="Times New Roman" w:hAnsi="Times New Roman" w:eastAsia="仿宋_GB2312" w:cs="Times New Roman"/>
          <w:color w:val="auto"/>
          <w:sz w:val="32"/>
          <w:szCs w:val="32"/>
          <w:lang w:eastAsia="zh-CN"/>
        </w:rPr>
        <w:t>农村居民人均可支配收入</w:t>
      </w:r>
      <w:r>
        <w:rPr>
          <w:rFonts w:hint="default" w:ascii="Times New Roman" w:hAnsi="Times New Roman" w:eastAsia="仿宋_GB2312" w:cs="Times New Roman"/>
          <w:color w:val="auto"/>
          <w:sz w:val="32"/>
          <w:szCs w:val="32"/>
        </w:rPr>
        <w:t>，缩小与发达地区及城乡差距，是</w:t>
      </w: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加快农业农村经济社会发展的根本目的，</w:t>
      </w:r>
      <w:r>
        <w:rPr>
          <w:rFonts w:hint="default" w:ascii="Times New Roman" w:hAnsi="Times New Roman" w:eastAsia="仿宋_GB2312" w:cs="Times New Roman"/>
          <w:color w:val="auto"/>
          <w:sz w:val="32"/>
          <w:szCs w:val="32"/>
          <w:lang w:val="en-US" w:eastAsia="zh-CN"/>
        </w:rPr>
        <w:t>大英</w:t>
      </w:r>
      <w:r>
        <w:rPr>
          <w:rFonts w:hint="default" w:ascii="Times New Roman" w:hAnsi="Times New Roman" w:eastAsia="仿宋_GB2312" w:cs="Times New Roman"/>
          <w:color w:val="auto"/>
          <w:sz w:val="32"/>
          <w:szCs w:val="32"/>
        </w:rPr>
        <w:t>将用好新时代构建‘双循环’经济发展新格局、国家建设成渝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经济圈等政策，兴产业、稳就业、保民生，在持续推动发展的基础上，大力提升发展质量和效益，保持</w:t>
      </w:r>
      <w:r>
        <w:rPr>
          <w:rFonts w:hint="default" w:ascii="Times New Roman" w:hAnsi="Times New Roman" w:eastAsia="仿宋_GB2312" w:cs="Times New Roman"/>
          <w:color w:val="auto"/>
          <w:sz w:val="32"/>
          <w:szCs w:val="32"/>
          <w:lang w:eastAsia="zh-CN"/>
        </w:rPr>
        <w:t>农村居民人均可支配收入</w:t>
      </w:r>
      <w:r>
        <w:rPr>
          <w:rFonts w:hint="default" w:ascii="Times New Roman" w:hAnsi="Times New Roman" w:eastAsia="仿宋_GB2312" w:cs="Times New Roman"/>
          <w:color w:val="auto"/>
          <w:sz w:val="32"/>
          <w:szCs w:val="32"/>
        </w:rPr>
        <w:t>快速增长，增强人民群众的幸福感、获得感。</w:t>
      </w:r>
      <w:bookmarkStart w:id="48" w:name="_Toc4966"/>
      <w:bookmarkStart w:id="49" w:name="_Toc5528"/>
      <w:bookmarkStart w:id="50" w:name="_Toc5516"/>
      <w:bookmarkStart w:id="51" w:name="_Toc25128"/>
      <w:bookmarkStart w:id="52" w:name="_Toc10055"/>
      <w:bookmarkStart w:id="53" w:name="_Toc4874"/>
      <w:bookmarkStart w:id="54" w:name="_Toc1439"/>
      <w:bookmarkStart w:id="55" w:name="_Toc193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kern w:val="0"/>
          <w:sz w:val="32"/>
          <w:szCs w:val="32"/>
          <w:lang w:val="mn-Mong-CN" w:bidi="mn-Mong-CN"/>
        </w:rPr>
      </w:pPr>
      <w:r>
        <w:rPr>
          <w:rFonts w:hint="default" w:ascii="Times New Roman" w:hAnsi="Times New Roman" w:eastAsia="黑体" w:cs="Times New Roman"/>
          <w:color w:val="auto"/>
          <w:kern w:val="0"/>
          <w:sz w:val="32"/>
          <w:szCs w:val="32"/>
          <w:lang w:val="mn-Mong-CN" w:bidi="mn-Mong-CN"/>
        </w:rPr>
        <w:t>第二章  发展基础</w:t>
      </w:r>
      <w:bookmarkEnd w:id="48"/>
      <w:bookmarkEnd w:id="49"/>
      <w:bookmarkEnd w:id="50"/>
      <w:bookmarkEnd w:id="51"/>
      <w:bookmarkEnd w:id="52"/>
      <w:bookmarkEnd w:id="53"/>
      <w:bookmarkEnd w:id="54"/>
      <w:bookmarkEnd w:id="55"/>
    </w:p>
    <w:p>
      <w:pPr>
        <w:pStyle w:val="27"/>
        <w:rPr>
          <w:rFonts w:hint="default"/>
          <w:lang w:val="mn-Mong-CN"/>
        </w:rPr>
      </w:pP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56" w:name="_Toc23067"/>
      <w:bookmarkStart w:id="57" w:name="_Toc12667"/>
      <w:bookmarkStart w:id="58" w:name="_Toc27087"/>
      <w:bookmarkStart w:id="59" w:name="_Toc21965"/>
      <w:bookmarkStart w:id="60" w:name="_Toc24288"/>
      <w:bookmarkStart w:id="61" w:name="_Toc1261"/>
      <w:bookmarkStart w:id="62" w:name="_Toc20340"/>
      <w:bookmarkStart w:id="63" w:name="_Toc7766"/>
      <w:r>
        <w:rPr>
          <w:rFonts w:hint="default" w:ascii="Times New Roman" w:hAnsi="Times New Roman" w:eastAsia="仿宋_GB2312" w:cs="Times New Roman"/>
          <w:b/>
          <w:color w:val="auto"/>
          <w:sz w:val="32"/>
          <w:szCs w:val="32"/>
        </w:rPr>
        <w:t>2.1发展成效</w:t>
      </w:r>
      <w:bookmarkEnd w:id="56"/>
      <w:bookmarkEnd w:id="57"/>
      <w:bookmarkEnd w:id="58"/>
      <w:bookmarkEnd w:id="59"/>
      <w:bookmarkEnd w:id="60"/>
      <w:bookmarkEnd w:id="61"/>
      <w:bookmarkEnd w:id="62"/>
      <w:bookmarkEnd w:id="63"/>
    </w:p>
    <w:p>
      <w:pPr>
        <w:pStyle w:val="31"/>
        <w:spacing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2.1.1粮食生产稳步提高</w:t>
      </w:r>
    </w:p>
    <w:p>
      <w:pPr>
        <w:spacing w:line="560" w:lineRule="exact"/>
        <w:ind w:firstLine="640" w:firstLineChars="200"/>
        <w:contextualSpacing/>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color w:val="auto"/>
          <w:sz w:val="32"/>
          <w:szCs w:val="32"/>
        </w:rPr>
        <w:t>全县粮食产业布局科学、特色鲜明、体系健全、效益明显，丰产优质栽培新技术普及率达93.45%，主要农作物耕种收割机械化率64.6%，农业科技贡献率62.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%，粮食生产新型农业经营主体达40余家，2020年在遭受严重洪涝灾害的情况下，粮食产量20.83万吨，稳中略增；油料产量3.06万吨，较2015年年均增长1.8%。</w:t>
      </w:r>
    </w:p>
    <w:p>
      <w:pP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5523230" cy="3009265"/>
            <wp:effectExtent l="0" t="0" r="0" b="0"/>
            <wp:docPr id="1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主要种植业产品产量变化图</w:t>
      </w:r>
    </w:p>
    <w:p>
      <w:pPr>
        <w:pStyle w:val="31"/>
        <w:spacing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2.1.2特色产业提质增量</w:t>
      </w:r>
    </w:p>
    <w:p>
      <w:pPr>
        <w:spacing w:line="560" w:lineRule="exact"/>
        <w:ind w:firstLine="640" w:firstLineChars="200"/>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color w:val="000000"/>
          <w:sz w:val="32"/>
          <w:szCs w:val="32"/>
        </w:rPr>
        <w:t>现代农业产业体系加快形成，产业布局不断优化。全县蔬菜5.42万亩、产量11.92万吨，水果3.5万亩、产量4.2万吨，中药材0.78万亩、产量0.25万吨；水产养殖面积</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万亩，产量0.88万吨。生猪在受非洲猪瘟特大疫情影响后加快恢复发展，生猪出栏49.29万头，较2015年下降10.6%；家禽出栏410.34万只，较2015年年均增长2.1%。全县建成</w:t>
      </w:r>
      <w:r>
        <w:rPr>
          <w:rFonts w:hint="default" w:ascii="Times New Roman" w:hAnsi="Times New Roman" w:eastAsia="仿宋_GB2312" w:cs="Times New Roman"/>
          <w:color w:val="000000"/>
          <w:sz w:val="32"/>
          <w:szCs w:val="32"/>
          <w:lang w:val="en-US" w:eastAsia="zh-CN"/>
        </w:rPr>
        <w:t>年出栏生猪5000头以上的</w:t>
      </w:r>
      <w:r>
        <w:rPr>
          <w:rFonts w:hint="default" w:ascii="Times New Roman" w:hAnsi="Times New Roman" w:eastAsia="仿宋_GB2312" w:cs="Times New Roman"/>
          <w:color w:val="000000"/>
          <w:sz w:val="32"/>
          <w:szCs w:val="32"/>
        </w:rPr>
        <w:t>生猪养殖场11个</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年出栏生猪</w:t>
      </w:r>
      <w:r>
        <w:rPr>
          <w:rFonts w:hint="default" w:ascii="Times New Roman" w:hAnsi="Times New Roman" w:eastAsia="仿宋_GB2312" w:cs="Times New Roman"/>
          <w:color w:val="000000"/>
          <w:sz w:val="32"/>
          <w:szCs w:val="32"/>
          <w:lang w:eastAsia="zh-CN"/>
        </w:rPr>
        <w:t>5</w:t>
      </w:r>
      <w:r>
        <w:rPr>
          <w:rFonts w:hint="default" w:ascii="Times New Roman" w:hAnsi="Times New Roman" w:eastAsia="仿宋_GB2312" w:cs="Times New Roman"/>
          <w:color w:val="000000"/>
          <w:sz w:val="32"/>
          <w:szCs w:val="32"/>
          <w:lang w:val="en-US" w:eastAsia="zh-CN"/>
        </w:rPr>
        <w:t>00头以上的</w:t>
      </w:r>
      <w:r>
        <w:rPr>
          <w:rFonts w:hint="default" w:ascii="Times New Roman" w:hAnsi="Times New Roman" w:eastAsia="仿宋_GB2312" w:cs="Times New Roman"/>
          <w:color w:val="000000"/>
          <w:sz w:val="32"/>
          <w:szCs w:val="32"/>
        </w:rPr>
        <w:t>生猪养殖场207个</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年出栏家禽50000只以上的</w:t>
      </w:r>
      <w:r>
        <w:rPr>
          <w:rFonts w:hint="default" w:ascii="Times New Roman" w:hAnsi="Times New Roman" w:eastAsia="仿宋_GB2312" w:cs="Times New Roman"/>
          <w:color w:val="000000"/>
          <w:sz w:val="32"/>
          <w:szCs w:val="32"/>
        </w:rPr>
        <w:t>家禽养殖场1个</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年出栏肉羊1000头以上的肉</w:t>
      </w:r>
      <w:r>
        <w:rPr>
          <w:rFonts w:hint="default" w:ascii="Times New Roman" w:hAnsi="Times New Roman" w:eastAsia="仿宋_GB2312" w:cs="Times New Roman"/>
          <w:color w:val="000000"/>
          <w:sz w:val="32"/>
          <w:szCs w:val="32"/>
        </w:rPr>
        <w:t>羊养殖场2个；主要畜禽良种化率达到90%以上。</w:t>
      </w:r>
    </w:p>
    <w:p>
      <w:pP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5533390" cy="3028315"/>
            <wp:effectExtent l="0" t="0" r="0" b="0"/>
            <wp:docPr id="20"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主要养殖业产品产量变化图</w:t>
      </w:r>
    </w:p>
    <w:p>
      <w:pPr>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5746750" cy="3235325"/>
            <wp:effectExtent l="4445" t="4445" r="20955" b="17780"/>
            <wp:docPr id="2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重要农产品分布图一</w:t>
      </w:r>
    </w:p>
    <w:p>
      <w:pPr>
        <w:jc w:val="left"/>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5545455" cy="3465195"/>
            <wp:effectExtent l="4445" t="4445" r="12700" b="16510"/>
            <wp:docPr id="22"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重要农产品分布图二</w:t>
      </w:r>
    </w:p>
    <w:p>
      <w:pPr>
        <w:jc w:val="left"/>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5531485" cy="3756025"/>
            <wp:effectExtent l="4445" t="4445" r="7620" b="11430"/>
            <wp:docPr id="2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重要农产品分布图三</w:t>
      </w:r>
    </w:p>
    <w:p>
      <w:pPr>
        <w:pStyle w:val="31"/>
        <w:spacing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2.1.3</w:t>
      </w:r>
      <w:r>
        <w:rPr>
          <w:rFonts w:hint="default" w:ascii="Times New Roman" w:hAnsi="Times New Roman" w:eastAsia="仿宋_GB2312" w:cs="Times New Roman"/>
          <w:b/>
          <w:bCs/>
          <w:color w:val="auto"/>
          <w:sz w:val="32"/>
          <w:szCs w:val="32"/>
          <w:lang w:val="en-US" w:eastAsia="zh-CN"/>
        </w:rPr>
        <w:t>农业</w:t>
      </w:r>
      <w:r>
        <w:rPr>
          <w:rFonts w:hint="default" w:ascii="Times New Roman" w:hAnsi="Times New Roman" w:eastAsia="仿宋_GB2312" w:cs="Times New Roman"/>
          <w:b/>
          <w:bCs/>
          <w:color w:val="auto"/>
          <w:sz w:val="32"/>
          <w:szCs w:val="32"/>
        </w:rPr>
        <w:t>园区建设不断加快</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大英县已</w:t>
      </w:r>
      <w:r>
        <w:rPr>
          <w:rFonts w:hint="default" w:ascii="Times New Roman" w:hAnsi="Times New Roman" w:eastAsia="仿宋_GB2312" w:cs="Times New Roman"/>
          <w:color w:val="auto"/>
          <w:sz w:val="32"/>
          <w:szCs w:val="32"/>
        </w:rPr>
        <w:t>建成中药材、柠檬、柑橘、甜桃、九叶青花椒等5个现代农业园区（其中市级2个），涵盖蓬莱、卓筒井、河边、隆盛等4个镇的17个村、3.55万农村人口，园区幅员面积</w:t>
      </w:r>
      <w:r>
        <w:rPr>
          <w:rFonts w:hint="default" w:ascii="Times New Roman" w:hAnsi="Times New Roman" w:eastAsia="仿宋_GB2312" w:cs="Times New Roman"/>
          <w:color w:val="auto"/>
          <w:sz w:val="32"/>
          <w:szCs w:val="32"/>
          <w:lang w:val="en-US" w:eastAsia="zh-CN"/>
        </w:rPr>
        <w:t>9.64</w:t>
      </w:r>
      <w:r>
        <w:rPr>
          <w:rFonts w:hint="default" w:ascii="Times New Roman" w:hAnsi="Times New Roman" w:eastAsia="仿宋_GB2312" w:cs="Times New Roman"/>
          <w:color w:val="auto"/>
          <w:sz w:val="32"/>
          <w:szCs w:val="32"/>
        </w:rPr>
        <w:t>万亩，已累计投入资金5.32亿元，建成园区主导产业面积3.25万亩。建成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一村一品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特色产业示范园</w:t>
      </w:r>
      <w:r>
        <w:rPr>
          <w:rFonts w:hint="default" w:ascii="Times New Roman" w:hAnsi="Times New Roman" w:eastAsia="仿宋_GB2312" w:cs="Times New Roman"/>
          <w:color w:val="auto"/>
          <w:sz w:val="32"/>
          <w:szCs w:val="32"/>
          <w:lang w:val="en-US" w:eastAsia="zh-CN"/>
        </w:rPr>
        <w:t>32</w:t>
      </w:r>
      <w:r>
        <w:rPr>
          <w:rFonts w:hint="default" w:ascii="Times New Roman" w:hAnsi="Times New Roman" w:eastAsia="仿宋_GB2312" w:cs="Times New Roman"/>
          <w:color w:val="auto"/>
          <w:sz w:val="32"/>
          <w:szCs w:val="32"/>
        </w:rPr>
        <w:t>个、面积</w:t>
      </w:r>
      <w:r>
        <w:rPr>
          <w:rFonts w:hint="default" w:ascii="Times New Roman" w:hAnsi="Times New Roman" w:eastAsia="仿宋_GB2312" w:cs="Times New Roman"/>
          <w:color w:val="auto"/>
          <w:sz w:val="32"/>
          <w:szCs w:val="32"/>
          <w:lang w:val="en-US" w:eastAsia="zh-CN"/>
        </w:rPr>
        <w:t>4.96</w:t>
      </w:r>
      <w:r>
        <w:rPr>
          <w:rFonts w:hint="default" w:ascii="Times New Roman" w:hAnsi="Times New Roman" w:eastAsia="仿宋_GB2312" w:cs="Times New Roman"/>
          <w:color w:val="auto"/>
          <w:sz w:val="32"/>
          <w:szCs w:val="32"/>
        </w:rPr>
        <w:t>万亩。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十三五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末，全县5个园区实现综合总产值10.6亿元，园区</w:t>
      </w:r>
      <w:r>
        <w:rPr>
          <w:rFonts w:hint="default" w:ascii="Times New Roman" w:hAnsi="Times New Roman" w:eastAsia="仿宋_GB2312" w:cs="Times New Roman"/>
          <w:color w:val="auto"/>
          <w:sz w:val="32"/>
          <w:szCs w:val="32"/>
          <w:lang w:eastAsia="zh-CN"/>
        </w:rPr>
        <w:t>农村居民人均可支配收入</w:t>
      </w:r>
      <w:r>
        <w:rPr>
          <w:rFonts w:hint="default" w:ascii="Times New Roman" w:hAnsi="Times New Roman" w:eastAsia="仿宋_GB2312" w:cs="Times New Roman"/>
          <w:color w:val="auto"/>
          <w:sz w:val="32"/>
          <w:szCs w:val="32"/>
        </w:rPr>
        <w:t>高出全县11个百分点。</w:t>
      </w:r>
    </w:p>
    <w:p>
      <w:pPr>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object>
          <v:shape id="_x0000_i1025" o:spt="75" alt="大英县现状图 （改4.29）" type="#_x0000_t75" style="height:313.7pt;width:438.95pt;" o:ole="t" filled="f" o:preferrelative="t" stroked="f" coordsize="21600,21600">
            <v:path/>
            <v:fill on="f" focussize="0,0"/>
            <v:stroke on="f" color="#000000"/>
            <v:imagedata r:id="rId14" o:title="25"/>
            <o:lock v:ext="edit" aspectratio="t"/>
            <w10:wrap type="none"/>
            <w10:anchorlock/>
          </v:shape>
          <o:OLEObject Type="Embed" ProgID="Package" ShapeID="_x0000_i1025" DrawAspect="Content" ObjectID="_1468075725" r:id="rId13">
            <o:LockedField>false</o:LockedField>
          </o:OLEObject>
        </w:object>
      </w:r>
    </w:p>
    <w:p>
      <w:pPr>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现代农业园区现状图</w:t>
      </w:r>
    </w:p>
    <w:p>
      <w:pPr>
        <w:pStyle w:val="31"/>
        <w:spacing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2.1.4绿色发展成效明显</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成功创建为</w:t>
      </w:r>
      <w:r>
        <w:rPr>
          <w:rFonts w:hint="default" w:ascii="Times New Roman" w:hAnsi="Times New Roman" w:eastAsia="仿宋_GB2312" w:cs="Times New Roman"/>
          <w:color w:val="000000"/>
          <w:sz w:val="32"/>
          <w:szCs w:val="32"/>
          <w:lang w:val="en-US" w:eastAsia="zh-CN"/>
        </w:rPr>
        <w:t>四川省</w:t>
      </w:r>
      <w:r>
        <w:rPr>
          <w:rFonts w:hint="default" w:ascii="Times New Roman" w:hAnsi="Times New Roman" w:eastAsia="仿宋_GB2312" w:cs="Times New Roman"/>
          <w:color w:val="000000"/>
          <w:sz w:val="32"/>
          <w:szCs w:val="32"/>
        </w:rPr>
        <w:t>农产品质量安全</w:t>
      </w:r>
      <w:r>
        <w:rPr>
          <w:rFonts w:hint="default" w:ascii="Times New Roman" w:hAnsi="Times New Roman" w:eastAsia="仿宋_GB2312" w:cs="Times New Roman"/>
          <w:color w:val="000000"/>
          <w:sz w:val="32"/>
          <w:szCs w:val="32"/>
          <w:lang w:val="en-US" w:eastAsia="zh-CN"/>
        </w:rPr>
        <w:t>监管示范</w:t>
      </w:r>
      <w:r>
        <w:rPr>
          <w:rFonts w:hint="default" w:ascii="Times New Roman" w:hAnsi="Times New Roman" w:eastAsia="仿宋_GB2312" w:cs="Times New Roman"/>
          <w:color w:val="000000"/>
          <w:sz w:val="32"/>
          <w:szCs w:val="32"/>
        </w:rPr>
        <w:t>县，建设耕地质量监测点237个，年开展土壤质量监测30余次，常年测土配方施肥56.5万亩，整体认证无公害农产品基地面积30万亩，农药化肥实现负增长；建成农膜利用回收点342个，</w:t>
      </w:r>
      <w:r>
        <w:rPr>
          <w:rFonts w:hint="default" w:ascii="Times New Roman" w:hAnsi="Times New Roman" w:eastAsia="仿宋_GB2312" w:cs="Times New Roman"/>
          <w:color w:val="000000"/>
          <w:sz w:val="32"/>
          <w:szCs w:val="32"/>
          <w:lang w:eastAsia="zh-CN"/>
        </w:rPr>
        <w:t>废弃农膜回收利用率</w:t>
      </w:r>
      <w:r>
        <w:rPr>
          <w:rFonts w:hint="default" w:ascii="Times New Roman" w:hAnsi="Times New Roman" w:eastAsia="仿宋_GB2312" w:cs="Times New Roman"/>
          <w:color w:val="000000"/>
          <w:sz w:val="32"/>
          <w:szCs w:val="32"/>
          <w:lang w:val="en-US" w:eastAsia="zh-CN"/>
        </w:rPr>
        <w:t>达到</w:t>
      </w:r>
      <w:r>
        <w:rPr>
          <w:rFonts w:hint="default" w:ascii="Times New Roman" w:hAnsi="Times New Roman" w:eastAsia="仿宋_GB2312" w:cs="Times New Roman"/>
          <w:color w:val="000000"/>
          <w:sz w:val="32"/>
          <w:szCs w:val="32"/>
        </w:rPr>
        <w:t>80%；大力开展秸秆基料化、肥料化、饲料化、原料化利用，农作物秸秆综合利用率达92%以上，农业产地环境明显改善。</w:t>
      </w:r>
    </w:p>
    <w:p>
      <w:pPr>
        <w:spacing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2.1.5基础设施持续提升</w:t>
      </w:r>
      <w:bookmarkStart w:id="64" w:name="_Toc481566622"/>
    </w:p>
    <w:bookmarkEnd w:id="64"/>
    <w:p>
      <w:pPr>
        <w:spacing w:line="560" w:lineRule="exact"/>
        <w:ind w:firstLine="640" w:firstLineChars="200"/>
        <w:rPr>
          <w:rFonts w:hint="default" w:ascii="Times New Roman" w:hAnsi="Times New Roman" w:eastAsia="仿宋_GB2312" w:cs="Times New Roman"/>
          <w:color w:val="auto"/>
          <w:sz w:val="32"/>
          <w:szCs w:val="32"/>
        </w:rPr>
      </w:pPr>
      <w:bookmarkStart w:id="65" w:name="_Toc481566623"/>
      <w:r>
        <w:rPr>
          <w:rFonts w:hint="default" w:ascii="Times New Roman" w:hAnsi="Times New Roman" w:eastAsia="仿宋_GB2312" w:cs="Times New Roman"/>
          <w:color w:val="auto"/>
          <w:sz w:val="32"/>
          <w:szCs w:val="32"/>
        </w:rPr>
        <w:t>全县建成高标准农田3</w:t>
      </w:r>
      <w:r>
        <w:rPr>
          <w:rFonts w:hint="default" w:ascii="Times New Roman" w:hAnsi="Times New Roman" w:eastAsia="仿宋_GB2312" w:cs="Times New Roman"/>
          <w:color w:val="auto"/>
          <w:sz w:val="32"/>
          <w:szCs w:val="32"/>
          <w:lang w:val="en-US" w:eastAsia="zh-CN"/>
        </w:rPr>
        <w:t>4.9</w:t>
      </w:r>
      <w:r>
        <w:rPr>
          <w:rFonts w:hint="default" w:ascii="Times New Roman" w:hAnsi="Times New Roman" w:eastAsia="仿宋_GB2312" w:cs="Times New Roman"/>
          <w:color w:val="auto"/>
          <w:sz w:val="32"/>
          <w:szCs w:val="32"/>
        </w:rPr>
        <w:t>万亩，农业机械1.09万台（套）、农机总动力24.15万千瓦、主要农作物耕种收综合机械化水平6</w:t>
      </w:r>
      <w:r>
        <w:rPr>
          <w:rFonts w:hint="default" w:ascii="Times New Roman" w:hAnsi="Times New Roman" w:eastAsia="仿宋_GB2312" w:cs="Times New Roman"/>
          <w:color w:val="auto"/>
          <w:sz w:val="32"/>
          <w:szCs w:val="32"/>
          <w:lang w:val="en-US" w:eastAsia="zh-CN"/>
        </w:rPr>
        <w:t>0.4</w:t>
      </w:r>
      <w:r>
        <w:rPr>
          <w:rFonts w:hint="default" w:ascii="Times New Roman" w:hAnsi="Times New Roman" w:eastAsia="仿宋_GB2312" w:cs="Times New Roman"/>
          <w:color w:val="auto"/>
          <w:sz w:val="32"/>
          <w:szCs w:val="32"/>
        </w:rPr>
        <w:t>%，新建防洪堤9.6公里、渠道56.31公里、蓄水池125口，整治渠道84.63公里、山坪塘72座，治理水土流失面积48.1平方公里，新增灌面4.304万亩、节水灌面1.01万亩，机电提灌灌溉面积达18.5万亩；现有畜禽养殖圈舍约42万平方米，农村户用沼气池1.33万口，新建省级新村集中供气项目10处，集中供气1000余户，大型沼气工程4处。</w:t>
      </w:r>
    </w:p>
    <w:p>
      <w:pPr>
        <w:spacing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2.1.6产业融合体系不断完善</w:t>
      </w:r>
    </w:p>
    <w:bookmarkEnd w:id="65"/>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拓展多种农业功能，农村一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三产业融合发展不断加快。培育农业产业化龙头企业17个、农民专业合作社500家、家庭农场828户、种养业大户473户、农业社会化服务组织</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个，其中省市级示范社（场）17个、示范农场23个；培训新型职业农民293人。</w:t>
      </w:r>
      <w:r>
        <w:rPr>
          <w:rFonts w:hint="default" w:ascii="Times New Roman" w:hAnsi="Times New Roman" w:eastAsia="仿宋_GB2312" w:cs="Times New Roman"/>
          <w:color w:val="auto"/>
          <w:sz w:val="32"/>
          <w:szCs w:val="32"/>
          <w:lang w:eastAsia="zh-CN"/>
        </w:rPr>
        <w:t>厚</w:t>
      </w:r>
      <w:r>
        <w:rPr>
          <w:rFonts w:hint="default" w:ascii="Times New Roman" w:hAnsi="Times New Roman" w:eastAsia="仿宋_GB2312" w:cs="Times New Roman"/>
          <w:color w:val="auto"/>
          <w:sz w:val="32"/>
          <w:szCs w:val="32"/>
        </w:rPr>
        <w:t>裕粮油、齐全生猪、康</w:t>
      </w:r>
      <w:r>
        <w:rPr>
          <w:rFonts w:hint="default" w:ascii="Times New Roman" w:hAnsi="Times New Roman" w:eastAsia="仿宋_GB2312" w:cs="Times New Roman"/>
          <w:color w:val="auto"/>
          <w:sz w:val="32"/>
          <w:szCs w:val="32"/>
          <w:lang w:eastAsia="zh-CN"/>
        </w:rPr>
        <w:t>泉</w:t>
      </w:r>
      <w:r>
        <w:rPr>
          <w:rFonts w:hint="default" w:ascii="Times New Roman" w:hAnsi="Times New Roman" w:eastAsia="仿宋_GB2312" w:cs="Times New Roman"/>
          <w:color w:val="auto"/>
          <w:sz w:val="32"/>
          <w:szCs w:val="32"/>
        </w:rPr>
        <w:t>生物等特色产业成链发展。建成市</w:t>
      </w:r>
      <w:r>
        <w:rPr>
          <w:rFonts w:hint="default" w:ascii="Times New Roman" w:hAnsi="Times New Roman" w:eastAsia="仿宋_GB2312" w:cs="Times New Roman"/>
          <w:color w:val="auto"/>
          <w:sz w:val="32"/>
          <w:szCs w:val="32"/>
          <w:lang w:val="en-US" w:eastAsia="zh-CN"/>
        </w:rPr>
        <w:t>星</w:t>
      </w:r>
      <w:r>
        <w:rPr>
          <w:rFonts w:hint="default" w:ascii="Times New Roman" w:hAnsi="Times New Roman" w:eastAsia="仿宋_GB2312" w:cs="Times New Roman"/>
          <w:color w:val="auto"/>
          <w:sz w:val="32"/>
          <w:szCs w:val="32"/>
        </w:rPr>
        <w:t>级现代农业园区2个（中药材、柑橘）、国家级休闲农庄1个、省级农业主题公园3个、乡村旅游重点村3个（其中省级1个、市级2个）、农旅融合示范园1个（蓬莱镇吊脚楼村）、市级休闲农业专业村2个，培育星级农家乐76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一环两线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农旅融合示范带已现雏形。</w:t>
      </w:r>
    </w:p>
    <w:p>
      <w:pPr>
        <w:spacing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2.1.7品牌创建效益加快提高</w:t>
      </w:r>
    </w:p>
    <w:p>
      <w:pPr>
        <w:spacing w:line="56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农产品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三品一标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认证</w:t>
      </w:r>
      <w:r>
        <w:rPr>
          <w:rFonts w:hint="default" w:ascii="Times New Roman" w:hAnsi="Times New Roman" w:eastAsia="仿宋_GB2312" w:cs="Times New Roman"/>
          <w:color w:val="auto"/>
          <w:sz w:val="32"/>
          <w:szCs w:val="32"/>
          <w:lang w:val="en-US" w:eastAsia="zh-CN"/>
        </w:rPr>
        <w:t>达到89个</w:t>
      </w:r>
      <w:r>
        <w:rPr>
          <w:rFonts w:hint="default" w:ascii="Times New Roman" w:hAnsi="Times New Roman" w:eastAsia="仿宋_GB2312" w:cs="Times New Roman"/>
          <w:color w:val="auto"/>
          <w:sz w:val="32"/>
          <w:szCs w:val="32"/>
        </w:rPr>
        <w:t>，创建绿色食品49个、无公害农产品35个，注册农产品商标16枚，河边白柠檬获国家保护农产品地理标志。魁山牌菜籽油、通仙牌青花椒、</w:t>
      </w:r>
      <w:r>
        <w:rPr>
          <w:rFonts w:hint="default" w:ascii="Times New Roman" w:hAnsi="Times New Roman" w:eastAsia="仿宋_GB2312" w:cs="Times New Roman"/>
          <w:color w:val="auto"/>
          <w:sz w:val="32"/>
          <w:szCs w:val="32"/>
          <w:lang w:eastAsia="zh-CN"/>
        </w:rPr>
        <w:t>富鑫</w:t>
      </w:r>
      <w:r>
        <w:rPr>
          <w:rFonts w:hint="default" w:ascii="Times New Roman" w:hAnsi="Times New Roman" w:eastAsia="仿宋_GB2312" w:cs="Times New Roman"/>
          <w:color w:val="auto"/>
          <w:sz w:val="32"/>
          <w:szCs w:val="32"/>
          <w:highlight w:val="none"/>
        </w:rPr>
        <w:t>牌柠檬等4</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个品种</w:t>
      </w:r>
      <w:r>
        <w:rPr>
          <w:rFonts w:hint="default" w:ascii="Times New Roman" w:hAnsi="Times New Roman" w:eastAsia="仿宋_GB2312" w:cs="Times New Roman"/>
          <w:color w:val="auto"/>
          <w:sz w:val="32"/>
          <w:szCs w:val="32"/>
        </w:rPr>
        <w:t>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遂宁鲜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品牌授权。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十三五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期间，组织新型农业经营主体参加各类农产品交易、品鉴展示会60余次，依托移动</w:t>
      </w:r>
      <w:r>
        <w:rPr>
          <w:rFonts w:hint="default" w:ascii="Times New Roman" w:hAnsi="Times New Roman" w:eastAsia="仿宋_GB2312" w:cs="Times New Roman"/>
          <w:color w:val="auto"/>
          <w:sz w:val="32"/>
          <w:szCs w:val="32"/>
          <w:lang w:val="en-US" w:eastAsia="zh-CN"/>
        </w:rPr>
        <w:t>终</w:t>
      </w:r>
      <w:r>
        <w:rPr>
          <w:rFonts w:hint="default" w:ascii="Times New Roman" w:hAnsi="Times New Roman" w:eastAsia="仿宋_GB2312" w:cs="Times New Roman"/>
          <w:color w:val="auto"/>
          <w:sz w:val="32"/>
          <w:szCs w:val="32"/>
        </w:rPr>
        <w:t>端、阿里巴巴、淘宝、京东等线上商城，上线大英农特产品100余款，2020年农产品网络销售额2857万元，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大英产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农产品品牌价值不断增强。</w:t>
      </w:r>
    </w:p>
    <w:p>
      <w:pPr>
        <w:spacing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2.1.8农村环境切实改善</w:t>
      </w:r>
    </w:p>
    <w:p>
      <w:pPr>
        <w:spacing w:line="560" w:lineRule="exact"/>
        <w:ind w:firstLine="640"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扎实推进农村生活垃圾治理、污水治理、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厕所革命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、畜禽粪污资源化利用和村容村貌提升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五大行动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，加快补齐农村人居环境基础设施短板，农村生活环境大为改善。截至2020年底，全县农村生活垃圾有效治理率</w:t>
      </w:r>
      <w:r>
        <w:rPr>
          <w:rFonts w:hint="default" w:ascii="Times New Roman" w:hAnsi="Times New Roman" w:eastAsia="仿宋_GB2312" w:cs="Times New Roman"/>
          <w:color w:val="auto"/>
          <w:sz w:val="32"/>
          <w:szCs w:val="32"/>
          <w:lang w:val="en-US" w:eastAsia="zh-CN"/>
        </w:rPr>
        <w:t>达到</w:t>
      </w:r>
      <w:r>
        <w:rPr>
          <w:rFonts w:hint="default" w:ascii="Times New Roman" w:hAnsi="Times New Roman" w:eastAsia="仿宋_GB2312" w:cs="Times New Roman"/>
          <w:color w:val="auto"/>
          <w:sz w:val="32"/>
          <w:szCs w:val="32"/>
        </w:rPr>
        <w:t>95%，农村生活污水得到有效处理的行政村</w:t>
      </w:r>
      <w:r>
        <w:rPr>
          <w:rFonts w:hint="default" w:ascii="Times New Roman" w:hAnsi="Times New Roman" w:eastAsia="仿宋_GB2312" w:cs="Times New Roman"/>
          <w:color w:val="auto"/>
          <w:sz w:val="32"/>
          <w:szCs w:val="32"/>
          <w:lang w:val="en-US" w:eastAsia="zh-CN"/>
        </w:rPr>
        <w:t>达到</w:t>
      </w:r>
      <w:r>
        <w:rPr>
          <w:rFonts w:hint="default" w:ascii="Times New Roman" w:hAnsi="Times New Roman" w:eastAsia="仿宋_GB2312" w:cs="Times New Roman"/>
          <w:color w:val="auto"/>
          <w:sz w:val="32"/>
          <w:szCs w:val="32"/>
        </w:rPr>
        <w:t>65%，农村无害化卫生厕所普及率</w:t>
      </w:r>
      <w:r>
        <w:rPr>
          <w:rFonts w:hint="default" w:ascii="Times New Roman" w:hAnsi="Times New Roman" w:eastAsia="仿宋_GB2312" w:cs="Times New Roman"/>
          <w:color w:val="auto"/>
          <w:sz w:val="32"/>
          <w:szCs w:val="32"/>
          <w:lang w:val="en-US" w:eastAsia="zh-CN"/>
        </w:rPr>
        <w:t>达到</w:t>
      </w: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%，畜禽粪污综合利用率</w:t>
      </w:r>
      <w:r>
        <w:rPr>
          <w:rFonts w:hint="default" w:ascii="Times New Roman" w:hAnsi="Times New Roman" w:eastAsia="仿宋_GB2312" w:cs="Times New Roman"/>
          <w:color w:val="auto"/>
          <w:sz w:val="32"/>
          <w:szCs w:val="32"/>
          <w:lang w:val="en-US" w:eastAsia="zh-CN"/>
        </w:rPr>
        <w:t>达到</w:t>
      </w:r>
      <w:r>
        <w:rPr>
          <w:rFonts w:hint="default" w:ascii="Times New Roman" w:hAnsi="Times New Roman" w:eastAsia="仿宋_GB2312" w:cs="Times New Roman"/>
          <w:color w:val="auto"/>
          <w:sz w:val="32"/>
          <w:szCs w:val="32"/>
        </w:rPr>
        <w:t>92%以上，村容村貌明显改善，农村居民文明素养显著提升。</w:t>
      </w:r>
    </w:p>
    <w:p>
      <w:pPr>
        <w:spacing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2.1.9农村改革持续深化</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农村土地确权登记颁证</w:t>
      </w:r>
      <w:r>
        <w:rPr>
          <w:rFonts w:hint="default" w:ascii="Times New Roman" w:hAnsi="Times New Roman" w:eastAsia="仿宋_GB2312" w:cs="Times New Roman"/>
          <w:color w:val="auto"/>
          <w:sz w:val="32"/>
          <w:szCs w:val="32"/>
        </w:rPr>
        <w:t>全面</w:t>
      </w:r>
      <w:r>
        <w:rPr>
          <w:rFonts w:hint="default" w:ascii="Times New Roman" w:hAnsi="Times New Roman" w:eastAsia="仿宋_GB2312" w:cs="Times New Roman"/>
          <w:color w:val="auto"/>
          <w:sz w:val="32"/>
          <w:szCs w:val="32"/>
          <w:lang w:val="zh-CN"/>
        </w:rPr>
        <w:t>完成，有序开展农村土地承包经营权抵押贷款；农村集体产权制度改革高质量推进，</w:t>
      </w:r>
      <w:r>
        <w:rPr>
          <w:rFonts w:hint="default" w:ascii="Times New Roman" w:hAnsi="Times New Roman" w:eastAsia="仿宋_GB2312" w:cs="Times New Roman"/>
          <w:color w:val="auto"/>
          <w:sz w:val="32"/>
          <w:szCs w:val="32"/>
        </w:rPr>
        <w:t>全县清产核资6.76亿元，确认集体经济组织成员43.37万人，完成45个贫困村和17个扶持村集体经济项目村登记赋码；建立乡村振兴产业发展贷款风险补偿基金800万元，撬动信贷资金8000万元，全县142家经营主体获得风险补偿金担保贷款7914.1万元；加强农村宅基地管理，出台《农村闲置宅基地和闲置住宅盘活利用方案》和《大英县农村村民宅基地审批和住房建设管理办法》；不断壮大集体经济，2020年全县集体经济收入521.86万元，人均12.28元，其中贫困村人均61.44元，高于全省、全市平均水平。</w:t>
      </w:r>
    </w:p>
    <w:p>
      <w:pPr>
        <w:pStyle w:val="31"/>
        <w:spacing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2.1.10农民收入稳定增长</w:t>
      </w:r>
    </w:p>
    <w:p>
      <w:pPr>
        <w:spacing w:line="560" w:lineRule="exact"/>
        <w:ind w:firstLine="640"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农民增收县委书记、县长责任制有效落实，生产经营性收入稳定增长，工资性收入略有提升，转移性收入稳中有增，财产性收入增幅较大。2020年</w:t>
      </w:r>
      <w:r>
        <w:rPr>
          <w:rFonts w:hint="default" w:ascii="Times New Roman" w:hAnsi="Times New Roman" w:eastAsia="仿宋_GB2312" w:cs="Times New Roman"/>
          <w:color w:val="auto"/>
          <w:sz w:val="32"/>
          <w:szCs w:val="32"/>
          <w:lang w:eastAsia="zh-CN"/>
        </w:rPr>
        <w:t>农村居民人均可支配收入</w:t>
      </w:r>
      <w:r>
        <w:rPr>
          <w:rFonts w:hint="default" w:ascii="Times New Roman" w:hAnsi="Times New Roman" w:eastAsia="仿宋_GB2312" w:cs="Times New Roman"/>
          <w:color w:val="auto"/>
          <w:sz w:val="32"/>
          <w:szCs w:val="32"/>
        </w:rPr>
        <w:t>达到17604元，较2015年增加 6345元，年均增长9.4%，</w:t>
      </w:r>
      <w:r>
        <w:rPr>
          <w:rFonts w:hint="default" w:ascii="Times New Roman" w:hAnsi="Times New Roman" w:eastAsia="仿宋_GB2312" w:cs="Times New Roman"/>
          <w:color w:val="auto"/>
          <w:sz w:val="32"/>
          <w:szCs w:val="32"/>
          <w:lang w:val="zh-CN"/>
        </w:rPr>
        <w:t>城乡居民收入比由</w:t>
      </w:r>
      <w:r>
        <w:rPr>
          <w:rFonts w:hint="default" w:ascii="Times New Roman" w:hAnsi="Times New Roman" w:eastAsia="仿宋_GB2312" w:cs="Times New Roman"/>
          <w:color w:val="auto"/>
          <w:sz w:val="32"/>
          <w:szCs w:val="32"/>
        </w:rPr>
        <w:t xml:space="preserve"> 2.04</w:t>
      </w:r>
      <w:r>
        <w:rPr>
          <w:rFonts w:hint="default" w:ascii="Times New Roman" w:hAnsi="Times New Roman" w:eastAsia="仿宋_GB2312" w:cs="Times New Roman"/>
          <w:color w:val="auto"/>
          <w:sz w:val="32"/>
          <w:szCs w:val="32"/>
          <w:lang w:val="zh-CN"/>
        </w:rPr>
        <w:t>:1缩小到</w:t>
      </w:r>
      <w:r>
        <w:rPr>
          <w:rFonts w:hint="default" w:ascii="Times New Roman" w:hAnsi="Times New Roman" w:eastAsia="仿宋_GB2312" w:cs="Times New Roman"/>
          <w:color w:val="auto"/>
          <w:sz w:val="32"/>
          <w:szCs w:val="32"/>
        </w:rPr>
        <w:t>1.93</w:t>
      </w: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rPr>
        <w:t>。</w:t>
      </w:r>
    </w:p>
    <w:p>
      <w:pPr>
        <w:jc w:val="left"/>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5534025" cy="3361690"/>
            <wp:effectExtent l="0" t="0" r="0" b="0"/>
            <wp:docPr id="26"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农村居民人均可支配收入</w:t>
      </w:r>
      <w:r>
        <w:rPr>
          <w:rFonts w:hint="default" w:ascii="Times New Roman" w:hAnsi="Times New Roman" w:eastAsia="黑体" w:cs="Times New Roman"/>
          <w:b w:val="0"/>
          <w:bCs/>
          <w:color w:val="auto"/>
          <w:sz w:val="32"/>
          <w:szCs w:val="32"/>
        </w:rPr>
        <w:t>实现图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kern w:val="0"/>
          <w:sz w:val="32"/>
          <w:szCs w:val="32"/>
        </w:rPr>
        <w:t>2.1.11产业扶贫成果凸显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rPr>
        <w:t>脱贫攻</w:t>
      </w:r>
      <w:r>
        <w:rPr>
          <w:rFonts w:hint="default" w:ascii="Times New Roman" w:hAnsi="Times New Roman" w:eastAsia="仿宋_GB2312" w:cs="Times New Roman"/>
          <w:color w:val="auto"/>
          <w:sz w:val="32"/>
          <w:szCs w:val="32"/>
        </w:rPr>
        <w:t>坚以来，</w:t>
      </w: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把产业扶贫摆在突出位置，对标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两不愁 三保障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，聚焦村集体经济壮大和贫困户增收，首创并</w:t>
      </w:r>
      <w:r>
        <w:rPr>
          <w:rFonts w:hint="default" w:ascii="Times New Roman" w:hAnsi="Times New Roman" w:eastAsia="仿宋_GB2312" w:cs="Times New Roman"/>
          <w:bCs/>
          <w:color w:val="auto"/>
          <w:kern w:val="0"/>
          <w:sz w:val="32"/>
          <w:szCs w:val="32"/>
        </w:rPr>
        <w:t>推广</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产联式</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扶贫模式，构建起资本联投、生产联营、经营联动、效益联赢、风险联控</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五联机制</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，先后建成产联式合作社233个，吸引工商企业下乡176家，累计撬动总投资4.4亿元，带动村集体159个、农户2.7万户（其中贫困人口1.28万人），2020年实现人均增收2830元，45个贫困村集体经济收入平均达到6.06万元。</w:t>
      </w:r>
      <w:r>
        <w:rPr>
          <w:rFonts w:hint="default" w:ascii="Times New Roman" w:hAnsi="Times New Roman" w:eastAsia="仿宋_GB2312" w:cs="Times New Roman"/>
          <w:bCs/>
          <w:color w:val="auto"/>
          <w:kern w:val="0"/>
          <w:sz w:val="32"/>
          <w:szCs w:val="32"/>
          <w:highlight w:val="none"/>
        </w:rPr>
        <w:t>截至2020年底，全县3.38万脱贫人口，其中1.49万人依托产业实现稳定脱贫。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十三五时期，大英县农业农村发展取得了一定的成绩，但与发达地区</w:t>
      </w:r>
      <w:r>
        <w:rPr>
          <w:rFonts w:hint="default" w:ascii="Times New Roman" w:hAnsi="Times New Roman" w:eastAsia="仿宋_GB2312" w:cs="Times New Roman"/>
          <w:bCs/>
          <w:color w:val="auto"/>
          <w:kern w:val="0"/>
          <w:sz w:val="32"/>
          <w:szCs w:val="32"/>
          <w:lang w:val="en-US" w:eastAsia="zh-CN"/>
        </w:rPr>
        <w:t>乃至</w:t>
      </w:r>
      <w:r>
        <w:rPr>
          <w:rFonts w:hint="default" w:ascii="Times New Roman" w:hAnsi="Times New Roman" w:eastAsia="仿宋_GB2312" w:cs="Times New Roman"/>
          <w:bCs/>
          <w:color w:val="auto"/>
          <w:kern w:val="0"/>
          <w:sz w:val="32"/>
          <w:szCs w:val="32"/>
        </w:rPr>
        <w:t>周边邻近地区还有较大差距，存在的问题和困难还较多。</w:t>
      </w:r>
      <w:r>
        <w:rPr>
          <w:rFonts w:hint="default" w:ascii="Times New Roman" w:hAnsi="Times New Roman" w:eastAsia="仿宋_GB2312" w:cs="Times New Roman"/>
          <w:b/>
          <w:bCs w:val="0"/>
          <w:color w:val="auto"/>
          <w:kern w:val="0"/>
          <w:sz w:val="32"/>
          <w:szCs w:val="32"/>
        </w:rPr>
        <w:t>一是</w:t>
      </w:r>
      <w:r>
        <w:rPr>
          <w:rFonts w:hint="default" w:ascii="Times New Roman" w:hAnsi="Times New Roman" w:eastAsia="仿宋_GB2312" w:cs="Times New Roman"/>
          <w:bCs/>
          <w:color w:val="auto"/>
          <w:kern w:val="0"/>
          <w:sz w:val="32"/>
          <w:szCs w:val="32"/>
        </w:rPr>
        <w:t>对农业农村发展的重视不够，长期以来，主要把人力、物力投入到抓工业和旅游发展上；</w:t>
      </w:r>
      <w:r>
        <w:rPr>
          <w:rFonts w:hint="default" w:ascii="Times New Roman" w:hAnsi="Times New Roman" w:eastAsia="仿宋_GB2312" w:cs="Times New Roman"/>
          <w:b/>
          <w:bCs w:val="0"/>
          <w:color w:val="auto"/>
          <w:kern w:val="0"/>
          <w:sz w:val="32"/>
          <w:szCs w:val="32"/>
        </w:rPr>
        <w:t>二是</w:t>
      </w:r>
      <w:r>
        <w:rPr>
          <w:rFonts w:hint="default" w:ascii="Times New Roman" w:hAnsi="Times New Roman" w:eastAsia="仿宋_GB2312" w:cs="Times New Roman"/>
          <w:bCs/>
          <w:color w:val="auto"/>
          <w:kern w:val="0"/>
          <w:sz w:val="32"/>
          <w:szCs w:val="32"/>
        </w:rPr>
        <w:t>农业生产效率和效益偏低，农业整体竞争力不强；</w:t>
      </w:r>
      <w:r>
        <w:rPr>
          <w:rFonts w:hint="default" w:ascii="Times New Roman" w:hAnsi="Times New Roman" w:eastAsia="仿宋_GB2312" w:cs="Times New Roman"/>
          <w:b/>
          <w:bCs w:val="0"/>
          <w:color w:val="auto"/>
          <w:kern w:val="0"/>
          <w:sz w:val="32"/>
          <w:szCs w:val="32"/>
        </w:rPr>
        <w:t>三是</w:t>
      </w:r>
      <w:r>
        <w:rPr>
          <w:rFonts w:hint="default" w:ascii="Times New Roman" w:hAnsi="Times New Roman" w:eastAsia="仿宋_GB2312" w:cs="Times New Roman"/>
          <w:bCs/>
          <w:color w:val="auto"/>
          <w:kern w:val="0"/>
          <w:sz w:val="32"/>
          <w:szCs w:val="32"/>
        </w:rPr>
        <w:t>农业基础设施、农业装备和农业农村信息化水平较低，农业抗击自然灾害和市场风险的能力弱，农业科技发展动力不足，农业现代化支撑能力弱；</w:t>
      </w:r>
      <w:r>
        <w:rPr>
          <w:rFonts w:hint="default" w:ascii="Times New Roman" w:hAnsi="Times New Roman" w:eastAsia="仿宋_GB2312" w:cs="Times New Roman"/>
          <w:b/>
          <w:bCs w:val="0"/>
          <w:color w:val="auto"/>
          <w:kern w:val="0"/>
          <w:sz w:val="32"/>
          <w:szCs w:val="32"/>
        </w:rPr>
        <w:t>四是</w:t>
      </w:r>
      <w:r>
        <w:rPr>
          <w:rFonts w:hint="default" w:ascii="Times New Roman" w:hAnsi="Times New Roman" w:eastAsia="仿宋_GB2312" w:cs="Times New Roman"/>
          <w:bCs/>
          <w:color w:val="auto"/>
          <w:kern w:val="0"/>
          <w:sz w:val="32"/>
          <w:szCs w:val="32"/>
        </w:rPr>
        <w:t>农村人居环境短板较多，农耕文化传承和乡村治理现代化水平不高。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2"/>
        <w:rPr>
          <w:rFonts w:hint="default" w:ascii="Times New Roman" w:hAnsi="Times New Roman" w:eastAsia="仿宋_GB2312" w:cs="Times New Roman"/>
          <w:b/>
          <w:color w:val="auto"/>
          <w:sz w:val="32"/>
          <w:szCs w:val="32"/>
        </w:rPr>
      </w:pPr>
      <w:bookmarkStart w:id="66" w:name="_Toc23650"/>
      <w:bookmarkStart w:id="67" w:name="_Toc17574"/>
      <w:bookmarkStart w:id="68" w:name="_Toc21597"/>
      <w:bookmarkStart w:id="69" w:name="_Toc2638"/>
      <w:bookmarkStart w:id="70" w:name="_Toc11586"/>
      <w:bookmarkStart w:id="71" w:name="_Toc13522"/>
      <w:bookmarkStart w:id="72" w:name="_Toc31254"/>
      <w:bookmarkStart w:id="73" w:name="_Toc14748"/>
      <w:r>
        <w:rPr>
          <w:rFonts w:hint="default" w:ascii="Times New Roman" w:hAnsi="Times New Roman" w:eastAsia="仿宋_GB2312" w:cs="Times New Roman"/>
          <w:b/>
          <w:color w:val="auto"/>
          <w:sz w:val="32"/>
          <w:szCs w:val="32"/>
        </w:rPr>
        <w:t>2.2发展经验</w:t>
      </w:r>
      <w:bookmarkEnd w:id="66"/>
      <w:bookmarkEnd w:id="67"/>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2.2.1始终围绕发展聚合力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color w:val="auto"/>
          <w:sz w:val="32"/>
          <w:szCs w:val="32"/>
        </w:rPr>
        <w:t>坚</w:t>
      </w:r>
      <w:r>
        <w:rPr>
          <w:rFonts w:hint="default" w:ascii="Times New Roman" w:hAnsi="Times New Roman" w:eastAsia="仿宋_GB2312" w:cs="Times New Roman"/>
          <w:bCs/>
          <w:color w:val="auto"/>
          <w:kern w:val="0"/>
          <w:sz w:val="32"/>
          <w:szCs w:val="32"/>
        </w:rPr>
        <w:t>持政治方向、围绕目标导向，强化组织保障，成立了以县委、县政府主要负责人为双组长的乡村振兴工作领导小组，建立完善了县人大督查、县政协视察乡村振兴工作机制，完善了横向到边、纵向到底的责任机制。按照</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一懂两爱</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要求培养和配优</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三农</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干部，形成了县、镇、村三级联动的农业农村工作格局。按照</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财政适度扶持、社会工商资本投入、产业资金精准发力、国有公司融资、金融担保借贷、群众参与</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的思路，积极探索以村集体经济组织为主、工商资本带动、社会各方参与的多元化乡村振兴资金投入保障机制。积极统筹涉农资金项目，着力</w:t>
      </w:r>
      <w:r>
        <w:rPr>
          <w:rFonts w:hint="default" w:ascii="Times New Roman" w:hAnsi="Times New Roman" w:eastAsia="仿宋_GB2312" w:cs="Times New Roman"/>
          <w:color w:val="auto"/>
          <w:sz w:val="32"/>
          <w:szCs w:val="32"/>
        </w:rPr>
        <w:t>加大乡村振兴投入力度，创新发行乡村振兴专项债券，强化与省农发行合作实施专项融资，为全力完成粮食生猪生产、科技兴农、农村人居环境整治等重点工程加大了投入力度。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2.2.2始终围绕园区培产业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坚持建基地、调结构，以优质粮油基地建设为首任，围绕绿色发展、科技引领、项目支撑，通过园区带产业，积极优化产园体系，持续探索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六路六带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八园五带</w:t>
      </w:r>
      <w:r>
        <w:rPr>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一核三带六园七业</w:t>
      </w:r>
      <w:r>
        <w:rPr>
          <w:rStyle w:val="33"/>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等产业发展路径，按照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大园区+小业主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大基地+小农户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展理念，着力推动优质水果、绿色蔬菜、生态畜牧、道地中药材、特色水产等基地建设，形成了中药材、柠檬、柑橘、甜桃、九叶青花椒等现代农业园区，星级农业园区创建全面启动，大英县中药材现代农业园区、柑橘现代农业园区成功创建为市级四星、三星级园区。以园区带产业促升级，引进和培育滋宁药业、蜀鑫食品、温氏养殖等一批农业龙头企业建基地、搞加工、兴市场为代表的产业链。坚持绿色乡村与休闲农业相结合，加快农旅融合发展，卓筒井镇为干屏村成功创建省级乡村旅游重点村、隆盛镇土门垭村创建成市级乡村旅游重点村，隆盛镇军辉农场创建</w:t>
      </w:r>
      <w:r>
        <w:rPr>
          <w:rFonts w:hint="default"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color w:val="auto"/>
          <w:sz w:val="32"/>
          <w:szCs w:val="32"/>
        </w:rPr>
        <w:t>全国休闲农庄。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2.2.3始终围绕改革优体系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以培育主体探索利益联结机制，加大新型经营主体培育力度。以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产联式合作社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建设为牵引，积极探索龙头带动、资本互动、集体参与、农民入股、市场运行等多种模式互动的利益联结机制，通过发展产联式合作社吸引工商资本下乡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产联式合作社建设发展经验，先后被省深改办、市委农领办简报全文刊载，《人民日报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四川日报》和《遂宁日报》也先后进行了报道。着力培优品牌拓展市场经营路径，大力培育魁山牌菜籽油、荣仙牌白柠檬、荣仙牌柚子、通仙牌九叶青花椒等农产品。积极组织申报</w:t>
      </w:r>
      <w:r>
        <w:rPr>
          <w:rFonts w:hint="default" w:ascii="Times New Roman" w:hAnsi="Times New Roman" w:eastAsia="仿宋_GB2312" w:cs="Times New Roman"/>
          <w:color w:val="auto"/>
          <w:sz w:val="32"/>
          <w:szCs w:val="32"/>
          <w:lang w:val="en-US" w:eastAsia="zh-CN"/>
        </w:rPr>
        <w:t>无公害农产品、</w:t>
      </w:r>
      <w:r>
        <w:rPr>
          <w:rFonts w:hint="default" w:ascii="Times New Roman" w:hAnsi="Times New Roman" w:eastAsia="仿宋_GB2312" w:cs="Times New Roman"/>
          <w:color w:val="auto"/>
          <w:sz w:val="32"/>
          <w:szCs w:val="32"/>
        </w:rPr>
        <w:t>绿色食品、有机食品、地理标志保护产品。以改革创新加快发展集体经济，农村集体产权制度改革工作取得显著成效。积极探索多种模式的农村合作经营机制，集体经济增收形式多样化发展，村集体经济持续发展能力不断增强。</w:t>
      </w:r>
      <w:r>
        <w:rPr>
          <w:rFonts w:hint="default" w:ascii="Times New Roman" w:hAnsi="Times New Roman" w:eastAsia="仿宋_GB2312" w:cs="Times New Roman"/>
          <w:color w:val="auto"/>
          <w:sz w:val="32"/>
          <w:szCs w:val="32"/>
          <w:lang w:val="en-US" w:eastAsia="zh-CN"/>
        </w:rPr>
        <w:t>全县</w:t>
      </w:r>
      <w:r>
        <w:rPr>
          <w:rFonts w:hint="default" w:ascii="Times New Roman" w:hAnsi="Times New Roman" w:eastAsia="仿宋_GB2312" w:cs="Times New Roman"/>
          <w:color w:val="auto"/>
          <w:sz w:val="32"/>
          <w:szCs w:val="32"/>
        </w:rPr>
        <w:t>农村集体产权制度改革工作接受农业农村部第三方评估。农村集体产权制度改革试点和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三权分置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阶段性考评中综合位列全市</w:t>
      </w:r>
      <w:r>
        <w:rPr>
          <w:rFonts w:hint="default" w:ascii="Times New Roman" w:hAnsi="Times New Roman" w:eastAsia="仿宋_GB2312" w:cs="Times New Roman"/>
          <w:color w:val="auto"/>
          <w:sz w:val="32"/>
          <w:szCs w:val="32"/>
          <w:lang w:val="en-US" w:eastAsia="zh-CN"/>
        </w:rPr>
        <w:t>两</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val="en-US" w:eastAsia="zh-CN"/>
        </w:rPr>
        <w:t>两</w:t>
      </w:r>
      <w:r>
        <w:rPr>
          <w:rFonts w:hint="default" w:ascii="Times New Roman" w:hAnsi="Times New Roman" w:eastAsia="仿宋_GB2312" w:cs="Times New Roman"/>
          <w:color w:val="auto"/>
          <w:sz w:val="32"/>
          <w:szCs w:val="32"/>
        </w:rPr>
        <w:t>县</w:t>
      </w:r>
      <w:r>
        <w:rPr>
          <w:rFonts w:hint="default" w:ascii="Times New Roman" w:hAnsi="Times New Roman" w:eastAsia="仿宋_GB2312" w:cs="Times New Roman"/>
          <w:color w:val="auto"/>
          <w:sz w:val="32"/>
          <w:szCs w:val="32"/>
          <w:lang w:val="en-US" w:eastAsia="zh-CN"/>
        </w:rPr>
        <w:t>一市</w:t>
      </w:r>
      <w:r>
        <w:rPr>
          <w:rFonts w:hint="default" w:ascii="Times New Roman" w:hAnsi="Times New Roman" w:eastAsia="仿宋_GB2312" w:cs="Times New Roman"/>
          <w:color w:val="auto"/>
          <w:sz w:val="32"/>
          <w:szCs w:val="32"/>
        </w:rPr>
        <w:t>第一。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2.2.4始终围绕宜居抓治理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突出农村人居环境整治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三大革命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，扎实深入开展农村人居环境整治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五大行动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。通过试点引领，不同方式整县组织推动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厕所革命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。大力推广畜禽粪污资源化利用，统筹农村道路、污水处理厂、垃圾中转站和农村文化室、卫生室等公共基础设施建设，加快推进农村路网、电网、广电网、信息网络、饮水、住房等公共配套，农村人居环境整治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五大行动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协调开展，村容村貌持续提升。积极推进美丽宜居新村建设，统筹农村公共设施配套、乡村文化建设和基层组织建设，结合文明乡镇、文明村创建工作，大力推进以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过上好日子、住上好房子、养成好习惯、形成好风气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为主题的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四好村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创建，美丽宜居大英的乡村面貌</w:t>
      </w:r>
      <w:r>
        <w:rPr>
          <w:rFonts w:hint="default" w:ascii="Times New Roman" w:hAnsi="Times New Roman" w:eastAsia="仿宋_GB2312" w:cs="Times New Roman"/>
          <w:color w:val="auto"/>
          <w:sz w:val="32"/>
          <w:szCs w:val="32"/>
          <w:lang w:val="en-US" w:eastAsia="zh-CN"/>
        </w:rPr>
        <w:t>得到</w:t>
      </w:r>
      <w:r>
        <w:rPr>
          <w:rFonts w:hint="default" w:ascii="Times New Roman" w:hAnsi="Times New Roman" w:eastAsia="仿宋_GB2312" w:cs="Times New Roman"/>
          <w:color w:val="auto"/>
          <w:sz w:val="32"/>
          <w:szCs w:val="32"/>
        </w:rPr>
        <w:t>显著改善。</w:t>
      </w:r>
      <w:bookmarkStart w:id="74" w:name="_Toc8198"/>
      <w:bookmarkStart w:id="75" w:name="_Toc16836"/>
      <w:bookmarkStart w:id="76" w:name="_Toc2583"/>
      <w:bookmarkStart w:id="77" w:name="_Toc21517"/>
      <w:bookmarkStart w:id="78" w:name="_Toc25027"/>
      <w:bookmarkStart w:id="79" w:name="_Toc617"/>
      <w:bookmarkStart w:id="80" w:name="_Toc30172"/>
      <w:bookmarkStart w:id="81" w:name="_Toc1012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color w:val="auto"/>
          <w:kern w:val="0"/>
          <w:sz w:val="28"/>
          <w:szCs w:val="28"/>
          <w:lang w:val="mn-Mong-CN" w:bidi="mn-Mong-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kern w:val="0"/>
          <w:sz w:val="32"/>
          <w:szCs w:val="32"/>
          <w:lang w:val="mn-Mong-CN" w:bidi="mn-Mong-CN"/>
        </w:rPr>
      </w:pPr>
      <w:r>
        <w:rPr>
          <w:rFonts w:hint="default" w:ascii="Times New Roman" w:hAnsi="Times New Roman" w:eastAsia="黑体" w:cs="Times New Roman"/>
          <w:color w:val="auto"/>
          <w:kern w:val="0"/>
          <w:sz w:val="32"/>
          <w:szCs w:val="32"/>
          <w:lang w:val="mn-Mong-CN" w:bidi="mn-Mong-CN"/>
        </w:rPr>
        <w:t>第三章  面临形势</w:t>
      </w:r>
      <w:bookmarkEnd w:id="74"/>
      <w:bookmarkEnd w:id="75"/>
      <w:bookmarkEnd w:id="76"/>
      <w:bookmarkEnd w:id="77"/>
      <w:bookmarkEnd w:id="78"/>
      <w:bookmarkEnd w:id="79"/>
      <w:bookmarkEnd w:id="80"/>
      <w:bookmarkEnd w:id="81"/>
    </w:p>
    <w:p>
      <w:pPr>
        <w:pStyle w:val="27"/>
        <w:rPr>
          <w:rFonts w:hint="default" w:ascii="Times New Roman" w:hAnsi="Times New Roman" w:cs="Times New Roman"/>
          <w:lang w:val="mn-Mong-CN"/>
        </w:rPr>
      </w:pP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82" w:name="_Toc20153"/>
      <w:bookmarkStart w:id="83" w:name="_Toc6671"/>
      <w:bookmarkStart w:id="84" w:name="_Toc4273"/>
      <w:bookmarkStart w:id="85" w:name="_Toc7570"/>
      <w:bookmarkStart w:id="86" w:name="_Toc7853"/>
      <w:bookmarkStart w:id="87" w:name="_Toc20432"/>
      <w:bookmarkStart w:id="88" w:name="_Toc2097"/>
      <w:bookmarkStart w:id="89" w:name="_Toc2509"/>
      <w:r>
        <w:rPr>
          <w:rFonts w:hint="default" w:ascii="Times New Roman" w:hAnsi="Times New Roman" w:eastAsia="仿宋_GB2312" w:cs="Times New Roman"/>
          <w:b/>
          <w:color w:val="auto"/>
          <w:sz w:val="32"/>
          <w:szCs w:val="32"/>
        </w:rPr>
        <w:t>3.1新的机遇</w:t>
      </w:r>
      <w:bookmarkEnd w:id="82"/>
      <w:bookmarkEnd w:id="83"/>
      <w:bookmarkEnd w:id="84"/>
      <w:bookmarkEnd w:id="85"/>
      <w:bookmarkEnd w:id="86"/>
      <w:bookmarkEnd w:id="87"/>
      <w:bookmarkEnd w:id="88"/>
      <w:bookmarkEnd w:id="89"/>
    </w:p>
    <w:p>
      <w:pPr>
        <w:spacing w:line="560" w:lineRule="exact"/>
        <w:ind w:firstLine="643" w:firstLineChars="200"/>
        <w:jc w:val="left"/>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kern w:val="0"/>
          <w:sz w:val="32"/>
          <w:szCs w:val="32"/>
        </w:rPr>
        <w:t>3.1.1</w:t>
      </w:r>
      <w:r>
        <w:rPr>
          <w:rFonts w:hint="default" w:ascii="Times New Roman" w:hAnsi="Times New Roman" w:eastAsia="仿宋_GB2312" w:cs="Times New Roman"/>
          <w:b/>
          <w:bCs/>
          <w:color w:val="auto"/>
          <w:kern w:val="0"/>
          <w:sz w:val="32"/>
          <w:szCs w:val="32"/>
          <w:lang w:val="zh-CN"/>
        </w:rPr>
        <w:t>重大政策支持新机遇</w:t>
      </w:r>
    </w:p>
    <w:p>
      <w:pPr>
        <w:spacing w:line="560" w:lineRule="exact"/>
        <w:ind w:firstLine="640"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从国际看，开放、合作、共赢成为共识，新一轮科技革命加速推动产业变革，国际经贸规则变化和新冠疫情冲击正在重构全球产业链，为我国打好产业基础高级化和产业链现代化的攻坚战提供了良好的外部环境。从国内看，国家深入实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一带一路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建设、长江经济带发展、新时代西部大开发、</w:t>
      </w:r>
      <w:r>
        <w:rPr>
          <w:rFonts w:hint="default" w:ascii="Times New Roman" w:hAnsi="Times New Roman" w:eastAsia="仿宋_GB2312" w:cs="Times New Roman"/>
          <w:b/>
          <w:color w:val="auto"/>
          <w:sz w:val="32"/>
          <w:szCs w:val="32"/>
        </w:rPr>
        <w:t>成渝地区双城经济圈</w:t>
      </w:r>
      <w:r>
        <w:rPr>
          <w:rFonts w:hint="default" w:ascii="Times New Roman" w:hAnsi="Times New Roman" w:eastAsia="仿宋_GB2312" w:cs="Times New Roman"/>
          <w:color w:val="auto"/>
          <w:sz w:val="32"/>
          <w:szCs w:val="32"/>
        </w:rPr>
        <w:t>等重大战略，推进脱贫攻坚与乡村振兴有效衔接，形成政策支持导向转换，国家在财政金融、投资消费、产业升级、基础补短等领域出台系列支持政策，给农业农村发展带来了更大的利好政策。全省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四向拓展、全域开放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新态势加速构建，省委先后就推动县域经济高质量发展、农业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10+3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产业体系建设、现代农业园区建设出台了具体政策支持措施，</w:t>
      </w:r>
      <w:r>
        <w:rPr>
          <w:rFonts w:hint="default" w:ascii="Times New Roman" w:hAnsi="Times New Roman" w:eastAsia="仿宋_GB2312" w:cs="Times New Roman"/>
          <w:b/>
          <w:color w:val="auto"/>
          <w:sz w:val="32"/>
          <w:szCs w:val="32"/>
        </w:rPr>
        <w:t>决心补齐农业农村发展短板</w:t>
      </w:r>
      <w:r>
        <w:rPr>
          <w:rFonts w:hint="default" w:ascii="Times New Roman" w:hAnsi="Times New Roman" w:eastAsia="仿宋_GB2312" w:cs="Times New Roman"/>
          <w:color w:val="auto"/>
          <w:sz w:val="32"/>
          <w:szCs w:val="32"/>
        </w:rPr>
        <w:t>，擦亮四川农业这块金字招牌，支持遂宁建设成渝双城经济圈绿色产品供给地。市委、市政府</w:t>
      </w:r>
      <w:r>
        <w:rPr>
          <w:rFonts w:hint="default" w:ascii="Times New Roman" w:hAnsi="Times New Roman" w:eastAsia="仿宋_GB2312" w:cs="Times New Roman"/>
          <w:color w:val="auto"/>
          <w:sz w:val="32"/>
          <w:szCs w:val="32"/>
          <w:lang w:val="zh-CN"/>
        </w:rPr>
        <w:t>“一二三四五”兴遂</w:t>
      </w:r>
      <w:r>
        <w:rPr>
          <w:rFonts w:hint="default" w:ascii="Times New Roman" w:hAnsi="Times New Roman" w:eastAsia="仿宋_GB2312" w:cs="Times New Roman"/>
          <w:color w:val="auto"/>
          <w:sz w:val="32"/>
          <w:szCs w:val="32"/>
        </w:rPr>
        <w:t>战略，更是将加快农业农村现代化放在了突出位置，这为</w:t>
      </w: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在新兴产业培育、三次产业融合、财税金融支持等方面提供了重大政策契机。</w:t>
      </w:r>
    </w:p>
    <w:p>
      <w:pPr>
        <w:spacing w:line="560" w:lineRule="exact"/>
        <w:ind w:firstLine="643" w:firstLineChars="200"/>
        <w:jc w:val="left"/>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kern w:val="0"/>
          <w:sz w:val="32"/>
          <w:szCs w:val="32"/>
          <w:lang w:val="zh-CN"/>
        </w:rPr>
        <w:t>3.1.2经济转型发展新机遇</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当前，我国仍处于经济发展的关键时期，传统产业结构升级仍在加快推进，新兴产业动力正在加快形成，新旧动能转换还处于交替阶段。党的十九大着眼于全面建成小康社会和现代化建设大局提出实施乡村振兴战略，为新时代农业农村改革发展指明了方向。</w:t>
      </w: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是农业大县，农业资源丰富，生态资源得天独厚，粮食、生猪、中药材、果蔬等具备扎实的基础优势，同时，县委矢志不渝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做优农业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，实施乡村振兴战略，形成了既有大资源、大战略的县域优势，又有与之相衔接的国家政策优势，为</w:t>
      </w: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经济转型带来新的重大机遇。</w:t>
      </w:r>
    </w:p>
    <w:p>
      <w:pPr>
        <w:spacing w:line="560" w:lineRule="exact"/>
        <w:ind w:firstLine="643" w:firstLineChars="200"/>
        <w:jc w:val="left"/>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kern w:val="0"/>
          <w:sz w:val="32"/>
          <w:szCs w:val="32"/>
          <w:lang w:val="zh-CN"/>
        </w:rPr>
        <w:t>3.1.3区域</w:t>
      </w:r>
      <w:r>
        <w:rPr>
          <w:rFonts w:hint="default" w:ascii="Times New Roman" w:hAnsi="Times New Roman" w:eastAsia="仿宋_GB2312" w:cs="Times New Roman"/>
          <w:b/>
          <w:bCs/>
          <w:color w:val="auto"/>
          <w:kern w:val="0"/>
          <w:sz w:val="32"/>
          <w:szCs w:val="32"/>
          <w:lang w:val="en-US" w:eastAsia="zh-CN"/>
        </w:rPr>
        <w:t>经济</w:t>
      </w:r>
      <w:r>
        <w:rPr>
          <w:rFonts w:hint="default" w:ascii="Times New Roman" w:hAnsi="Times New Roman" w:eastAsia="仿宋_GB2312" w:cs="Times New Roman"/>
          <w:b/>
          <w:bCs/>
          <w:color w:val="auto"/>
          <w:kern w:val="0"/>
          <w:sz w:val="32"/>
          <w:szCs w:val="32"/>
          <w:lang w:val="zh-CN"/>
        </w:rPr>
        <w:t>协同发展新机遇</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是全省粮食生产先进县、545个生猪调出大县和全省70个粮食生产核心区、52个生猪调出大县之一，是省委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一干多支、五区协同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战略中建设成都平原经济区的重</w:t>
      </w:r>
      <w:r>
        <w:rPr>
          <w:rFonts w:hint="default" w:ascii="Times New Roman" w:hAnsi="Times New Roman" w:eastAsia="仿宋_GB2312" w:cs="Times New Roman"/>
          <w:color w:val="auto"/>
          <w:sz w:val="32"/>
          <w:szCs w:val="32"/>
          <w:lang w:val="en-US" w:eastAsia="zh-CN"/>
        </w:rPr>
        <w:t>要</w:t>
      </w:r>
      <w:r>
        <w:rPr>
          <w:rFonts w:hint="default" w:ascii="Times New Roman" w:hAnsi="Times New Roman" w:eastAsia="仿宋_GB2312" w:cs="Times New Roman"/>
          <w:color w:val="auto"/>
          <w:sz w:val="32"/>
          <w:szCs w:val="32"/>
        </w:rPr>
        <w:t>极点，在培育国内领先的能源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盐化工、化学新材料、汽车零配件及装备制造、绿色食品、旅游康养等产业集群上具备地缘和资源优势，是市委融入成渝地区双城经济圈建设东向重要门户枢纽、生态康养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后花园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产业协作配套基地、绿色产品供给地的重要支撑。持续深度参与成遂、盟遂和遂潼等合作，与先进地区开放式互联，协同建链、补链、延链、强链，加强区域产业协作，促进高效分工、差异化发展、相互融合，推动全产业链转移承接，凝聚推进区域协同发展的强大合力，将成为</w:t>
      </w:r>
      <w:r>
        <w:rPr>
          <w:rFonts w:hint="default" w:ascii="Times New Roman" w:hAnsi="Times New Roman" w:eastAsia="仿宋_GB2312" w:cs="Times New Roman"/>
          <w:color w:val="auto"/>
          <w:sz w:val="32"/>
          <w:szCs w:val="32"/>
          <w:lang w:val="en-US" w:eastAsia="zh-CN"/>
        </w:rPr>
        <w:t>大英</w:t>
      </w:r>
      <w:r>
        <w:rPr>
          <w:rFonts w:hint="default" w:ascii="Times New Roman" w:hAnsi="Times New Roman" w:eastAsia="仿宋_GB2312" w:cs="Times New Roman"/>
          <w:color w:val="auto"/>
          <w:sz w:val="32"/>
          <w:szCs w:val="32"/>
        </w:rPr>
        <w:t>县域经济高质量发展的助推器。</w:t>
      </w:r>
    </w:p>
    <w:p>
      <w:pPr>
        <w:spacing w:line="560" w:lineRule="exact"/>
        <w:ind w:firstLine="643" w:firstLineChars="200"/>
        <w:jc w:val="left"/>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kern w:val="0"/>
          <w:sz w:val="32"/>
          <w:szCs w:val="32"/>
          <w:lang w:val="zh-CN"/>
        </w:rPr>
        <w:t>3.1.4消费需求升级新机遇</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家正在出台政策措施，不断挖掘国民的消费潜力；在今后相当长的一段时期，坚持把扩大内需作为战略基点，构建国内国际双循环相互促进的新发展格局，每年全世界30%左右的市场扩张将会在中国，这无疑为各地和各行业推进高质量加快发展创造了强大动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提供了</w:t>
      </w:r>
      <w:r>
        <w:rPr>
          <w:rFonts w:hint="default" w:ascii="Times New Roman" w:hAnsi="Times New Roman" w:eastAsia="仿宋_GB2312" w:cs="Times New Roman"/>
          <w:color w:val="auto"/>
          <w:sz w:val="32"/>
          <w:szCs w:val="32"/>
        </w:rPr>
        <w:t>有力支撑。随着我国社会主要矛盾的转变，国家将继续加大民生消费领域投入，加快补齐民生短板。作为重要农产品主产区，加快建设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天府旅游名县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全国知名旅游度假目的地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生态大英·美丽乡村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是自身发展的价值追求，也必将在民生领域获得更多政策和项目支持。实施乡村振兴战略，加快推进美丽宜居乡村建设，人民群众对美好生活的期盼更加强烈，对民生的宜居性、安全性、多样性和公正性要求更高，特别是对优质教育、医疗、文化、住房、养老等基本公共服务量质齐升的需求更加强烈和迫切，这为</w:t>
      </w: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增进社会民生福祉，提高人民的获得感幸福感安全感指明了方向，为提升经济社会加快发展、高质量发展提供了动力和支撑。</w:t>
      </w:r>
    </w:p>
    <w:p>
      <w:pPr>
        <w:spacing w:line="560" w:lineRule="exact"/>
        <w:ind w:firstLine="643" w:firstLineChars="200"/>
        <w:jc w:val="left"/>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kern w:val="0"/>
          <w:sz w:val="32"/>
          <w:szCs w:val="32"/>
          <w:lang w:val="zh-CN"/>
        </w:rPr>
        <w:t>3.1.5全面深化改革新机遇</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习近平总书记在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关于全面深化改革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的论述中指出，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改革开放是决定当代中国命运的关键一招，也是决定实现‘两个一百年’奋斗目标、实现中华民族伟大复兴的关键一招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。乡镇行政区划和村级建制调整改革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后半篇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文章乘势而上，新一轮科技革命和产业革命帆正风劲，金融体制改革强力保障，农村集体产权制度改革和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战略深入实施，农村集体经济强势崛起，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互联网+农业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深度融合，新技术、新模式不断涌现，智慧农业、数字农村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智能农业</w:t>
      </w:r>
      <w:r>
        <w:rPr>
          <w:rFonts w:hint="default" w:ascii="Times New Roman" w:hAnsi="Times New Roman" w:eastAsia="仿宋_GB2312" w:cs="Times New Roman"/>
          <w:color w:val="auto"/>
          <w:sz w:val="32"/>
          <w:szCs w:val="32"/>
        </w:rPr>
        <w:t>等新业态方兴未艾，农业供给侧结构性改革持续深化，农业农村内在动力持续增强，这些都为大英跨越式、高质量发展描绘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新蓝图提供了改革机遇。</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90" w:name="_Toc19942"/>
      <w:bookmarkStart w:id="91" w:name="_Toc3515"/>
      <w:bookmarkStart w:id="92" w:name="_Toc12798"/>
      <w:bookmarkStart w:id="93" w:name="_Toc23105"/>
      <w:bookmarkStart w:id="94" w:name="_Toc9933"/>
      <w:bookmarkStart w:id="95" w:name="_Toc30872"/>
      <w:bookmarkStart w:id="96" w:name="_Toc18181"/>
      <w:bookmarkStart w:id="97" w:name="_Toc25414"/>
      <w:r>
        <w:rPr>
          <w:rFonts w:hint="default" w:ascii="Times New Roman" w:hAnsi="Times New Roman" w:eastAsia="仿宋_GB2312" w:cs="Times New Roman"/>
          <w:b/>
          <w:color w:val="auto"/>
          <w:sz w:val="32"/>
          <w:szCs w:val="32"/>
        </w:rPr>
        <w:t>3.2新的挑战</w:t>
      </w:r>
      <w:bookmarkEnd w:id="90"/>
      <w:bookmarkEnd w:id="91"/>
      <w:bookmarkEnd w:id="92"/>
      <w:bookmarkEnd w:id="93"/>
      <w:bookmarkEnd w:id="94"/>
      <w:bookmarkEnd w:id="95"/>
      <w:bookmarkEnd w:id="96"/>
      <w:bookmarkEnd w:id="97"/>
      <w:r>
        <w:rPr>
          <w:rFonts w:hint="default" w:ascii="Times New Roman" w:hAnsi="Times New Roman" w:eastAsia="仿宋_GB2312" w:cs="Times New Roman"/>
          <w:b/>
          <w:color w:val="auto"/>
          <w:sz w:val="32"/>
          <w:szCs w:val="32"/>
        </w:rPr>
        <w:t xml:space="preserve">  </w:t>
      </w:r>
    </w:p>
    <w:p>
      <w:pPr>
        <w:pStyle w:val="10"/>
        <w:spacing w:after="0"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3.2.1农业农村外部环境更加复杂</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全球地缘政治格局发生深刻变化，关税壁垒、单边主义、贸易保护主义愈演愈烈，加之新冠肺炎疫情全球蔓延，产业链供应链循环受阻，消费、生产动力不足，粮食安全和生猪</w:t>
      </w:r>
      <w:r>
        <w:rPr>
          <w:rFonts w:hint="default" w:ascii="Times New Roman" w:hAnsi="Times New Roman" w:eastAsia="仿宋_GB2312" w:cs="Times New Roman"/>
          <w:color w:val="auto"/>
          <w:sz w:val="32"/>
          <w:szCs w:val="32"/>
          <w:lang w:val="en-US" w:eastAsia="zh-CN"/>
        </w:rPr>
        <w:t>生产</w:t>
      </w:r>
      <w:r>
        <w:rPr>
          <w:rFonts w:hint="default" w:ascii="Times New Roman" w:hAnsi="Times New Roman" w:eastAsia="仿宋_GB2312" w:cs="Times New Roman"/>
          <w:color w:val="auto"/>
          <w:sz w:val="32"/>
          <w:szCs w:val="32"/>
        </w:rPr>
        <w:t>等重要农产品供给遭遇重大考验，世界经济面临更多不稳定不确定因素。国内经济风险和下行趋势明显加大，深层次结构性、体制性、周期性问题相互交织，发展面临的挑战大大增加。全国、全省、全市面临转型升级、风险防范、要素保障、补齐短板等多重压力，在更加趋紧的外部环境下，</w:t>
      </w:r>
      <w:r>
        <w:rPr>
          <w:rFonts w:hint="default" w:ascii="Times New Roman" w:hAnsi="Times New Roman" w:eastAsia="仿宋_GB2312" w:cs="Times New Roman"/>
          <w:color w:val="auto"/>
          <w:sz w:val="32"/>
          <w:szCs w:val="32"/>
          <w:lang w:val="en-US" w:eastAsia="zh-CN"/>
        </w:rPr>
        <w:t>大英</w:t>
      </w:r>
      <w:r>
        <w:rPr>
          <w:rFonts w:hint="default" w:ascii="Times New Roman" w:hAnsi="Times New Roman" w:eastAsia="仿宋_GB2312" w:cs="Times New Roman"/>
          <w:color w:val="auto"/>
          <w:sz w:val="32"/>
          <w:szCs w:val="32"/>
        </w:rPr>
        <w:t>农业农村经济社会保持持续快速和高质量发展的压力前所未有。</w:t>
      </w:r>
    </w:p>
    <w:p>
      <w:pPr>
        <w:pStyle w:val="10"/>
        <w:spacing w:after="0" w:line="560" w:lineRule="exact"/>
        <w:ind w:firstLine="643" w:firstLineChars="200"/>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rPr>
        <w:t>3.2.2</w:t>
      </w:r>
      <w:r>
        <w:rPr>
          <w:rFonts w:hint="default" w:ascii="Times New Roman" w:hAnsi="Times New Roman" w:eastAsia="仿宋_GB2312" w:cs="Times New Roman"/>
          <w:b/>
          <w:bCs/>
          <w:color w:val="auto"/>
          <w:sz w:val="32"/>
          <w:szCs w:val="32"/>
          <w:lang w:val="zh-CN"/>
        </w:rPr>
        <w:t>农业农村基础设施依然薄弱</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大英县</w:t>
      </w:r>
      <w:r>
        <w:rPr>
          <w:rFonts w:hint="default" w:ascii="Times New Roman" w:hAnsi="Times New Roman" w:eastAsia="仿宋_GB2312" w:cs="Times New Roman"/>
          <w:color w:val="auto"/>
          <w:sz w:val="32"/>
          <w:szCs w:val="32"/>
        </w:rPr>
        <w:t>农村生产性基础设施支撑力脆弱，高标准农田占比</w:t>
      </w:r>
      <w:r>
        <w:rPr>
          <w:rFonts w:hint="default" w:ascii="Times New Roman" w:hAnsi="Times New Roman" w:eastAsia="仿宋_GB2312" w:cs="Times New Roman"/>
          <w:color w:val="auto"/>
          <w:sz w:val="32"/>
          <w:szCs w:val="32"/>
          <w:lang w:val="en-US" w:eastAsia="zh-CN"/>
        </w:rPr>
        <w:t>较低</w:t>
      </w:r>
      <w:r>
        <w:rPr>
          <w:rFonts w:hint="default" w:ascii="Times New Roman" w:hAnsi="Times New Roman" w:eastAsia="仿宋_GB2312" w:cs="Times New Roman"/>
          <w:color w:val="auto"/>
          <w:sz w:val="32"/>
          <w:szCs w:val="32"/>
        </w:rPr>
        <w:t>，机电提灌灌溉面积不足40%，</w:t>
      </w:r>
      <w:r>
        <w:rPr>
          <w:rFonts w:hint="default" w:ascii="Times New Roman" w:hAnsi="Times New Roman" w:eastAsia="仿宋_GB2312" w:cs="Times New Roman"/>
          <w:color w:val="auto"/>
          <w:sz w:val="32"/>
          <w:szCs w:val="32"/>
          <w:lang w:val="en-US" w:eastAsia="zh-CN"/>
        </w:rPr>
        <w:t>农业</w:t>
      </w:r>
      <w:r>
        <w:rPr>
          <w:rFonts w:hint="default" w:ascii="Times New Roman" w:hAnsi="Times New Roman" w:eastAsia="仿宋_GB2312" w:cs="Times New Roman"/>
          <w:color w:val="auto"/>
          <w:sz w:val="32"/>
          <w:szCs w:val="32"/>
        </w:rPr>
        <w:t>抵御自然灾害的能力不强；少数村、社道路硬化拓宽和农业机耕道建设相对滞后。个别公共卫生服务、通讯等配套不足，村级公共设施有待加强。个别地方农村生活垃圾处理、生活污水治理机制还不完善。大型的农产品批发交易市场规划建设不够，冷链仓储物流能力与农业生产规模还不完全匹配，生鲜农产品应对滞销的能力不强，全县农产品流通性基础设施承载力较弱。</w:t>
      </w:r>
    </w:p>
    <w:p>
      <w:pPr>
        <w:pStyle w:val="10"/>
        <w:spacing w:after="0" w:line="560" w:lineRule="exact"/>
        <w:ind w:firstLine="643" w:firstLineChars="200"/>
        <w:rPr>
          <w:rFonts w:hint="default" w:ascii="Times New Roman" w:hAnsi="Times New Roman" w:eastAsia="仿宋_GB2312" w:cs="Times New Roman"/>
          <w:b/>
          <w:bCs/>
          <w:color w:val="auto"/>
          <w:sz w:val="32"/>
          <w:szCs w:val="32"/>
        </w:rPr>
      </w:pPr>
      <w:bookmarkStart w:id="98" w:name="_Toc14242"/>
      <w:bookmarkStart w:id="99" w:name="_Toc48804985"/>
      <w:bookmarkStart w:id="100" w:name="_Toc31045"/>
      <w:bookmarkStart w:id="101" w:name="_Toc31660"/>
      <w:bookmarkStart w:id="102" w:name="_Toc15993"/>
      <w:bookmarkStart w:id="103" w:name="_Toc12716"/>
      <w:bookmarkStart w:id="104" w:name="_Toc11355"/>
      <w:bookmarkStart w:id="105" w:name="_Toc16444"/>
      <w:bookmarkStart w:id="106" w:name="_Toc16667"/>
      <w:bookmarkStart w:id="107" w:name="_Toc47855673"/>
      <w:r>
        <w:rPr>
          <w:rFonts w:hint="default" w:ascii="Times New Roman" w:hAnsi="Times New Roman" w:eastAsia="仿宋_GB2312" w:cs="Times New Roman"/>
          <w:b/>
          <w:bCs/>
          <w:color w:val="auto"/>
          <w:sz w:val="32"/>
          <w:szCs w:val="32"/>
        </w:rPr>
        <w:t>3.2.3农业产业体系构建尚需完善</w:t>
      </w:r>
      <w:bookmarkEnd w:id="98"/>
      <w:bookmarkEnd w:id="99"/>
      <w:bookmarkEnd w:id="100"/>
      <w:bookmarkEnd w:id="101"/>
      <w:bookmarkEnd w:id="102"/>
      <w:bookmarkEnd w:id="103"/>
      <w:bookmarkEnd w:id="104"/>
      <w:bookmarkEnd w:id="105"/>
      <w:bookmarkEnd w:id="106"/>
      <w:bookmarkEnd w:id="107"/>
    </w:p>
    <w:p>
      <w:pPr>
        <w:spacing w:line="560" w:lineRule="exact"/>
        <w:ind w:firstLine="640" w:firstLineChars="200"/>
        <w:rPr>
          <w:rFonts w:hint="default" w:ascii="Times New Roman" w:hAnsi="Times New Roman" w:eastAsia="仿宋_GB2312" w:cs="Times New Roman"/>
          <w:color w:val="auto"/>
          <w:sz w:val="32"/>
          <w:szCs w:val="32"/>
          <w:lang w:val="zh-CN"/>
        </w:rPr>
      </w:pPr>
      <w:bookmarkStart w:id="108" w:name="_Toc17080"/>
      <w:bookmarkStart w:id="109" w:name="_Toc10542"/>
      <w:bookmarkStart w:id="110" w:name="_Toc4662"/>
      <w:r>
        <w:rPr>
          <w:rFonts w:hint="default" w:ascii="Times New Roman" w:hAnsi="Times New Roman" w:eastAsia="仿宋_GB2312" w:cs="Times New Roman"/>
          <w:color w:val="auto"/>
          <w:sz w:val="32"/>
          <w:szCs w:val="32"/>
          <w:lang w:val="zh-CN"/>
        </w:rPr>
        <w:t>优势特色产业规模普遍较小，多呈点状分散布局，农产品精深加工短板突出，“农业+”三产融合不深，产业体系不优；生产方式粗放，传统农业、“袖珍农业”现象突出，农产品大路货多，农业科技利用转化率不高，生产体系不</w:t>
      </w:r>
      <w:r>
        <w:rPr>
          <w:rFonts w:hint="default" w:ascii="Times New Roman" w:hAnsi="Times New Roman" w:eastAsia="仿宋_GB2312" w:cs="Times New Roman"/>
          <w:color w:val="auto"/>
          <w:sz w:val="32"/>
          <w:szCs w:val="32"/>
        </w:rPr>
        <w:t>佳</w:t>
      </w:r>
      <w:r>
        <w:rPr>
          <w:rFonts w:hint="default" w:ascii="Times New Roman" w:hAnsi="Times New Roman" w:eastAsia="仿宋_GB2312" w:cs="Times New Roman"/>
          <w:color w:val="auto"/>
          <w:sz w:val="32"/>
          <w:szCs w:val="32"/>
          <w:lang w:val="zh-CN"/>
        </w:rPr>
        <w:t>；新型农业经营主体管理水平不高，农产品品牌市场竞争力、影响力不强，中高端市场占比低，农产品附加值不高，经营体系不</w:t>
      </w:r>
      <w:r>
        <w:rPr>
          <w:rFonts w:hint="default" w:ascii="Times New Roman" w:hAnsi="Times New Roman" w:eastAsia="仿宋_GB2312" w:cs="Times New Roman"/>
          <w:color w:val="auto"/>
          <w:sz w:val="32"/>
          <w:szCs w:val="32"/>
        </w:rPr>
        <w:t>全</w:t>
      </w:r>
      <w:r>
        <w:rPr>
          <w:rFonts w:hint="default" w:ascii="Times New Roman" w:hAnsi="Times New Roman" w:eastAsia="仿宋_GB2312" w:cs="Times New Roman"/>
          <w:color w:val="auto"/>
          <w:sz w:val="32"/>
          <w:szCs w:val="32"/>
          <w:lang w:val="zh-CN"/>
        </w:rPr>
        <w:t>。农业产业体系</w:t>
      </w:r>
      <w:r>
        <w:rPr>
          <w:rFonts w:hint="default" w:ascii="Times New Roman" w:hAnsi="Times New Roman" w:eastAsia="仿宋_GB2312" w:cs="Times New Roman"/>
          <w:color w:val="auto"/>
          <w:sz w:val="32"/>
          <w:szCs w:val="32"/>
        </w:rPr>
        <w:t>问题</w:t>
      </w:r>
      <w:r>
        <w:rPr>
          <w:rFonts w:hint="default" w:ascii="Times New Roman" w:hAnsi="Times New Roman" w:eastAsia="仿宋_GB2312" w:cs="Times New Roman"/>
          <w:color w:val="auto"/>
          <w:sz w:val="32"/>
          <w:szCs w:val="32"/>
          <w:lang w:val="zh-CN"/>
        </w:rPr>
        <w:t>是影响农业高质量发展的关键，在“十四五”时期亟待解决。</w:t>
      </w:r>
      <w:bookmarkEnd w:id="108"/>
      <w:bookmarkEnd w:id="109"/>
      <w:bookmarkEnd w:id="110"/>
    </w:p>
    <w:p>
      <w:pPr>
        <w:pStyle w:val="10"/>
        <w:spacing w:after="0" w:line="560" w:lineRule="exact"/>
        <w:ind w:firstLine="643" w:firstLineChars="200"/>
        <w:rPr>
          <w:rFonts w:hint="default" w:ascii="Times New Roman" w:hAnsi="Times New Roman" w:eastAsia="仿宋_GB2312" w:cs="Times New Roman"/>
          <w:b/>
          <w:bCs/>
          <w:color w:val="auto"/>
          <w:sz w:val="32"/>
          <w:szCs w:val="32"/>
          <w:lang w:val="zh-CN"/>
        </w:rPr>
      </w:pPr>
      <w:bookmarkStart w:id="111" w:name="_Toc5093"/>
      <w:bookmarkStart w:id="112" w:name="_Toc30932"/>
      <w:bookmarkStart w:id="113" w:name="_Toc14177"/>
      <w:bookmarkStart w:id="114" w:name="_Toc20978"/>
      <w:bookmarkStart w:id="115" w:name="_Toc13605"/>
      <w:bookmarkStart w:id="116" w:name="_Toc20147"/>
      <w:bookmarkStart w:id="117" w:name="_Toc24790"/>
      <w:bookmarkStart w:id="118" w:name="_Toc10186"/>
      <w:bookmarkStart w:id="119" w:name="_Toc8376"/>
      <w:r>
        <w:rPr>
          <w:rFonts w:hint="default" w:ascii="Times New Roman" w:hAnsi="Times New Roman" w:eastAsia="仿宋_GB2312" w:cs="Times New Roman"/>
          <w:b/>
          <w:bCs/>
          <w:color w:val="auto"/>
          <w:sz w:val="32"/>
          <w:szCs w:val="32"/>
        </w:rPr>
        <w:t>3.2.4</w:t>
      </w:r>
      <w:r>
        <w:rPr>
          <w:rFonts w:hint="default" w:ascii="Times New Roman" w:hAnsi="Times New Roman" w:eastAsia="仿宋_GB2312" w:cs="Times New Roman"/>
          <w:b/>
          <w:bCs/>
          <w:color w:val="auto"/>
          <w:sz w:val="32"/>
          <w:szCs w:val="32"/>
          <w:lang w:val="zh-CN"/>
        </w:rPr>
        <w:t>农业农村发展活力亟待释放</w:t>
      </w:r>
      <w:bookmarkEnd w:id="111"/>
      <w:bookmarkEnd w:id="112"/>
      <w:bookmarkEnd w:id="113"/>
      <w:bookmarkEnd w:id="114"/>
      <w:bookmarkEnd w:id="115"/>
      <w:bookmarkEnd w:id="116"/>
      <w:bookmarkEnd w:id="117"/>
      <w:bookmarkEnd w:id="118"/>
    </w:p>
    <w:p>
      <w:pPr>
        <w:spacing w:line="560" w:lineRule="exact"/>
        <w:ind w:firstLine="640" w:firstLineChars="200"/>
        <w:rPr>
          <w:rFonts w:hint="default" w:ascii="Times New Roman" w:hAnsi="Times New Roman" w:eastAsia="仿宋_GB2312" w:cs="Times New Roman"/>
          <w:color w:val="auto"/>
          <w:sz w:val="32"/>
          <w:szCs w:val="32"/>
          <w:lang w:val="zh-CN"/>
        </w:rPr>
      </w:pPr>
      <w:bookmarkStart w:id="120" w:name="_Toc2279"/>
      <w:bookmarkStart w:id="121" w:name="_Toc2635"/>
      <w:bookmarkStart w:id="122" w:name="_Toc25743"/>
      <w:r>
        <w:rPr>
          <w:rFonts w:hint="default" w:ascii="Times New Roman" w:hAnsi="Times New Roman" w:eastAsia="仿宋_GB2312" w:cs="Times New Roman"/>
          <w:color w:val="auto"/>
          <w:sz w:val="32"/>
          <w:szCs w:val="32"/>
          <w:lang w:val="zh-CN"/>
        </w:rPr>
        <w:t>土地、劳动力、资金等生产要素持续向城镇和二三产业流动，土地“非农化”“非粮化”、农村空心化、农业劳动力老龄化趋势明显，亟待解决“谁来种地”的问题，新型职业农民培育方式不能适应新时代农业农村发展需要。农村集体产权制度改革和农村土地、林地确权颁证等改革成果利用成效不充分，农村“三资”利用率不高。从金融信贷支持农业农村发展看，设定的贷款基本条件、准入门槛没有考虑农业农村发展实际，金融部门放贷难，对农业主体的支持服务不够。改革创新就是发现问题，解决问题，深化农业农村改革创新，全面激发农村活力，是“十四五”时期“三农”工作</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zh-CN"/>
        </w:rPr>
        <w:t>重要内容。</w:t>
      </w:r>
      <w:bookmarkEnd w:id="119"/>
      <w:bookmarkEnd w:id="120"/>
      <w:bookmarkEnd w:id="121"/>
      <w:bookmarkEnd w:id="122"/>
    </w:p>
    <w:p>
      <w:pPr>
        <w:pStyle w:val="10"/>
        <w:spacing w:after="0" w:line="560" w:lineRule="exact"/>
        <w:ind w:firstLine="643" w:firstLineChars="200"/>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rPr>
        <w:t>3.2.5</w:t>
      </w:r>
      <w:r>
        <w:rPr>
          <w:rFonts w:hint="default" w:ascii="Times New Roman" w:hAnsi="Times New Roman" w:eastAsia="仿宋_GB2312" w:cs="Times New Roman"/>
          <w:b/>
          <w:bCs/>
          <w:color w:val="auto"/>
          <w:sz w:val="32"/>
          <w:szCs w:val="32"/>
          <w:lang w:val="zh-CN"/>
        </w:rPr>
        <w:t>农民持续增收能力不强</w:t>
      </w:r>
    </w:p>
    <w:p>
      <w:pPr>
        <w:pStyle w:val="10"/>
        <w:spacing w:after="0"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面对国际国内经济增长换挡降速，农业生产成本上升、价格下压，农业经营收入增速连年放缓，外出务工的工资性收入增长受限，农民依靠农业产业、外出务工增收的传统动力减弱，同时优势资源就地转化率不高，劳动力加快转换乏力，多渠道拓展促增收不强，农民增收新动力不足。在经济发展趋缓等多</w:t>
      </w:r>
      <w:r>
        <w:rPr>
          <w:rFonts w:hint="default" w:ascii="Times New Roman" w:hAnsi="Times New Roman" w:eastAsia="仿宋_GB2312" w:cs="Times New Roman"/>
          <w:color w:val="auto"/>
          <w:kern w:val="2"/>
          <w:sz w:val="32"/>
          <w:szCs w:val="32"/>
          <w:lang w:val="zh-CN" w:eastAsia="zh-CN" w:bidi="ar-SA"/>
        </w:rPr>
        <w:t>种因素的影响下，</w:t>
      </w:r>
      <w:r>
        <w:rPr>
          <w:rFonts w:hint="default" w:ascii="Times New Roman" w:hAnsi="Times New Roman" w:eastAsia="仿宋_GB2312" w:cs="Times New Roman"/>
          <w:color w:val="auto"/>
          <w:kern w:val="2"/>
          <w:sz w:val="32"/>
          <w:szCs w:val="32"/>
          <w:lang w:val="en-US" w:eastAsia="zh-CN" w:bidi="ar-SA"/>
        </w:rPr>
        <w:t>大英县</w:t>
      </w:r>
      <w:r>
        <w:rPr>
          <w:rFonts w:hint="default" w:ascii="Times New Roman" w:hAnsi="Times New Roman" w:eastAsia="仿宋_GB2312" w:cs="Times New Roman"/>
          <w:color w:val="auto"/>
          <w:kern w:val="2"/>
          <w:sz w:val="32"/>
          <w:szCs w:val="32"/>
          <w:lang w:val="zh-CN" w:eastAsia="zh-CN" w:bidi="ar-SA"/>
        </w:rPr>
        <w:t>农民持续稳</w:t>
      </w:r>
      <w:r>
        <w:rPr>
          <w:rFonts w:hint="default" w:ascii="Times New Roman" w:hAnsi="Times New Roman" w:eastAsia="仿宋_GB2312" w:cs="Times New Roman"/>
          <w:color w:val="auto"/>
          <w:sz w:val="32"/>
          <w:szCs w:val="32"/>
          <w:lang w:val="zh-CN"/>
        </w:rPr>
        <w:t>定增收压力越来越大。</w:t>
      </w:r>
    </w:p>
    <w:p>
      <w:pPr>
        <w:spacing w:before="312" w:beforeLines="100" w:after="312" w:afterLines="100" w:line="560" w:lineRule="exact"/>
        <w:jc w:val="center"/>
        <w:outlineLvl w:val="0"/>
        <w:rPr>
          <w:rFonts w:hint="default" w:ascii="Times New Roman" w:hAnsi="Times New Roman" w:eastAsia="黑体" w:cs="Times New Roman"/>
          <w:b w:val="0"/>
          <w:bCs w:val="0"/>
          <w:color w:val="auto"/>
          <w:sz w:val="32"/>
          <w:szCs w:val="32"/>
          <w:highlight w:val="none"/>
        </w:rPr>
      </w:pPr>
      <w:bookmarkStart w:id="123" w:name="_Toc9308"/>
      <w:bookmarkStart w:id="124" w:name="_Toc29140"/>
      <w:bookmarkStart w:id="125" w:name="_Toc14773"/>
      <w:bookmarkStart w:id="126" w:name="_Toc23314"/>
      <w:bookmarkStart w:id="127" w:name="_Toc20369"/>
      <w:bookmarkStart w:id="128" w:name="_Toc20184"/>
      <w:bookmarkStart w:id="129" w:name="_Toc7520"/>
      <w:bookmarkStart w:id="130" w:name="_Toc12035"/>
      <w:r>
        <w:rPr>
          <w:rFonts w:hint="default" w:ascii="Times New Roman" w:hAnsi="Times New Roman" w:eastAsia="黑体" w:cs="Times New Roman"/>
          <w:b w:val="0"/>
          <w:bCs w:val="0"/>
          <w:color w:val="auto"/>
          <w:sz w:val="32"/>
          <w:szCs w:val="32"/>
          <w:highlight w:val="none"/>
        </w:rPr>
        <w:t>第二篇  总体要求</w:t>
      </w:r>
      <w:bookmarkEnd w:id="123"/>
      <w:bookmarkEnd w:id="124"/>
      <w:bookmarkEnd w:id="125"/>
      <w:bookmarkEnd w:id="126"/>
      <w:bookmarkEnd w:id="127"/>
      <w:bookmarkEnd w:id="128"/>
      <w:bookmarkEnd w:id="129"/>
      <w:bookmarkEnd w:id="130"/>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mn-Mong-CN" w:bidi="mn-Mong-CN"/>
        </w:rPr>
      </w:pPr>
      <w:bookmarkStart w:id="131" w:name="_Toc6070"/>
      <w:bookmarkStart w:id="132" w:name="_Toc31891"/>
      <w:bookmarkStart w:id="133" w:name="_Toc20856"/>
      <w:bookmarkStart w:id="134" w:name="_Toc32618"/>
      <w:bookmarkStart w:id="135" w:name="_Toc21879"/>
      <w:bookmarkStart w:id="136" w:name="_Toc8995"/>
      <w:bookmarkStart w:id="137" w:name="_Toc26468"/>
      <w:bookmarkStart w:id="138" w:name="_Toc31049"/>
      <w:r>
        <w:rPr>
          <w:rFonts w:hint="default" w:ascii="Times New Roman" w:hAnsi="Times New Roman" w:eastAsia="黑体" w:cs="Times New Roman"/>
          <w:color w:val="auto"/>
          <w:kern w:val="0"/>
          <w:sz w:val="32"/>
          <w:szCs w:val="32"/>
          <w:lang w:val="mn-Mong-CN" w:bidi="mn-Mong-CN"/>
        </w:rPr>
        <w:t>第四章  指导思想与基本原则</w:t>
      </w:r>
      <w:bookmarkEnd w:id="131"/>
      <w:bookmarkEnd w:id="132"/>
      <w:bookmarkEnd w:id="133"/>
      <w:bookmarkEnd w:id="134"/>
      <w:bookmarkEnd w:id="135"/>
      <w:bookmarkEnd w:id="136"/>
      <w:bookmarkEnd w:id="137"/>
      <w:bookmarkEnd w:id="138"/>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139" w:name="_Toc31281"/>
      <w:bookmarkStart w:id="140" w:name="_Toc29940"/>
      <w:bookmarkStart w:id="141" w:name="_Toc32745"/>
      <w:bookmarkStart w:id="142" w:name="_Toc4757"/>
      <w:bookmarkStart w:id="143" w:name="_Toc28802"/>
      <w:bookmarkStart w:id="144" w:name="_Toc4352"/>
      <w:bookmarkStart w:id="145" w:name="_Toc13743"/>
      <w:bookmarkStart w:id="146" w:name="_Toc27806"/>
      <w:r>
        <w:rPr>
          <w:rFonts w:hint="default" w:ascii="Times New Roman" w:hAnsi="Times New Roman" w:eastAsia="仿宋_GB2312" w:cs="Times New Roman"/>
          <w:b/>
          <w:color w:val="auto"/>
          <w:sz w:val="32"/>
          <w:szCs w:val="32"/>
        </w:rPr>
        <w:t>4.1指导思想</w:t>
      </w:r>
      <w:bookmarkEnd w:id="139"/>
      <w:bookmarkEnd w:id="140"/>
      <w:bookmarkEnd w:id="141"/>
      <w:bookmarkEnd w:id="142"/>
      <w:bookmarkEnd w:id="143"/>
      <w:bookmarkEnd w:id="144"/>
      <w:bookmarkEnd w:id="145"/>
      <w:bookmarkEnd w:id="146"/>
    </w:p>
    <w:p>
      <w:pPr>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坚持以习近平新时代中国特色社会主义思想为指导，全面贯彻党的</w:t>
      </w:r>
      <w:r>
        <w:rPr>
          <w:rFonts w:hint="default" w:ascii="Times New Roman" w:hAnsi="Times New Roman" w:eastAsia="仿宋_GB2312" w:cs="Times New Roman"/>
          <w:color w:val="auto"/>
          <w:kern w:val="0"/>
          <w:sz w:val="32"/>
          <w:szCs w:val="32"/>
          <w:lang w:eastAsia="zh-CN"/>
        </w:rPr>
        <w:t>二十</w:t>
      </w:r>
      <w:r>
        <w:rPr>
          <w:rFonts w:hint="default" w:ascii="Times New Roman" w:hAnsi="Times New Roman" w:eastAsia="仿宋_GB2312" w:cs="Times New Roman"/>
          <w:color w:val="auto"/>
          <w:kern w:val="0"/>
          <w:sz w:val="32"/>
          <w:szCs w:val="32"/>
        </w:rPr>
        <w:t>大以及中央经济工作会议、中央农村工作会议精神，认真落实省、市、县委关于农业农村发展的各项决策部署，准确把握新发展阶段、深入贯彻新发展理念、积极融入新发展格局，</w:t>
      </w:r>
      <w:r>
        <w:rPr>
          <w:rFonts w:hint="default" w:ascii="Times New Roman" w:hAnsi="Times New Roman" w:eastAsia="仿宋_GB2312" w:cs="Times New Roman"/>
          <w:color w:val="auto"/>
          <w:kern w:val="0"/>
          <w:sz w:val="32"/>
          <w:szCs w:val="32"/>
          <w:lang w:eastAsia="zh-CN"/>
        </w:rPr>
        <w:t>推动高质量发展。</w:t>
      </w:r>
      <w:r>
        <w:rPr>
          <w:rFonts w:hint="default" w:ascii="Times New Roman" w:hAnsi="Times New Roman" w:eastAsia="仿宋_GB2312" w:cs="Times New Roman"/>
          <w:i w:val="0"/>
          <w:iCs w:val="0"/>
          <w:caps w:val="0"/>
          <w:smallCaps w:val="0"/>
          <w:color w:val="auto"/>
          <w:spacing w:val="0"/>
          <w:kern w:val="0"/>
          <w:sz w:val="32"/>
          <w:szCs w:val="32"/>
        </w:rPr>
        <w:t>坚持农业农村优先发展，坚决扛稳推动乡村振兴的重大政治责任，不断巩固拓展脱贫攻坚成果</w:t>
      </w:r>
      <w:r>
        <w:rPr>
          <w:rFonts w:hint="default" w:ascii="Times New Roman" w:hAnsi="Times New Roman" w:eastAsia="仿宋_GB2312" w:cs="Times New Roman"/>
          <w:color w:val="auto"/>
          <w:kern w:val="0"/>
          <w:sz w:val="32"/>
          <w:szCs w:val="32"/>
        </w:rPr>
        <w:t>，以保障粮食安全和重要农产品供给为要务，以</w:t>
      </w:r>
      <w:r>
        <w:rPr>
          <w:rFonts w:hint="default" w:ascii="Times New Roman" w:hAnsi="Times New Roman" w:eastAsia="仿宋_GB2312" w:cs="Times New Roman"/>
          <w:color w:val="auto"/>
          <w:kern w:val="0"/>
          <w:sz w:val="32"/>
          <w:szCs w:val="32"/>
          <w:lang w:eastAsia="zh-CN"/>
        </w:rPr>
        <w:t>乡村发展、</w:t>
      </w:r>
      <w:r>
        <w:rPr>
          <w:rFonts w:hint="default" w:ascii="Times New Roman" w:hAnsi="Times New Roman" w:eastAsia="仿宋_GB2312" w:cs="Times New Roman"/>
          <w:color w:val="auto"/>
          <w:kern w:val="0"/>
          <w:sz w:val="32"/>
          <w:szCs w:val="32"/>
        </w:rPr>
        <w:t>乡村建设</w:t>
      </w:r>
      <w:r>
        <w:rPr>
          <w:rFonts w:hint="default" w:ascii="Times New Roman" w:hAnsi="Times New Roman" w:eastAsia="仿宋_GB2312" w:cs="Times New Roman"/>
          <w:color w:val="auto"/>
          <w:kern w:val="0"/>
          <w:sz w:val="32"/>
          <w:szCs w:val="32"/>
          <w:lang w:eastAsia="zh-CN"/>
        </w:rPr>
        <w:t>、乡村治理</w:t>
      </w:r>
      <w:r>
        <w:rPr>
          <w:rFonts w:hint="default" w:ascii="Times New Roman" w:hAnsi="Times New Roman" w:eastAsia="仿宋_GB2312" w:cs="Times New Roman"/>
          <w:color w:val="auto"/>
          <w:kern w:val="0"/>
          <w:sz w:val="32"/>
          <w:szCs w:val="32"/>
        </w:rPr>
        <w:t>为抓手，深化改革创新，不断夯实现代农业基础，加快农民增收步伐，着力构建绿色发展、高质量发展的农业农村现代化发展新格局，加快推动大英由农业大县向农业强县跨越，围绕</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农业与工业、农村与城镇、农民与市民同步现代化</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总体思路，加快</w:t>
      </w:r>
      <w:r>
        <w:rPr>
          <w:rFonts w:hint="default" w:ascii="Times New Roman" w:hAnsi="Times New Roman" w:eastAsia="仿宋_GB2312" w:cs="Times New Roman"/>
          <w:i w:val="0"/>
          <w:caps w:val="0"/>
          <w:smallCaps w:val="0"/>
          <w:color w:val="191919"/>
          <w:spacing w:val="0"/>
          <w:sz w:val="32"/>
          <w:szCs w:val="32"/>
          <w:shd w:val="clear" w:color="auto" w:fill="FFFFFF"/>
        </w:rPr>
        <w:t>构建多元化食物供给体系，</w:t>
      </w:r>
      <w:r>
        <w:rPr>
          <w:rFonts w:hint="default" w:ascii="Times New Roman" w:hAnsi="Times New Roman" w:eastAsia="仿宋_GB2312" w:cs="Times New Roman"/>
          <w:color w:val="auto"/>
          <w:kern w:val="0"/>
          <w:sz w:val="32"/>
          <w:szCs w:val="32"/>
        </w:rPr>
        <w:t>推进</w:t>
      </w:r>
      <w:r>
        <w:rPr>
          <w:rFonts w:hint="default" w:ascii="Times New Roman" w:hAnsi="Times New Roman" w:eastAsia="仿宋_GB2312" w:cs="Times New Roman"/>
          <w:i w:val="0"/>
          <w:caps w:val="0"/>
          <w:smallCaps w:val="0"/>
          <w:color w:val="191919"/>
          <w:spacing w:val="0"/>
          <w:sz w:val="32"/>
          <w:szCs w:val="32"/>
          <w:shd w:val="clear" w:color="auto" w:fill="FFFFFF"/>
        </w:rPr>
        <w:t>宜居宜业和美乡村建设，</w:t>
      </w:r>
      <w:r>
        <w:rPr>
          <w:rFonts w:hint="default" w:ascii="Times New Roman" w:hAnsi="Times New Roman" w:eastAsia="仿宋_GB2312" w:cs="Times New Roman"/>
          <w:color w:val="auto"/>
          <w:kern w:val="0"/>
          <w:sz w:val="32"/>
          <w:szCs w:val="32"/>
        </w:rPr>
        <w:t xml:space="preserve">开启全面推进乡村振兴新征程，为加快实现农业农村现代化谱写大英篇章。 </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147" w:name="_Toc2477"/>
      <w:bookmarkStart w:id="148" w:name="_Toc29702"/>
      <w:bookmarkStart w:id="149" w:name="_Toc22706"/>
      <w:bookmarkStart w:id="150" w:name="_Toc16701"/>
      <w:bookmarkStart w:id="151" w:name="_Toc1398"/>
      <w:bookmarkStart w:id="152" w:name="_Toc31692"/>
      <w:bookmarkStart w:id="153" w:name="_Toc26173"/>
      <w:bookmarkStart w:id="154" w:name="_Toc177"/>
      <w:r>
        <w:rPr>
          <w:rFonts w:hint="default" w:ascii="Times New Roman" w:hAnsi="Times New Roman" w:eastAsia="仿宋_GB2312" w:cs="Times New Roman"/>
          <w:b/>
          <w:color w:val="auto"/>
          <w:sz w:val="32"/>
          <w:szCs w:val="32"/>
        </w:rPr>
        <w:t>4.2基本原则</w:t>
      </w:r>
      <w:bookmarkEnd w:id="147"/>
      <w:bookmarkEnd w:id="148"/>
      <w:bookmarkEnd w:id="149"/>
      <w:bookmarkEnd w:id="150"/>
      <w:bookmarkEnd w:id="151"/>
      <w:bookmarkEnd w:id="152"/>
      <w:bookmarkEnd w:id="153"/>
      <w:bookmarkEnd w:id="154"/>
      <w:r>
        <w:rPr>
          <w:rFonts w:hint="default" w:ascii="Times New Roman" w:hAnsi="Times New Roman" w:eastAsia="仿宋_GB2312" w:cs="Times New Roman"/>
          <w:b/>
          <w:color w:val="auto"/>
          <w:sz w:val="32"/>
          <w:szCs w:val="32"/>
        </w:rPr>
        <w:t xml:space="preserve"> </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——坚持市场导向。</w:t>
      </w:r>
      <w:r>
        <w:rPr>
          <w:rFonts w:hint="default" w:ascii="Times New Roman" w:hAnsi="Times New Roman" w:eastAsia="仿宋_GB2312" w:cs="Times New Roman"/>
          <w:color w:val="auto"/>
          <w:sz w:val="32"/>
          <w:szCs w:val="32"/>
        </w:rPr>
        <w:t>在更好发挥政府宏观调控和支持保护</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基础上，让市场在农业农村发展中发挥资源配置的决定性作用，坚持以市场需求为导向，大力推进农业供给侧结构性改革，增强农业竞争力，提升农村发展活力。</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——坚持农民主体。</w:t>
      </w:r>
      <w:r>
        <w:rPr>
          <w:rFonts w:hint="default" w:ascii="Times New Roman" w:hAnsi="Times New Roman" w:eastAsia="仿宋_GB2312" w:cs="Times New Roman"/>
          <w:color w:val="auto"/>
          <w:sz w:val="32"/>
          <w:szCs w:val="32"/>
        </w:rPr>
        <w:t>尊重农民经营自主权和首创精神，引导传统农户转型升级，加快培育壮大新型农业经营主体和服务主体，全面落实强农惠农富农政策，解决好农民最关心、最直接、最现实的利益问题，切实保障农民合法权益，最大限度地提高农民在农业农村发展中的参与度和受益度。</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——坚持城乡统筹。</w:t>
      </w:r>
      <w:r>
        <w:rPr>
          <w:rFonts w:hint="default" w:ascii="Times New Roman" w:hAnsi="Times New Roman" w:eastAsia="仿宋_GB2312" w:cs="Times New Roman"/>
          <w:color w:val="auto"/>
          <w:sz w:val="32"/>
          <w:szCs w:val="32"/>
        </w:rPr>
        <w:t>按照城乡一体化要求，把基础设施建设和社会事业发展的重点放在农村和吸纳农业转移人口较多的城镇，补齐农业农村发展短板，实现城乡要素平等交换和公共资源均衡配置，形成以工促农、以城带乡、工农互惠、城乡一体的新型工农关系和城乡关系。</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——坚持产业融合。</w:t>
      </w:r>
      <w:r>
        <w:rPr>
          <w:rFonts w:hint="default" w:ascii="Times New Roman" w:hAnsi="Times New Roman" w:eastAsia="仿宋_GB2312" w:cs="Times New Roman"/>
          <w:color w:val="auto"/>
          <w:sz w:val="32"/>
          <w:szCs w:val="32"/>
        </w:rPr>
        <w:t>大力开发农业多种功能，推动单一生产功能向经济、生态、旅游、健康、教育和文化等复合功能转变，促进农业一二三产业深度融合、协调发展。</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——坚持绿色安全。</w:t>
      </w:r>
      <w:r>
        <w:rPr>
          <w:rFonts w:hint="default" w:ascii="Times New Roman" w:hAnsi="Times New Roman" w:eastAsia="仿宋_GB2312" w:cs="Times New Roman"/>
          <w:color w:val="auto"/>
          <w:sz w:val="32"/>
          <w:szCs w:val="32"/>
        </w:rPr>
        <w:t>更加重视土地、水、森林等资源的保护和合理利用</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加强农产品生产全过程管理</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确保农产品生产过程绿色、产</w:t>
      </w:r>
      <w:r>
        <w:rPr>
          <w:rFonts w:hint="default" w:ascii="Times New Roman" w:hAnsi="Times New Roman" w:eastAsia="仿宋_GB2312" w:cs="Times New Roman"/>
          <w:color w:val="auto"/>
          <w:sz w:val="32"/>
          <w:szCs w:val="32"/>
        </w:rPr>
        <w:t>品安全可靠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走产出高效、产品安全、资源节约、环境友好的农业现代化道路。</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——坚持科技支撑。</w:t>
      </w:r>
      <w:r>
        <w:rPr>
          <w:rFonts w:hint="default" w:ascii="Times New Roman" w:hAnsi="Times New Roman" w:eastAsia="仿宋_GB2312" w:cs="Times New Roman"/>
          <w:color w:val="auto"/>
          <w:sz w:val="32"/>
          <w:szCs w:val="32"/>
        </w:rPr>
        <w:t>大力实施科技兴农战略，推动科技资源向农业农村聚集，加强农业科技创新和实用技术推广，提高科技对农业农村经济增长的贡献率。</w:t>
      </w:r>
    </w:p>
    <w:p>
      <w:pPr>
        <w:spacing w:line="560" w:lineRule="exact"/>
        <w:ind w:firstLine="643" w:firstLineChars="200"/>
        <w:rPr>
          <w:rFonts w:hint="default" w:ascii="Times New Roman" w:hAnsi="Times New Roman" w:eastAsia="黑体" w:cs="Times New Roman"/>
          <w:color w:val="auto"/>
          <w:kern w:val="0"/>
          <w:sz w:val="28"/>
          <w:szCs w:val="28"/>
          <w:lang w:val="mn-Mong-CN" w:bidi="mn-Mong-CN"/>
        </w:rPr>
      </w:pPr>
      <w:r>
        <w:rPr>
          <w:rFonts w:hint="default" w:ascii="Times New Roman" w:hAnsi="Times New Roman" w:eastAsia="仿宋_GB2312" w:cs="Times New Roman"/>
          <w:b/>
          <w:bCs/>
          <w:color w:val="auto"/>
          <w:sz w:val="32"/>
          <w:szCs w:val="32"/>
        </w:rPr>
        <w:t>——坚持改革创新。</w:t>
      </w:r>
      <w:r>
        <w:rPr>
          <w:rFonts w:hint="default" w:ascii="Times New Roman" w:hAnsi="Times New Roman" w:eastAsia="仿宋_GB2312" w:cs="Times New Roman"/>
          <w:color w:val="auto"/>
          <w:sz w:val="32"/>
          <w:szCs w:val="32"/>
        </w:rPr>
        <w:t xml:space="preserve">聚焦农村产权制度改革等重点领域和关键环节，全面深化农村改革，增强改革的系统性、整体性和协同性，破除束缚要素自由流动的体制性障碍。推动体制创新、科技创新、政策创新，使创新成为引领农业农村发展的第一动力。 </w:t>
      </w:r>
      <w:bookmarkStart w:id="155" w:name="_Toc24700"/>
      <w:bookmarkStart w:id="156" w:name="_Toc4776"/>
      <w:bookmarkStart w:id="157" w:name="_Toc8915"/>
      <w:bookmarkStart w:id="158" w:name="_Toc17283"/>
      <w:bookmarkStart w:id="159" w:name="_Toc1762"/>
      <w:bookmarkStart w:id="160" w:name="_Toc14291"/>
      <w:bookmarkStart w:id="161" w:name="_Toc11967"/>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mn-Mong-CN" w:bidi="mn-Mong-CN"/>
        </w:rPr>
      </w:pPr>
      <w:bookmarkStart w:id="162" w:name="_Toc25629"/>
      <w:r>
        <w:rPr>
          <w:rFonts w:hint="default" w:ascii="Times New Roman" w:hAnsi="Times New Roman" w:eastAsia="黑体" w:cs="Times New Roman"/>
          <w:color w:val="auto"/>
          <w:kern w:val="0"/>
          <w:sz w:val="32"/>
          <w:szCs w:val="32"/>
          <w:lang w:val="mn-Mong-CN" w:bidi="mn-Mong-CN"/>
        </w:rPr>
        <w:t>第五章  战略定位与主要目标</w:t>
      </w:r>
      <w:bookmarkEnd w:id="155"/>
      <w:bookmarkEnd w:id="156"/>
      <w:bookmarkEnd w:id="157"/>
      <w:bookmarkEnd w:id="158"/>
      <w:bookmarkEnd w:id="159"/>
      <w:bookmarkEnd w:id="160"/>
      <w:bookmarkEnd w:id="161"/>
      <w:bookmarkEnd w:id="162"/>
    </w:p>
    <w:p>
      <w:pPr>
        <w:spacing w:line="560" w:lineRule="exact"/>
        <w:ind w:firstLine="640" w:firstLineChars="200"/>
        <w:textAlignment w:val="bottom"/>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期间，全</w:t>
      </w:r>
      <w:bookmarkStart w:id="163" w:name="baidusnap4"/>
      <w:bookmarkEnd w:id="163"/>
      <w:r>
        <w:rPr>
          <w:rFonts w:hint="default" w:ascii="Times New Roman" w:hAnsi="Times New Roman" w:eastAsia="仿宋_GB2312" w:cs="Times New Roman"/>
          <w:color w:val="auto"/>
          <w:sz w:val="32"/>
          <w:szCs w:val="32"/>
        </w:rPr>
        <w:t>县农业农村发展牢固树立创新、协调、绿色、开放、共享发展新理念，围绕促进农业高质高效、乡村宜居宜业、农民富裕富足，着力巩固拓展脱贫攻坚成果，全面实施乡村振兴战略。坚持以工补农、以城带乡、农旅互融、产村融合，政府、经营主体、农民共同发力，推进农业农村优先、城乡一体发展</w:t>
      </w:r>
      <w:r>
        <w:rPr>
          <w:rFonts w:hint="default" w:ascii="Times New Roman" w:hAnsi="Times New Roman" w:eastAsia="仿宋_GB2312" w:cs="Times New Roman"/>
          <w:color w:val="auto"/>
          <w:sz w:val="32"/>
          <w:szCs w:val="32"/>
          <w:lang w:eastAsia="zh-CN"/>
        </w:rPr>
        <w:t>。</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164" w:name="_Toc31740"/>
      <w:bookmarkStart w:id="165" w:name="_Toc10680"/>
      <w:bookmarkStart w:id="166" w:name="_Toc9316"/>
      <w:bookmarkStart w:id="167" w:name="_Toc32521"/>
      <w:bookmarkStart w:id="168" w:name="_Toc26245"/>
      <w:bookmarkStart w:id="169" w:name="_Toc8176"/>
      <w:bookmarkStart w:id="170" w:name="_Toc27470"/>
      <w:bookmarkStart w:id="171" w:name="_Toc1507"/>
      <w:r>
        <w:rPr>
          <w:rFonts w:hint="default" w:ascii="Times New Roman" w:hAnsi="Times New Roman" w:eastAsia="仿宋_GB2312" w:cs="Times New Roman"/>
          <w:b/>
          <w:color w:val="auto"/>
          <w:sz w:val="32"/>
          <w:szCs w:val="32"/>
        </w:rPr>
        <w:t>5.1战略定位</w:t>
      </w:r>
      <w:bookmarkEnd w:id="164"/>
      <w:bookmarkEnd w:id="165"/>
      <w:bookmarkEnd w:id="166"/>
      <w:bookmarkEnd w:id="167"/>
      <w:bookmarkEnd w:id="168"/>
      <w:bookmarkEnd w:id="169"/>
      <w:bookmarkEnd w:id="170"/>
      <w:bookmarkEnd w:id="171"/>
    </w:p>
    <w:p>
      <w:pPr>
        <w:spacing w:line="560" w:lineRule="exact"/>
        <w:ind w:firstLine="640" w:firstLineChars="200"/>
        <w:textAlignment w:val="bottom"/>
        <w:rPr>
          <w:rFonts w:hint="default" w:ascii="Times New Roman" w:hAnsi="Times New Roman" w:eastAsia="仿宋_GB2312" w:cs="Times New Roman"/>
          <w:color w:val="auto"/>
          <w:sz w:val="32"/>
          <w:szCs w:val="32"/>
        </w:rPr>
      </w:pPr>
      <w:bookmarkStart w:id="172" w:name="_Toc21363"/>
      <w:bookmarkStart w:id="173" w:name="_Toc6195"/>
      <w:bookmarkStart w:id="174" w:name="_Toc14935"/>
      <w:bookmarkStart w:id="175" w:name="_Toc29712"/>
      <w:bookmarkStart w:id="176" w:name="_Toc5366"/>
      <w:bookmarkStart w:id="177" w:name="_Toc7883"/>
      <w:bookmarkStart w:id="178" w:name="_Toc23513"/>
      <w:r>
        <w:rPr>
          <w:rFonts w:hint="default" w:ascii="Times New Roman" w:hAnsi="Times New Roman" w:eastAsia="仿宋_GB2312" w:cs="Times New Roman"/>
          <w:color w:val="auto"/>
          <w:sz w:val="32"/>
          <w:szCs w:val="32"/>
        </w:rPr>
        <w:t>围绕成都平原经济区、成渝发展主轴线同城化发展和成遂协同发展先行区规划，主动融入成渝双城经济圈</w:t>
      </w:r>
      <w:r>
        <w:rPr>
          <w:rFonts w:hint="default" w:ascii="Times New Roman" w:hAnsi="Times New Roman" w:eastAsia="仿宋_GB2312" w:cs="Times New Roman"/>
          <w:color w:val="auto"/>
          <w:sz w:val="32"/>
          <w:szCs w:val="32"/>
          <w:lang w:eastAsia="zh-CN"/>
        </w:rPr>
        <w:t>。以</w:t>
      </w:r>
      <w:r>
        <w:rPr>
          <w:rFonts w:hint="default" w:ascii="Times New Roman" w:hAnsi="Times New Roman" w:eastAsia="仿宋_GB2312" w:cs="Times New Roman"/>
          <w:color w:val="auto"/>
          <w:sz w:val="32"/>
          <w:szCs w:val="32"/>
        </w:rPr>
        <w:t>筑牢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成渝之星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 聚力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大美大英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w:t>
      </w:r>
      <w:r>
        <w:rPr>
          <w:rFonts w:hint="default" w:ascii="Times New Roman" w:hAnsi="Times New Roman" w:eastAsia="仿宋_GB2312" w:cs="Times New Roman"/>
          <w:color w:val="auto"/>
          <w:sz w:val="32"/>
          <w:szCs w:val="32"/>
          <w:lang w:eastAsia="zh-CN"/>
        </w:rPr>
        <w:t>为目标，</w:t>
      </w:r>
      <w:r>
        <w:rPr>
          <w:rFonts w:hint="default" w:ascii="Times New Roman" w:hAnsi="Times New Roman" w:eastAsia="仿宋_GB2312" w:cs="Times New Roman"/>
          <w:color w:val="auto"/>
          <w:sz w:val="32"/>
          <w:szCs w:val="32"/>
        </w:rPr>
        <w:t>以</w:t>
      </w:r>
      <w:r>
        <w:rPr>
          <w:rFonts w:hint="default" w:ascii="Times New Roman" w:hAnsi="Times New Roman" w:eastAsia="仿宋_GB2312" w:cs="Times New Roman"/>
          <w:color w:val="auto"/>
          <w:sz w:val="32"/>
          <w:szCs w:val="32"/>
          <w:lang w:eastAsia="zh-CN"/>
        </w:rPr>
        <w:t>巩固拓展脱贫攻坚成果与乡村振兴有效衔接、</w:t>
      </w:r>
      <w:r>
        <w:rPr>
          <w:rFonts w:hint="default" w:ascii="Times New Roman" w:hAnsi="Times New Roman" w:eastAsia="仿宋_GB2312" w:cs="Times New Roman"/>
          <w:color w:val="auto"/>
          <w:sz w:val="32"/>
          <w:szCs w:val="32"/>
        </w:rPr>
        <w:t>做深做实乡镇区划和村建制调整改革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后半篇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文章为抓手，全面</w:t>
      </w:r>
      <w:r>
        <w:rPr>
          <w:rFonts w:hint="default" w:ascii="Times New Roman" w:hAnsi="Times New Roman" w:eastAsia="仿宋_GB2312" w:cs="Times New Roman"/>
          <w:color w:val="auto"/>
          <w:sz w:val="32"/>
          <w:szCs w:val="32"/>
          <w:lang w:eastAsia="zh-CN"/>
        </w:rPr>
        <w:t>推进</w:t>
      </w:r>
      <w:r>
        <w:rPr>
          <w:rFonts w:hint="default" w:ascii="Times New Roman" w:hAnsi="Times New Roman" w:eastAsia="仿宋_GB2312" w:cs="Times New Roman"/>
          <w:color w:val="auto"/>
          <w:sz w:val="32"/>
          <w:szCs w:val="32"/>
        </w:rPr>
        <w:t>乡村振兴，加快推进农业农村现代化。</w:t>
      </w:r>
      <w:r>
        <w:rPr>
          <w:rFonts w:hint="default" w:ascii="Times New Roman" w:hAnsi="Times New Roman" w:eastAsia="仿宋_GB2312" w:cs="Times New Roman"/>
          <w:color w:val="auto"/>
          <w:sz w:val="32"/>
          <w:szCs w:val="32"/>
          <w:lang w:eastAsia="zh-CN"/>
        </w:rPr>
        <w:t>突出乡村发展、乡村建设、乡村治理，</w:t>
      </w:r>
      <w:r>
        <w:rPr>
          <w:rFonts w:hint="default" w:ascii="Times New Roman" w:hAnsi="Times New Roman" w:eastAsia="仿宋_GB2312" w:cs="Times New Roman"/>
          <w:color w:val="auto"/>
          <w:sz w:val="32"/>
          <w:szCs w:val="32"/>
        </w:rPr>
        <w:t>始终坚持把粮食安全和重要农产品供给放在突出位置，在夯实粮食生产和生猪发展的基础上，提档培优特色产业，优化提升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现代农业产业体系，以美丽宜居乡村、现代农业园区建设相结合，强化现代产业支撑和农村发展配套，努力创建</w:t>
      </w:r>
      <w:r>
        <w:rPr>
          <w:rFonts w:hint="default" w:ascii="Times New Roman" w:hAnsi="Times New Roman" w:eastAsia="仿宋_GB2312" w:cs="Times New Roman"/>
          <w:color w:val="auto"/>
          <w:sz w:val="32"/>
          <w:szCs w:val="32"/>
          <w:lang w:eastAsia="zh-CN"/>
        </w:rPr>
        <w:t>全省</w:t>
      </w:r>
      <w:r>
        <w:rPr>
          <w:rFonts w:hint="default" w:ascii="Times New Roman" w:hAnsi="Times New Roman" w:eastAsia="仿宋_GB2312" w:cs="Times New Roman"/>
          <w:color w:val="auto"/>
          <w:sz w:val="32"/>
          <w:szCs w:val="32"/>
        </w:rPr>
        <w:t>乡村振兴</w:t>
      </w:r>
      <w:r>
        <w:rPr>
          <w:rFonts w:hint="default" w:ascii="Times New Roman" w:hAnsi="Times New Roman" w:eastAsia="仿宋_GB2312" w:cs="Times New Roman"/>
          <w:color w:val="auto"/>
          <w:sz w:val="32"/>
          <w:szCs w:val="32"/>
          <w:lang w:eastAsia="zh-CN"/>
        </w:rPr>
        <w:t>成效显著县</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加快美丽乡村全面振兴步伐，</w:t>
      </w:r>
      <w:r>
        <w:rPr>
          <w:rFonts w:hint="default" w:ascii="Times New Roman" w:hAnsi="Times New Roman" w:eastAsia="仿宋_GB2312" w:cs="Times New Roman"/>
          <w:color w:val="auto"/>
          <w:sz w:val="32"/>
          <w:szCs w:val="32"/>
        </w:rPr>
        <w:t>积极打造川中丘陵地区现代农业示范和农</w:t>
      </w:r>
      <w:r>
        <w:rPr>
          <w:rFonts w:hint="default" w:ascii="Times New Roman" w:hAnsi="Times New Roman" w:eastAsia="仿宋_GB2312" w:cs="Times New Roman"/>
          <w:color w:val="auto"/>
          <w:sz w:val="32"/>
          <w:szCs w:val="32"/>
          <w:lang w:eastAsia="zh-CN"/>
        </w:rPr>
        <w:t>文</w:t>
      </w:r>
      <w:r>
        <w:rPr>
          <w:rFonts w:hint="default" w:ascii="Times New Roman" w:hAnsi="Times New Roman" w:eastAsia="仿宋_GB2312" w:cs="Times New Roman"/>
          <w:color w:val="auto"/>
          <w:sz w:val="32"/>
          <w:szCs w:val="32"/>
        </w:rPr>
        <w:t>旅</w:t>
      </w:r>
      <w:r>
        <w:rPr>
          <w:rFonts w:hint="default" w:ascii="Times New Roman" w:hAnsi="Times New Roman" w:eastAsia="仿宋_GB2312" w:cs="Times New Roman"/>
          <w:color w:val="auto"/>
          <w:sz w:val="32"/>
          <w:szCs w:val="32"/>
          <w:lang w:eastAsia="zh-CN"/>
        </w:rPr>
        <w:t>融合</w:t>
      </w:r>
      <w:r>
        <w:rPr>
          <w:rFonts w:hint="default" w:ascii="Times New Roman" w:hAnsi="Times New Roman" w:eastAsia="仿宋_GB2312" w:cs="Times New Roman"/>
          <w:color w:val="auto"/>
          <w:sz w:val="32"/>
          <w:szCs w:val="32"/>
        </w:rPr>
        <w:t>发展</w:t>
      </w:r>
      <w:r>
        <w:rPr>
          <w:rFonts w:hint="default" w:ascii="Times New Roman" w:hAnsi="Times New Roman" w:eastAsia="仿宋_GB2312" w:cs="Times New Roman"/>
          <w:color w:val="auto"/>
          <w:sz w:val="32"/>
          <w:szCs w:val="32"/>
          <w:lang w:eastAsia="zh-CN"/>
        </w:rPr>
        <w:t>“样式”</w:t>
      </w:r>
      <w:r>
        <w:rPr>
          <w:rFonts w:hint="default" w:ascii="Times New Roman" w:hAnsi="Times New Roman" w:eastAsia="仿宋_GB2312" w:cs="Times New Roman"/>
          <w:color w:val="auto"/>
          <w:sz w:val="32"/>
          <w:szCs w:val="32"/>
        </w:rPr>
        <w:t>。</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179" w:name="_Toc15434"/>
      <w:r>
        <w:rPr>
          <w:rFonts w:hint="default" w:ascii="Times New Roman" w:hAnsi="Times New Roman" w:eastAsia="仿宋_GB2312" w:cs="Times New Roman"/>
          <w:b/>
          <w:color w:val="auto"/>
          <w:sz w:val="32"/>
          <w:szCs w:val="32"/>
        </w:rPr>
        <w:t>5.2主要目标</w:t>
      </w:r>
      <w:bookmarkEnd w:id="172"/>
      <w:bookmarkEnd w:id="173"/>
      <w:bookmarkEnd w:id="174"/>
      <w:bookmarkEnd w:id="175"/>
      <w:bookmarkEnd w:id="176"/>
      <w:bookmarkEnd w:id="177"/>
      <w:bookmarkEnd w:id="178"/>
      <w:bookmarkEnd w:id="179"/>
    </w:p>
    <w:p>
      <w:pPr>
        <w:spacing w:line="560" w:lineRule="exact"/>
        <w:ind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总体目标是：到2025年，实现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（农业生产总值和</w:t>
      </w:r>
      <w:r>
        <w:rPr>
          <w:rFonts w:hint="default" w:ascii="Times New Roman" w:hAnsi="Times New Roman" w:eastAsia="仿宋_GB2312" w:cs="Times New Roman"/>
          <w:color w:val="auto"/>
          <w:sz w:val="32"/>
          <w:szCs w:val="32"/>
          <w:lang w:eastAsia="zh-CN"/>
        </w:rPr>
        <w:t>农村居民人均可支配收入</w:t>
      </w:r>
      <w:r>
        <w:rPr>
          <w:rFonts w:hint="default" w:ascii="Times New Roman" w:hAnsi="Times New Roman" w:eastAsia="仿宋_GB2312" w:cs="Times New Roman"/>
          <w:color w:val="auto"/>
          <w:sz w:val="32"/>
          <w:szCs w:val="32"/>
        </w:rPr>
        <w:t>增速均高于全省全市平均水平），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（粮</w:t>
      </w:r>
      <w:r>
        <w:rPr>
          <w:rFonts w:hint="default" w:ascii="Times New Roman" w:hAnsi="Times New Roman" w:eastAsia="仿宋_GB2312" w:cs="Times New Roman"/>
          <w:color w:val="auto"/>
          <w:sz w:val="32"/>
          <w:szCs w:val="32"/>
          <w:lang w:val="en-US" w:eastAsia="zh-CN"/>
        </w:rPr>
        <w:t>经作物</w:t>
      </w:r>
      <w:r>
        <w:rPr>
          <w:rFonts w:hint="default" w:ascii="Times New Roman" w:hAnsi="Times New Roman" w:eastAsia="仿宋_GB2312" w:cs="Times New Roman"/>
          <w:color w:val="auto"/>
          <w:sz w:val="32"/>
          <w:szCs w:val="32"/>
        </w:rPr>
        <w:t>播</w:t>
      </w:r>
      <w:r>
        <w:rPr>
          <w:rFonts w:hint="default" w:ascii="Times New Roman" w:hAnsi="Times New Roman" w:eastAsia="仿宋_GB2312" w:cs="Times New Roman"/>
          <w:color w:val="auto"/>
          <w:sz w:val="32"/>
          <w:szCs w:val="32"/>
          <w:lang w:val="en-US" w:eastAsia="zh-CN"/>
        </w:rPr>
        <w:t>种</w:t>
      </w:r>
      <w:r>
        <w:rPr>
          <w:rFonts w:hint="default" w:ascii="Times New Roman" w:hAnsi="Times New Roman" w:eastAsia="仿宋_GB2312" w:cs="Times New Roman"/>
          <w:color w:val="auto"/>
          <w:sz w:val="32"/>
          <w:szCs w:val="32"/>
        </w:rPr>
        <w:t>面</w:t>
      </w:r>
      <w:r>
        <w:rPr>
          <w:rFonts w:hint="default" w:ascii="Times New Roman" w:hAnsi="Times New Roman" w:eastAsia="仿宋_GB2312" w:cs="Times New Roman"/>
          <w:color w:val="auto"/>
          <w:sz w:val="32"/>
          <w:szCs w:val="32"/>
          <w:lang w:val="en-US" w:eastAsia="zh-CN"/>
        </w:rPr>
        <w:t>积</w:t>
      </w:r>
      <w:r>
        <w:rPr>
          <w:rFonts w:hint="default" w:ascii="Times New Roman" w:hAnsi="Times New Roman" w:eastAsia="仿宋_GB2312" w:cs="Times New Roman"/>
          <w:color w:val="auto"/>
          <w:sz w:val="32"/>
          <w:szCs w:val="32"/>
        </w:rPr>
        <w:t>稳定在75万亩左右、产量25万吨以上，生猪年出栏稳定在60万头以上），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（优势特色产业规模、农产品精深加工占比、新型农业经营主体大幅增加），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三大体系全面构成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（现代农业产业体系、生产体系、经营</w:t>
      </w:r>
      <w:r>
        <w:rPr>
          <w:rFonts w:hint="default" w:ascii="Times New Roman" w:hAnsi="Times New Roman" w:eastAsia="仿宋_GB2312" w:cs="Times New Roman"/>
          <w:color w:val="000000"/>
          <w:sz w:val="32"/>
          <w:szCs w:val="32"/>
        </w:rPr>
        <w:t>体系），建成</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大基地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（初步形成</w:t>
      </w:r>
      <w:r>
        <w:rPr>
          <w:rFonts w:hint="default" w:ascii="Times New Roman" w:hAnsi="Times New Roman" w:eastAsia="仿宋_GB2312" w:cs="Times New Roman"/>
          <w:color w:val="000000"/>
          <w:kern w:val="0"/>
          <w:sz w:val="32"/>
          <w:szCs w:val="32"/>
        </w:rPr>
        <w:t>四川产业融合发展示范基地、四川优质农</w:t>
      </w:r>
      <w:r>
        <w:rPr>
          <w:rFonts w:hint="default" w:ascii="Times New Roman" w:hAnsi="Times New Roman" w:eastAsia="仿宋_GB2312" w:cs="Times New Roman"/>
          <w:color w:val="000000"/>
          <w:sz w:val="32"/>
          <w:szCs w:val="32"/>
        </w:rPr>
        <w:t>产品加工基地和成渝地区绿色产品供给基地），农业强、农村美、农民富加快实现</w:t>
      </w:r>
      <w:r>
        <w:rPr>
          <w:rFonts w:hint="default" w:ascii="Times New Roman" w:hAnsi="Times New Roman" w:eastAsia="仿宋_GB2312" w:cs="Times New Roman"/>
          <w:color w:val="auto"/>
          <w:sz w:val="32"/>
          <w:szCs w:val="32"/>
        </w:rPr>
        <w:t>。到2025年的主要目标是：</w:t>
      </w:r>
    </w:p>
    <w:p>
      <w:pPr>
        <w:pStyle w:val="20"/>
        <w:widowControl w:val="0"/>
        <w:spacing w:before="0" w:beforeAutospacing="0" w:after="0" w:afterAutospacing="0" w:line="560" w:lineRule="exact"/>
        <w:ind w:firstLine="643"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sz w:val="32"/>
          <w:szCs w:val="32"/>
        </w:rPr>
        <w:t>——农业农村基础保障条件持续改善。</w:t>
      </w:r>
      <w:r>
        <w:rPr>
          <w:rFonts w:hint="default" w:ascii="Times New Roman" w:hAnsi="Times New Roman" w:eastAsia="仿宋_GB2312" w:cs="Times New Roman"/>
          <w:color w:val="auto"/>
          <w:kern w:val="2"/>
          <w:sz w:val="32"/>
          <w:szCs w:val="32"/>
          <w:lang w:val="en-US" w:eastAsia="zh-CN" w:bidi="ar-SA"/>
        </w:rPr>
        <w:t>高标准农田面积占耕地面积的比例达到90%以上，实现田、渠、路“三网”配技术装备水平明显提高，农机总动力达到</w:t>
      </w:r>
      <w:r>
        <w:rPr>
          <w:rFonts w:hint="default" w:ascii="Times New Roman" w:hAnsi="Times New Roman" w:eastAsia="仿宋_GB2312" w:cs="Times New Roman"/>
          <w:color w:val="auto"/>
          <w:kern w:val="2"/>
          <w:sz w:val="32"/>
          <w:szCs w:val="32"/>
          <w:lang w:eastAsia="zh-CN" w:bidi="ar-SA"/>
        </w:rPr>
        <w:t>27</w:t>
      </w:r>
      <w:r>
        <w:rPr>
          <w:rFonts w:hint="default" w:ascii="Times New Roman" w:hAnsi="Times New Roman" w:eastAsia="仿宋_GB2312" w:cs="Times New Roman"/>
          <w:color w:val="auto"/>
          <w:kern w:val="2"/>
          <w:sz w:val="32"/>
          <w:szCs w:val="32"/>
          <w:lang w:val="en-US" w:eastAsia="zh-CN" w:bidi="ar-SA"/>
        </w:rPr>
        <w:t>万千瓦，主要农作物综合机械化率达70%，农业科技贡献率达65%。</w:t>
      </w:r>
    </w:p>
    <w:p>
      <w:pPr>
        <w:pStyle w:val="20"/>
        <w:widowControl w:val="0"/>
        <w:spacing w:before="0" w:beforeAutospacing="0" w:after="0" w:afterAutospacing="0" w:line="560" w:lineRule="exact"/>
        <w:ind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——农业优势特色产业提质增效。</w:t>
      </w:r>
      <w:r>
        <w:rPr>
          <w:rFonts w:hint="default" w:ascii="Times New Roman" w:hAnsi="Times New Roman" w:eastAsia="仿宋_GB2312" w:cs="Times New Roman"/>
          <w:color w:val="auto"/>
          <w:sz w:val="32"/>
          <w:szCs w:val="32"/>
        </w:rPr>
        <w:t>全县耕地保有量不低于</w:t>
      </w:r>
      <w:r>
        <w:rPr>
          <w:rFonts w:hint="default" w:ascii="Times New Roman" w:hAnsi="Times New Roman" w:eastAsia="仿宋_GB2312" w:cs="Times New Roman"/>
          <w:color w:val="auto"/>
          <w:sz w:val="32"/>
          <w:szCs w:val="32"/>
          <w:lang w:val="en-US" w:eastAsia="zh-CN"/>
        </w:rPr>
        <w:t>43.33</w:t>
      </w:r>
      <w:r>
        <w:rPr>
          <w:rFonts w:hint="default" w:ascii="Times New Roman" w:hAnsi="Times New Roman" w:eastAsia="仿宋_GB2312" w:cs="Times New Roman"/>
          <w:color w:val="auto"/>
          <w:sz w:val="32"/>
          <w:szCs w:val="32"/>
        </w:rPr>
        <w:t>万亩</w:t>
      </w:r>
      <w:r>
        <w:rPr>
          <w:rFonts w:hint="default" w:ascii="Times New Roman" w:hAnsi="Times New Roman" w:eastAsia="仿宋_GB2312" w:cs="Times New Roman"/>
          <w:color w:val="auto"/>
          <w:kern w:val="2"/>
          <w:sz w:val="32"/>
          <w:szCs w:val="32"/>
          <w:lang w:val="en-US" w:eastAsia="zh-CN" w:bidi="ar-SA"/>
        </w:rPr>
        <w:t>，粮食作物播种面积稳定在60万亩</w:t>
      </w:r>
      <w:r>
        <w:rPr>
          <w:rFonts w:hint="default" w:ascii="Times New Roman" w:hAnsi="Times New Roman" w:eastAsia="仿宋_GB2312" w:cs="Times New Roman"/>
          <w:color w:val="auto"/>
          <w:kern w:val="2"/>
          <w:sz w:val="32"/>
          <w:szCs w:val="32"/>
          <w:lang w:eastAsia="zh-CN" w:bidi="ar-SA"/>
        </w:rPr>
        <w:t>以上</w:t>
      </w:r>
      <w:r>
        <w:rPr>
          <w:rFonts w:hint="default" w:ascii="Times New Roman" w:hAnsi="Times New Roman" w:eastAsia="仿宋_GB2312" w:cs="Times New Roman"/>
          <w:color w:val="auto"/>
          <w:kern w:val="2"/>
          <w:sz w:val="32"/>
          <w:szCs w:val="32"/>
          <w:lang w:val="en-US" w:eastAsia="zh-CN" w:bidi="ar-SA"/>
        </w:rPr>
        <w:t>、产量达2</w:t>
      </w:r>
      <w:r>
        <w:rPr>
          <w:rFonts w:hint="default" w:ascii="Times New Roman" w:hAnsi="Times New Roman" w:eastAsia="仿宋_GB2312" w:cs="Times New Roman"/>
          <w:color w:val="auto"/>
          <w:kern w:val="2"/>
          <w:sz w:val="32"/>
          <w:szCs w:val="32"/>
          <w:lang w:eastAsia="zh-CN" w:bidi="ar-SA"/>
        </w:rPr>
        <w:t>1</w:t>
      </w:r>
      <w:r>
        <w:rPr>
          <w:rFonts w:hint="default" w:ascii="Times New Roman" w:hAnsi="Times New Roman" w:eastAsia="仿宋_GB2312" w:cs="Times New Roman"/>
          <w:color w:val="auto"/>
          <w:kern w:val="2"/>
          <w:sz w:val="32"/>
          <w:szCs w:val="32"/>
          <w:lang w:val="en-US" w:eastAsia="zh-CN" w:bidi="ar-SA"/>
        </w:rPr>
        <w:t>万吨</w:t>
      </w:r>
      <w:r>
        <w:rPr>
          <w:rFonts w:hint="default" w:ascii="Times New Roman" w:hAnsi="Times New Roman" w:eastAsia="仿宋_GB2312" w:cs="Times New Roman"/>
          <w:color w:val="auto"/>
          <w:kern w:val="2"/>
          <w:sz w:val="32"/>
          <w:szCs w:val="32"/>
          <w:lang w:eastAsia="zh-CN" w:bidi="ar-SA"/>
        </w:rPr>
        <w:t>以上</w:t>
      </w:r>
      <w:r>
        <w:rPr>
          <w:rFonts w:hint="default" w:ascii="Times New Roman" w:hAnsi="Times New Roman" w:eastAsia="仿宋_GB2312" w:cs="Times New Roman"/>
          <w:color w:val="auto"/>
          <w:kern w:val="2"/>
          <w:sz w:val="32"/>
          <w:szCs w:val="32"/>
          <w:lang w:val="en-US" w:eastAsia="zh-CN" w:bidi="ar-SA"/>
        </w:rPr>
        <w:t>，油料作物播种面积稳定在15万亩</w:t>
      </w:r>
      <w:r>
        <w:rPr>
          <w:rFonts w:hint="default" w:ascii="Times New Roman" w:hAnsi="Times New Roman" w:eastAsia="仿宋_GB2312" w:cs="Times New Roman"/>
          <w:color w:val="auto"/>
          <w:kern w:val="2"/>
          <w:sz w:val="32"/>
          <w:szCs w:val="32"/>
          <w:lang w:eastAsia="zh-CN" w:bidi="ar-SA"/>
        </w:rPr>
        <w:t>以上</w:t>
      </w:r>
      <w:r>
        <w:rPr>
          <w:rFonts w:hint="default" w:ascii="Times New Roman" w:hAnsi="Times New Roman" w:eastAsia="仿宋_GB2312" w:cs="Times New Roman"/>
          <w:color w:val="auto"/>
          <w:kern w:val="2"/>
          <w:sz w:val="32"/>
          <w:szCs w:val="32"/>
          <w:lang w:val="en-US" w:eastAsia="zh-CN" w:bidi="ar-SA"/>
        </w:rPr>
        <w:t>、产量达3万吨以上，水果面积</w:t>
      </w:r>
      <w:r>
        <w:rPr>
          <w:rFonts w:hint="default" w:ascii="Times New Roman" w:hAnsi="Times New Roman" w:eastAsia="仿宋_GB2312" w:cs="Times New Roman"/>
          <w:color w:val="auto"/>
          <w:kern w:val="2"/>
          <w:sz w:val="32"/>
          <w:szCs w:val="32"/>
          <w:lang w:eastAsia="zh-CN" w:bidi="ar-SA"/>
        </w:rPr>
        <w:t>稳定在3万亩以上</w:t>
      </w:r>
      <w:r>
        <w:rPr>
          <w:rFonts w:hint="default" w:ascii="Times New Roman" w:hAnsi="Times New Roman" w:eastAsia="仿宋_GB2312" w:cs="Times New Roman"/>
          <w:color w:val="auto"/>
          <w:sz w:val="32"/>
          <w:szCs w:val="32"/>
        </w:rPr>
        <w:t>、产量达4.2万吨以上，蔬菜面积稳定在5万亩以上、产量达15万吨，中药材面积超过2万亩、产量1万吨；出栏生猪60万头、家禽600万只，水产品产量</w:t>
      </w:r>
      <w:r>
        <w:rPr>
          <w:rFonts w:hint="default" w:ascii="Times New Roman" w:hAnsi="Times New Roman" w:eastAsia="仿宋_GB2312" w:cs="Times New Roman"/>
          <w:color w:val="auto"/>
          <w:sz w:val="32"/>
          <w:szCs w:val="32"/>
          <w:lang w:val="en-US" w:eastAsia="zh-CN"/>
        </w:rPr>
        <w:t>0.92</w:t>
      </w:r>
      <w:r>
        <w:rPr>
          <w:rFonts w:hint="default" w:ascii="Times New Roman" w:hAnsi="Times New Roman" w:eastAsia="仿宋_GB2312" w:cs="Times New Roman"/>
          <w:color w:val="auto"/>
          <w:sz w:val="32"/>
          <w:szCs w:val="32"/>
        </w:rPr>
        <w:t>万吨。</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0"/>
          <w:sz w:val="32"/>
          <w:szCs w:val="32"/>
        </w:rPr>
        <w:t>——现代农业园区实现转型升级。</w:t>
      </w:r>
      <w:r>
        <w:rPr>
          <w:rStyle w:val="33"/>
          <w:rFonts w:hint="default" w:ascii="Times New Roman" w:hAnsi="Times New Roman" w:eastAsia="仿宋_GB2312" w:cs="Times New Roman"/>
          <w:color w:val="auto"/>
          <w:sz w:val="32"/>
          <w:szCs w:val="32"/>
        </w:rPr>
        <w:t>建成</w:t>
      </w:r>
      <w:r>
        <w:rPr>
          <w:rStyle w:val="33"/>
          <w:rFonts w:hint="default" w:ascii="Times New Roman" w:hAnsi="Times New Roman" w:eastAsia="仿宋_GB2312" w:cs="Times New Roman"/>
          <w:color w:val="auto"/>
          <w:sz w:val="32"/>
          <w:szCs w:val="32"/>
          <w:highlight w:val="none"/>
        </w:rPr>
        <w:t>南部区域</w:t>
      </w:r>
      <w:r>
        <w:rPr>
          <w:rStyle w:val="33"/>
          <w:rFonts w:hint="default" w:ascii="Times New Roman" w:hAnsi="Times New Roman" w:eastAsia="仿宋_GB2312" w:cs="Times New Roman"/>
          <w:color w:val="auto"/>
          <w:sz w:val="32"/>
          <w:szCs w:val="32"/>
          <w:highlight w:val="none"/>
          <w:lang w:eastAsia="zh-CN"/>
        </w:rPr>
        <w:t>（</w:t>
      </w:r>
      <w:r>
        <w:rPr>
          <w:rStyle w:val="33"/>
          <w:rFonts w:hint="default" w:ascii="Times New Roman" w:hAnsi="Times New Roman" w:eastAsia="仿宋_GB2312" w:cs="Times New Roman"/>
          <w:color w:val="auto"/>
          <w:sz w:val="32"/>
          <w:szCs w:val="32"/>
          <w:highlight w:val="none"/>
        </w:rPr>
        <w:t>河边、</w:t>
      </w:r>
      <w:r>
        <w:rPr>
          <w:rFonts w:hint="default" w:ascii="Times New Roman" w:hAnsi="Times New Roman" w:eastAsia="仿宋_GB2312" w:cs="Times New Roman"/>
          <w:color w:val="auto"/>
          <w:sz w:val="32"/>
          <w:szCs w:val="32"/>
          <w:highlight w:val="none"/>
        </w:rPr>
        <w:t>卓筒井、蓬莱、隆盛</w:t>
      </w:r>
      <w:r>
        <w:rPr>
          <w:rFonts w:hint="default" w:ascii="Times New Roman" w:hAnsi="Times New Roman" w:eastAsia="仿宋_GB2312" w:cs="Times New Roman"/>
          <w:color w:val="auto"/>
          <w:sz w:val="32"/>
          <w:szCs w:val="32"/>
          <w:highlight w:val="none"/>
          <w:lang w:eastAsia="zh-CN"/>
        </w:rPr>
        <w:t>）</w:t>
      </w:r>
      <w:r>
        <w:rPr>
          <w:rStyle w:val="33"/>
          <w:rFonts w:hint="default" w:ascii="Times New Roman" w:hAnsi="Times New Roman" w:eastAsia="仿宋_GB2312" w:cs="Times New Roman"/>
          <w:color w:val="auto"/>
          <w:sz w:val="32"/>
          <w:szCs w:val="32"/>
          <w:highlight w:val="none"/>
        </w:rPr>
        <w:t>3万亩现代特色水果产业园区，西南部区域</w:t>
      </w:r>
      <w:r>
        <w:rPr>
          <w:rStyle w:val="33"/>
          <w:rFonts w:hint="default" w:ascii="Times New Roman" w:hAnsi="Times New Roman" w:eastAsia="仿宋_GB2312" w:cs="Times New Roman"/>
          <w:color w:val="auto"/>
          <w:sz w:val="32"/>
          <w:szCs w:val="32"/>
          <w:highlight w:val="none"/>
          <w:lang w:eastAsia="zh-CN"/>
        </w:rPr>
        <w:t>（</w:t>
      </w:r>
      <w:r>
        <w:rPr>
          <w:rStyle w:val="33"/>
          <w:rFonts w:hint="default" w:ascii="Times New Roman" w:hAnsi="Times New Roman" w:eastAsia="仿宋_GB2312" w:cs="Times New Roman"/>
          <w:color w:val="auto"/>
          <w:sz w:val="32"/>
          <w:szCs w:val="32"/>
          <w:highlight w:val="none"/>
        </w:rPr>
        <w:t>河边、玉峰、象山、蓬莱等</w:t>
      </w:r>
      <w:r>
        <w:rPr>
          <w:rStyle w:val="33"/>
          <w:rFonts w:hint="default" w:ascii="Times New Roman" w:hAnsi="Times New Roman" w:eastAsia="仿宋_GB2312" w:cs="Times New Roman"/>
          <w:color w:val="auto"/>
          <w:sz w:val="32"/>
          <w:szCs w:val="32"/>
          <w:highlight w:val="none"/>
          <w:lang w:eastAsia="zh-CN"/>
        </w:rPr>
        <w:t>）20</w:t>
      </w:r>
      <w:r>
        <w:rPr>
          <w:rStyle w:val="33"/>
          <w:rFonts w:hint="default" w:ascii="Times New Roman" w:hAnsi="Times New Roman" w:eastAsia="仿宋_GB2312" w:cs="Times New Roman"/>
          <w:color w:val="auto"/>
          <w:sz w:val="32"/>
          <w:szCs w:val="32"/>
          <w:highlight w:val="none"/>
        </w:rPr>
        <w:t>万亩优质粮油</w:t>
      </w:r>
      <w:r>
        <w:rPr>
          <w:rStyle w:val="33"/>
          <w:rFonts w:hint="default" w:ascii="Times New Roman" w:hAnsi="Times New Roman" w:eastAsia="仿宋_GB2312" w:cs="Times New Roman"/>
          <w:color w:val="auto"/>
          <w:sz w:val="32"/>
          <w:szCs w:val="32"/>
          <w:highlight w:val="none"/>
          <w:lang w:val="en-US" w:eastAsia="zh-CN"/>
        </w:rPr>
        <w:t>产业园区</w:t>
      </w:r>
      <w:r>
        <w:rPr>
          <w:rStyle w:val="33"/>
          <w:rFonts w:hint="default" w:ascii="Times New Roman" w:hAnsi="Times New Roman" w:eastAsia="仿宋_GB2312" w:cs="Times New Roman"/>
          <w:color w:val="auto"/>
          <w:sz w:val="32"/>
          <w:szCs w:val="32"/>
          <w:highlight w:val="none"/>
        </w:rPr>
        <w:t>，东部区域</w:t>
      </w:r>
      <w:r>
        <w:rPr>
          <w:rStyle w:val="33"/>
          <w:rFonts w:hint="default" w:ascii="Times New Roman" w:hAnsi="Times New Roman" w:eastAsia="仿宋_GB2312" w:cs="Times New Roman"/>
          <w:color w:val="auto"/>
          <w:sz w:val="32"/>
          <w:szCs w:val="32"/>
          <w:highlight w:val="none"/>
          <w:lang w:eastAsia="zh-CN"/>
        </w:rPr>
        <w:t>（</w:t>
      </w:r>
      <w:r>
        <w:rPr>
          <w:rStyle w:val="33"/>
          <w:rFonts w:hint="default" w:ascii="Times New Roman" w:hAnsi="Times New Roman" w:eastAsia="仿宋_GB2312" w:cs="Times New Roman"/>
          <w:color w:val="auto"/>
          <w:sz w:val="32"/>
          <w:szCs w:val="32"/>
          <w:highlight w:val="none"/>
        </w:rPr>
        <w:t>隆盛</w:t>
      </w:r>
      <w:r>
        <w:rPr>
          <w:rStyle w:val="33"/>
          <w:rFonts w:hint="default" w:ascii="Times New Roman" w:hAnsi="Times New Roman" w:eastAsia="仿宋_GB2312" w:cs="Times New Roman"/>
          <w:color w:val="auto"/>
          <w:sz w:val="32"/>
          <w:szCs w:val="32"/>
          <w:highlight w:val="none"/>
          <w:lang w:eastAsia="zh-CN"/>
        </w:rPr>
        <w:t>）</w:t>
      </w:r>
      <w:r>
        <w:rPr>
          <w:rStyle w:val="33"/>
          <w:rFonts w:hint="default" w:ascii="Times New Roman" w:hAnsi="Times New Roman" w:eastAsia="仿宋_GB2312" w:cs="Times New Roman"/>
          <w:color w:val="auto"/>
          <w:sz w:val="32"/>
          <w:szCs w:val="32"/>
          <w:highlight w:val="none"/>
        </w:rPr>
        <w:t>1万亩中药材种植</w:t>
      </w:r>
      <w:r>
        <w:rPr>
          <w:rStyle w:val="33"/>
          <w:rFonts w:hint="default" w:ascii="Times New Roman" w:hAnsi="Times New Roman" w:eastAsia="仿宋_GB2312" w:cs="Times New Roman"/>
          <w:color w:val="auto"/>
          <w:sz w:val="32"/>
          <w:szCs w:val="32"/>
          <w:highlight w:val="none"/>
          <w:lang w:val="en-US" w:eastAsia="zh-CN"/>
        </w:rPr>
        <w:t>产业园区</w:t>
      </w:r>
      <w:r>
        <w:rPr>
          <w:rStyle w:val="33"/>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东北部区域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回马、象山、隆盛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5万亩特色蔬菜</w:t>
      </w:r>
      <w:r>
        <w:rPr>
          <w:rFonts w:hint="default" w:ascii="Times New Roman" w:hAnsi="Times New Roman" w:eastAsia="仿宋_GB2312" w:cs="Times New Roman"/>
          <w:color w:val="auto"/>
          <w:sz w:val="32"/>
          <w:szCs w:val="32"/>
          <w:lang w:val="en-US" w:eastAsia="zh-CN"/>
        </w:rPr>
        <w:t>产业</w:t>
      </w:r>
      <w:r>
        <w:rPr>
          <w:rFonts w:hint="default" w:ascii="Times New Roman" w:hAnsi="Times New Roman" w:eastAsia="仿宋_GB2312" w:cs="Times New Roman"/>
          <w:color w:val="auto"/>
          <w:sz w:val="32"/>
          <w:szCs w:val="32"/>
        </w:rPr>
        <w:t>园区，规划建设面积15万亩。全县建成2个省星级园区、4个市</w:t>
      </w:r>
      <w:r>
        <w:rPr>
          <w:rFonts w:hint="default" w:ascii="Times New Roman" w:hAnsi="Times New Roman" w:eastAsia="仿宋_GB2312" w:cs="Times New Roman"/>
          <w:color w:val="auto"/>
          <w:sz w:val="32"/>
          <w:szCs w:val="32"/>
          <w:lang w:val="en-US" w:eastAsia="zh-CN"/>
        </w:rPr>
        <w:t>星</w:t>
      </w:r>
      <w:r>
        <w:rPr>
          <w:rFonts w:hint="default" w:ascii="Times New Roman" w:hAnsi="Times New Roman" w:eastAsia="仿宋_GB2312" w:cs="Times New Roman"/>
          <w:color w:val="auto"/>
          <w:sz w:val="32"/>
          <w:szCs w:val="32"/>
        </w:rPr>
        <w:t>级园区、3个县级园区、30个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一村一品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示范园、500个奔康致富园，</w:t>
      </w:r>
      <w:r>
        <w:rPr>
          <w:rFonts w:hint="default" w:ascii="Times New Roman" w:hAnsi="Times New Roman" w:eastAsia="仿宋_GB2312" w:cs="Times New Roman"/>
          <w:color w:val="auto"/>
          <w:sz w:val="32"/>
          <w:szCs w:val="32"/>
          <w:lang w:eastAsia="zh-CN"/>
        </w:rPr>
        <w:t>力争</w:t>
      </w:r>
      <w:r>
        <w:rPr>
          <w:rFonts w:hint="default" w:ascii="Times New Roman" w:hAnsi="Times New Roman" w:eastAsia="仿宋_GB2312" w:cs="Times New Roman"/>
          <w:color w:val="auto"/>
          <w:sz w:val="32"/>
          <w:szCs w:val="32"/>
        </w:rPr>
        <w:t>培育国家级现代农业产业园1个。</w:t>
      </w:r>
    </w:p>
    <w:p>
      <w:pPr>
        <w:pStyle w:val="20"/>
        <w:widowControl w:val="0"/>
        <w:spacing w:before="0" w:beforeAutospacing="0" w:after="0" w:afterAutospacing="0" w:line="560" w:lineRule="exact"/>
        <w:ind w:firstLine="643" w:firstLineChars="200"/>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auto"/>
          <w:sz w:val="32"/>
          <w:szCs w:val="32"/>
        </w:rPr>
        <w:t>——现代农业经营体系健全完善。</w:t>
      </w:r>
      <w:r>
        <w:rPr>
          <w:rFonts w:hint="default" w:ascii="Times New Roman" w:hAnsi="Times New Roman" w:eastAsia="仿宋_GB2312" w:cs="Times New Roman"/>
          <w:color w:val="auto"/>
          <w:sz w:val="32"/>
          <w:szCs w:val="32"/>
        </w:rPr>
        <w:t>农业产业化龙头企业、</w:t>
      </w:r>
      <w:r>
        <w:rPr>
          <w:rFonts w:hint="default" w:ascii="Times New Roman" w:hAnsi="Times New Roman" w:eastAsia="仿宋_GB2312" w:cs="Times New Roman"/>
          <w:color w:val="auto"/>
          <w:sz w:val="32"/>
          <w:szCs w:val="32"/>
          <w:lang w:eastAsia="zh-CN"/>
        </w:rPr>
        <w:t>农民专业合作社</w:t>
      </w:r>
      <w:r>
        <w:rPr>
          <w:rFonts w:hint="default" w:ascii="Times New Roman" w:hAnsi="Times New Roman" w:eastAsia="仿宋_GB2312" w:cs="Times New Roman"/>
          <w:color w:val="auto"/>
          <w:sz w:val="32"/>
          <w:szCs w:val="32"/>
        </w:rPr>
        <w:t>、家庭农场、农业社会化服务组织等各类新型农业经营主体和服务主体蓬勃发展，各类主体质量、效益进一步提升，竞争能力进一步增强</w:t>
      </w:r>
      <w:r>
        <w:rPr>
          <w:rFonts w:hint="default" w:ascii="Times New Roman" w:hAnsi="Times New Roman" w:eastAsia="仿宋_GB2312" w:cs="Times New Roman"/>
          <w:color w:val="auto"/>
          <w:kern w:val="2"/>
          <w:sz w:val="32"/>
          <w:szCs w:val="32"/>
          <w:lang w:val="en-US" w:eastAsia="zh-CN" w:bidi="ar-SA"/>
        </w:rPr>
        <w:t>，辐射带动效应进一步显现。引进培育龙头企业25家，规范提升农民专业</w:t>
      </w:r>
      <w:r>
        <w:rPr>
          <w:rFonts w:hint="default" w:ascii="Times New Roman" w:hAnsi="Times New Roman" w:eastAsia="仿宋_GB2312" w:cs="Times New Roman"/>
          <w:color w:val="000000"/>
          <w:kern w:val="2"/>
          <w:sz w:val="32"/>
          <w:szCs w:val="32"/>
          <w:lang w:val="en-US" w:eastAsia="zh-CN" w:bidi="ar-SA"/>
        </w:rPr>
        <w:t>合作社600个、家庭农场1000个以上、农业社会化服务组织20个以上，农产品“两品一标”认证达到55个，培育30个企业品牌。</w:t>
      </w:r>
    </w:p>
    <w:p>
      <w:pPr>
        <w:spacing w:line="560" w:lineRule="exact"/>
        <w:ind w:firstLine="643" w:firstLineChars="200"/>
        <w:rPr>
          <w:rFonts w:hint="default" w:ascii="Times New Roman" w:hAnsi="Times New Roman" w:eastAsia="仿宋_GB2312" w:cs="Times New Roman"/>
          <w:b w:val="0"/>
          <w:bCs w:val="0"/>
          <w:color w:val="auto"/>
          <w:kern w:val="2"/>
          <w:sz w:val="32"/>
          <w:szCs w:val="32"/>
        </w:rPr>
      </w:pPr>
      <w:r>
        <w:rPr>
          <w:rFonts w:hint="default" w:ascii="Times New Roman" w:hAnsi="Times New Roman" w:eastAsia="仿宋_GB2312" w:cs="Times New Roman"/>
          <w:b/>
          <w:bCs/>
          <w:color w:val="000000"/>
          <w:kern w:val="0"/>
          <w:sz w:val="32"/>
          <w:szCs w:val="32"/>
        </w:rPr>
        <w:t>——农</w:t>
      </w:r>
      <w:r>
        <w:rPr>
          <w:rFonts w:hint="default" w:ascii="Times New Roman" w:hAnsi="Times New Roman" w:eastAsia="仿宋_GB2312" w:cs="Times New Roman"/>
          <w:b/>
          <w:bCs/>
          <w:color w:val="000000"/>
          <w:kern w:val="0"/>
          <w:sz w:val="32"/>
          <w:szCs w:val="32"/>
          <w:lang w:eastAsia="zh-CN"/>
        </w:rPr>
        <w:t>村</w:t>
      </w:r>
      <w:r>
        <w:rPr>
          <w:rFonts w:hint="default" w:ascii="Times New Roman" w:hAnsi="Times New Roman" w:eastAsia="仿宋_GB2312" w:cs="Times New Roman"/>
          <w:b/>
          <w:bCs/>
          <w:color w:val="000000"/>
          <w:kern w:val="0"/>
          <w:sz w:val="32"/>
          <w:szCs w:val="32"/>
        </w:rPr>
        <w:t>生态环境持</w:t>
      </w:r>
      <w:r>
        <w:rPr>
          <w:rFonts w:hint="default" w:ascii="Times New Roman" w:hAnsi="Times New Roman" w:eastAsia="仿宋_GB2312" w:cs="Times New Roman"/>
          <w:b/>
          <w:bCs/>
          <w:color w:val="auto"/>
          <w:kern w:val="0"/>
          <w:sz w:val="32"/>
          <w:szCs w:val="32"/>
        </w:rPr>
        <w:t>续优化。</w:t>
      </w:r>
      <w:r>
        <w:rPr>
          <w:rFonts w:hint="default" w:ascii="Times New Roman" w:hAnsi="Times New Roman" w:eastAsia="仿宋_GB2312" w:cs="Times New Roman"/>
          <w:color w:val="auto"/>
          <w:sz w:val="32"/>
          <w:szCs w:val="32"/>
        </w:rPr>
        <w:t>农业生产实现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一控两减三基本</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土壤重金属污染和农业面源污染等环境问题治理有效，农村人居环境进一步优化，绿色发展、生态宜居基本实现。全县行政村农村生活污水有效治理比例达到85%，生活垃圾收运处置体系覆盖率达到100%，无害化卫生厕所普及率达70%以上，秸秆综合利用率稳定在90%以上，三大粮食作物化肥利用率达到43%以上，畜禽粪污综合利用率达到9</w:t>
      </w:r>
      <w:r>
        <w:rPr>
          <w:rFonts w:hint="default" w:ascii="Times New Roman" w:hAnsi="Times New Roman" w:eastAsia="仿宋_GB2312" w:cs="Times New Roman"/>
          <w:color w:val="auto"/>
          <w:sz w:val="32"/>
          <w:szCs w:val="32"/>
          <w:lang w:eastAsia="zh-CN"/>
        </w:rPr>
        <w:t>5</w:t>
      </w:r>
      <w:r>
        <w:rPr>
          <w:rFonts w:hint="default" w:ascii="Times New Roman" w:hAnsi="Times New Roman" w:eastAsia="仿宋_GB2312" w:cs="Times New Roman"/>
          <w:color w:val="auto"/>
          <w:sz w:val="32"/>
          <w:szCs w:val="32"/>
        </w:rPr>
        <w:t>%以上，主要农作物病虫害绿色防控覆盖率、三大粮食作物病虫害统防统治覆盖率分别达到55%、50%。</w:t>
      </w:r>
    </w:p>
    <w:p>
      <w:pPr>
        <w:spacing w:line="560" w:lineRule="exact"/>
        <w:ind w:firstLine="643"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——农民生活质量显著提高。</w:t>
      </w:r>
      <w:r>
        <w:rPr>
          <w:rFonts w:hint="default" w:ascii="Times New Roman" w:hAnsi="Times New Roman" w:eastAsia="仿宋_GB2312" w:cs="Times New Roman"/>
          <w:color w:val="auto"/>
          <w:sz w:val="32"/>
          <w:szCs w:val="32"/>
        </w:rPr>
        <w:t>农村居民人均可支配收入实现</w:t>
      </w:r>
      <w:r>
        <w:rPr>
          <w:rFonts w:hint="default"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000元，年均增长8%；城乡居民收入比下降到1.8以下，农村居民家庭恩格尔系数下降到28.5%以下；建成美丽宜居乡村70个</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占行政村41.7%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，建成特色精品村10个，农民群众幸福感、获得感大幅提升。</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0"/>
          <w:sz w:val="32"/>
          <w:szCs w:val="32"/>
        </w:rPr>
        <w:t>——农村改革全面深化。</w:t>
      </w:r>
      <w:r>
        <w:rPr>
          <w:rFonts w:hint="default" w:ascii="Times New Roman" w:hAnsi="Times New Roman" w:eastAsia="仿宋_GB2312" w:cs="Times New Roman"/>
          <w:color w:val="auto"/>
          <w:sz w:val="32"/>
          <w:szCs w:val="32"/>
        </w:rPr>
        <w:t>持续深化农村集体产权制度改革，大力推进农村承包土地、林地、宅基地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三权分置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土地经营权抵押贷款、产业融合发展机制等重点领域关键环节改革突破，不断探索城乡融合发展的体制机制，健全城乡统一的建设用地市场，积极探索实施农村集体经营性建设用地入市制度，建立土地征收公共利益用地认定机制，缩小土地征收范围，深化农村集体产权制度改革，发展新型农村集体经济，农村经济社会发展深层次矛盾进一步化解，政府与市场的关系进一步理顺，农业农村发展活力进一步凸显。</w:t>
      </w:r>
    </w:p>
    <w:p>
      <w:pPr>
        <w:pStyle w:val="20"/>
        <w:spacing w:before="0" w:beforeAutospacing="0" w:after="0" w:afterAutospacing="0" w:line="560" w:lineRule="exact"/>
        <w:jc w:val="center"/>
        <w:rPr>
          <w:rFonts w:hint="default" w:ascii="Times New Roman" w:hAnsi="Times New Roman" w:cs="Times New Roman"/>
          <w:b/>
          <w:bCs/>
          <w:color w:val="auto"/>
          <w:kern w:val="2"/>
          <w:sz w:val="28"/>
          <w:szCs w:val="28"/>
        </w:rPr>
      </w:pPr>
    </w:p>
    <w:p>
      <w:pPr>
        <w:pStyle w:val="20"/>
        <w:spacing w:before="0" w:beforeAutospacing="0" w:after="0" w:afterAutospacing="0" w:line="560" w:lineRule="exact"/>
        <w:jc w:val="center"/>
        <w:rPr>
          <w:rFonts w:hint="default" w:ascii="Times New Roman" w:hAnsi="Times New Roman" w:cs="Times New Roman"/>
          <w:b/>
          <w:bCs/>
          <w:color w:val="auto"/>
          <w:kern w:val="2"/>
          <w:sz w:val="28"/>
          <w:szCs w:val="28"/>
        </w:rPr>
      </w:pPr>
      <w:r>
        <w:rPr>
          <w:rFonts w:hint="default" w:ascii="Times New Roman" w:hAnsi="Times New Roman" w:cs="Times New Roman"/>
          <w:b/>
          <w:bCs/>
          <w:color w:val="auto"/>
          <w:kern w:val="2"/>
          <w:sz w:val="28"/>
          <w:szCs w:val="28"/>
        </w:rPr>
        <w:t>大英县</w:t>
      </w:r>
      <w:r>
        <w:rPr>
          <w:rFonts w:hint="default" w:ascii="Times New Roman" w:hAnsi="Times New Roman" w:cs="Times New Roman"/>
          <w:b/>
          <w:bCs/>
          <w:color w:val="auto"/>
          <w:kern w:val="2"/>
          <w:sz w:val="28"/>
          <w:szCs w:val="28"/>
          <w:lang w:eastAsia="zh-CN"/>
        </w:rPr>
        <w:t>“</w:t>
      </w:r>
      <w:r>
        <w:rPr>
          <w:rFonts w:hint="default" w:ascii="Times New Roman" w:hAnsi="Times New Roman" w:cs="Times New Roman"/>
          <w:b/>
          <w:bCs/>
          <w:color w:val="auto"/>
          <w:kern w:val="2"/>
          <w:sz w:val="28"/>
          <w:szCs w:val="28"/>
        </w:rPr>
        <w:t>十四五</w:t>
      </w:r>
      <w:r>
        <w:rPr>
          <w:rFonts w:hint="default" w:ascii="Times New Roman" w:hAnsi="Times New Roman" w:cs="Times New Roman"/>
          <w:b/>
          <w:bCs/>
          <w:color w:val="auto"/>
          <w:kern w:val="2"/>
          <w:sz w:val="28"/>
          <w:szCs w:val="28"/>
          <w:lang w:eastAsia="zh-CN"/>
        </w:rPr>
        <w:t>”</w:t>
      </w:r>
      <w:r>
        <w:rPr>
          <w:rFonts w:hint="default" w:ascii="Times New Roman" w:hAnsi="Times New Roman" w:cs="Times New Roman"/>
          <w:b/>
          <w:bCs/>
          <w:color w:val="auto"/>
          <w:kern w:val="2"/>
          <w:sz w:val="28"/>
          <w:szCs w:val="28"/>
        </w:rPr>
        <w:t>农村经济发展主要指标</w:t>
      </w:r>
    </w:p>
    <w:tbl>
      <w:tblPr>
        <w:tblStyle w:val="2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42"/>
        <w:gridCol w:w="4046"/>
        <w:gridCol w:w="1029"/>
        <w:gridCol w:w="1029"/>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8" w:hRule="atLeast"/>
          <w:tblHeader/>
          <w:jc w:val="center"/>
        </w:trPr>
        <w:tc>
          <w:tcPr>
            <w:tcW w:w="660" w:type="dxa"/>
            <w:tcBorders>
              <w:left w:val="single" w:color="auto" w:sz="4" w:space="0"/>
              <w:right w:val="single" w:color="auto" w:sz="4" w:space="0"/>
            </w:tcBorders>
            <w:vAlign w:val="center"/>
          </w:tcPr>
          <w:p>
            <w:pPr>
              <w:pStyle w:val="20"/>
              <w:spacing w:before="0" w:beforeAutospacing="0" w:after="0" w:afterAutospacing="0" w:line="340" w:lineRule="exact"/>
              <w:jc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sz w:val="22"/>
                <w:szCs w:val="22"/>
              </w:rPr>
              <w:t>序号</w:t>
            </w:r>
          </w:p>
        </w:tc>
        <w:tc>
          <w:tcPr>
            <w:tcW w:w="1042" w:type="dxa"/>
            <w:tcBorders>
              <w:left w:val="single" w:color="auto" w:sz="4" w:space="0"/>
              <w:right w:val="single" w:color="auto" w:sz="4" w:space="0"/>
            </w:tcBorders>
            <w:vAlign w:val="center"/>
          </w:tcPr>
          <w:p>
            <w:pPr>
              <w:pStyle w:val="20"/>
              <w:spacing w:before="0" w:beforeAutospacing="0" w:after="0" w:afterAutospacing="0" w:line="340" w:lineRule="exact"/>
              <w:jc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sz w:val="22"/>
                <w:szCs w:val="22"/>
              </w:rPr>
              <w:t>类 别</w:t>
            </w:r>
          </w:p>
        </w:tc>
        <w:tc>
          <w:tcPr>
            <w:tcW w:w="4046" w:type="dxa"/>
            <w:tcBorders>
              <w:left w:val="single" w:color="auto" w:sz="4" w:space="0"/>
              <w:right w:val="single" w:color="auto" w:sz="4" w:space="0"/>
            </w:tcBorders>
            <w:vAlign w:val="center"/>
          </w:tcPr>
          <w:p>
            <w:pPr>
              <w:pStyle w:val="20"/>
              <w:spacing w:before="0" w:beforeAutospacing="0" w:after="0" w:afterAutospacing="0" w:line="340" w:lineRule="exact"/>
              <w:jc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sz w:val="22"/>
                <w:szCs w:val="22"/>
              </w:rPr>
              <w:t>指 标</w:t>
            </w:r>
          </w:p>
        </w:tc>
        <w:tc>
          <w:tcPr>
            <w:tcW w:w="1029" w:type="dxa"/>
            <w:tcBorders>
              <w:left w:val="single" w:color="auto" w:sz="4" w:space="0"/>
              <w:right w:val="single" w:color="auto" w:sz="4" w:space="0"/>
            </w:tcBorders>
            <w:vAlign w:val="center"/>
          </w:tcPr>
          <w:p>
            <w:pPr>
              <w:pStyle w:val="20"/>
              <w:spacing w:before="0" w:beforeAutospacing="0" w:after="0" w:afterAutospacing="0" w:line="340" w:lineRule="exact"/>
              <w:jc w:val="center"/>
              <w:rPr>
                <w:rFonts w:hint="eastAsia" w:ascii="黑体" w:hAnsi="黑体" w:eastAsia="黑体" w:cs="黑体"/>
                <w:b w:val="0"/>
                <w:bCs w:val="0"/>
                <w:color w:val="000000"/>
                <w:spacing w:val="-10"/>
                <w:sz w:val="22"/>
                <w:szCs w:val="22"/>
              </w:rPr>
            </w:pPr>
            <w:r>
              <w:rPr>
                <w:rFonts w:hint="eastAsia" w:ascii="黑体" w:hAnsi="黑体" w:eastAsia="黑体" w:cs="黑体"/>
                <w:b w:val="0"/>
                <w:bCs w:val="0"/>
                <w:color w:val="000000"/>
                <w:spacing w:val="-10"/>
                <w:sz w:val="22"/>
                <w:szCs w:val="22"/>
              </w:rPr>
              <w:t>2020年</w:t>
            </w:r>
          </w:p>
          <w:p>
            <w:pPr>
              <w:pStyle w:val="20"/>
              <w:spacing w:before="0" w:beforeAutospacing="0" w:after="0" w:afterAutospacing="0" w:line="340" w:lineRule="exact"/>
              <w:jc w:val="center"/>
              <w:rPr>
                <w:rFonts w:hint="eastAsia" w:ascii="黑体" w:hAnsi="黑体" w:eastAsia="黑体" w:cs="黑体"/>
                <w:b w:val="0"/>
                <w:bCs w:val="0"/>
                <w:color w:val="000000"/>
                <w:spacing w:val="-10"/>
                <w:sz w:val="22"/>
                <w:szCs w:val="22"/>
              </w:rPr>
            </w:pPr>
            <w:r>
              <w:rPr>
                <w:rFonts w:hint="eastAsia" w:ascii="黑体" w:hAnsi="黑体" w:eastAsia="黑体" w:cs="黑体"/>
                <w:b w:val="0"/>
                <w:bCs w:val="0"/>
                <w:color w:val="000000"/>
                <w:spacing w:val="-10"/>
                <w:sz w:val="22"/>
                <w:szCs w:val="22"/>
              </w:rPr>
              <w:t>实  际</w:t>
            </w:r>
          </w:p>
        </w:tc>
        <w:tc>
          <w:tcPr>
            <w:tcW w:w="1029" w:type="dxa"/>
            <w:tcBorders>
              <w:left w:val="single" w:color="auto" w:sz="4" w:space="0"/>
              <w:right w:val="single" w:color="auto" w:sz="4" w:space="0"/>
            </w:tcBorders>
            <w:vAlign w:val="center"/>
          </w:tcPr>
          <w:p>
            <w:pPr>
              <w:pStyle w:val="20"/>
              <w:spacing w:before="0" w:beforeAutospacing="0" w:after="0" w:afterAutospacing="0" w:line="340" w:lineRule="exact"/>
              <w:jc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sz w:val="22"/>
                <w:szCs w:val="22"/>
              </w:rPr>
              <w:t>2025年</w:t>
            </w:r>
          </w:p>
          <w:p>
            <w:pPr>
              <w:pStyle w:val="20"/>
              <w:spacing w:before="0" w:beforeAutospacing="0" w:after="0" w:afterAutospacing="0" w:line="340" w:lineRule="exact"/>
              <w:jc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sz w:val="22"/>
                <w:szCs w:val="22"/>
              </w:rPr>
              <w:t>规  划</w:t>
            </w:r>
          </w:p>
        </w:tc>
        <w:tc>
          <w:tcPr>
            <w:tcW w:w="1031" w:type="dxa"/>
            <w:tcBorders>
              <w:left w:val="single" w:color="auto" w:sz="4" w:space="0"/>
              <w:right w:val="single" w:color="auto" w:sz="4" w:space="0"/>
            </w:tcBorders>
            <w:vAlign w:val="center"/>
          </w:tcPr>
          <w:p>
            <w:pPr>
              <w:pStyle w:val="20"/>
              <w:spacing w:before="0" w:beforeAutospacing="0" w:after="0" w:afterAutospacing="0" w:line="340" w:lineRule="exact"/>
              <w:jc w:val="center"/>
              <w:rPr>
                <w:rFonts w:hint="eastAsia" w:ascii="黑体" w:hAnsi="黑体" w:eastAsia="黑体" w:cs="黑体"/>
                <w:b w:val="0"/>
                <w:bCs w:val="0"/>
                <w:color w:val="000000"/>
                <w:sz w:val="22"/>
                <w:szCs w:val="22"/>
              </w:rPr>
            </w:pPr>
            <w:r>
              <w:rPr>
                <w:rFonts w:hint="eastAsia" w:ascii="黑体" w:hAnsi="黑体" w:eastAsia="黑体" w:cs="黑体"/>
                <w:b w:val="0"/>
                <w:bCs w:val="0"/>
                <w:color w:val="000000"/>
                <w:sz w:val="22"/>
                <w:szCs w:val="22"/>
              </w:rPr>
              <w:t>增加值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w:t>
            </w:r>
          </w:p>
        </w:tc>
        <w:tc>
          <w:tcPr>
            <w:tcW w:w="1042" w:type="dxa"/>
            <w:vMerge w:val="restart"/>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一、产业发展</w:t>
            </w: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粮食</w:t>
            </w:r>
            <w:r>
              <w:rPr>
                <w:rFonts w:hint="default" w:ascii="Times New Roman" w:hAnsi="Times New Roman" w:eastAsia="仿宋" w:cs="Times New Roman"/>
                <w:color w:val="000000"/>
                <w:kern w:val="0"/>
                <w:sz w:val="22"/>
                <w:szCs w:val="22"/>
              </w:rPr>
              <w:t>总产量</w:t>
            </w:r>
            <w:r>
              <w:rPr>
                <w:rFonts w:hint="default" w:ascii="Times New Roman" w:hAnsi="Times New Roman" w:eastAsia="仿宋" w:cs="Times New Roman"/>
                <w:color w:val="000000"/>
                <w:sz w:val="22"/>
                <w:szCs w:val="22"/>
              </w:rPr>
              <w:t>（万吨）</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20.83</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eastAsia="zh-CN"/>
              </w:rPr>
            </w:pPr>
            <w:r>
              <w:rPr>
                <w:rFonts w:hint="default" w:ascii="Times New Roman" w:hAnsi="Times New Roman" w:eastAsia="仿宋" w:cs="Times New Roman"/>
                <w:color w:val="000000"/>
                <w:sz w:val="22"/>
                <w:szCs w:val="22"/>
              </w:rPr>
              <w:t>2</w:t>
            </w:r>
            <w:r>
              <w:rPr>
                <w:rFonts w:hint="default" w:ascii="Times New Roman" w:hAnsi="Times New Roman" w:eastAsia="仿宋" w:cs="Times New Roman"/>
                <w:color w:val="000000"/>
                <w:sz w:val="22"/>
                <w:szCs w:val="22"/>
                <w:lang w:val="en-US" w:eastAsia="zh-CN"/>
              </w:rPr>
              <w:t>1</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w:t>
            </w:r>
            <w:r>
              <w:rPr>
                <w:rFonts w:hint="default" w:ascii="Times New Roman" w:hAnsi="Times New Roman" w:eastAsia="仿宋" w:cs="Times New Roman"/>
                <w:color w:val="000000"/>
                <w:sz w:val="22"/>
                <w:szCs w:val="22"/>
                <w:lang w:val="en-US" w:eastAsia="zh-CN"/>
              </w:rPr>
              <w:t>0</w:t>
            </w:r>
            <w:r>
              <w:rPr>
                <w:rFonts w:hint="default" w:ascii="Times New Roman" w:hAnsi="Times New Roman" w:eastAsia="仿宋" w:cs="Times New Roman"/>
                <w:color w:val="000000"/>
                <w:sz w:val="22"/>
                <w:szCs w:val="2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油料</w:t>
            </w:r>
            <w:r>
              <w:rPr>
                <w:rFonts w:hint="default" w:ascii="Times New Roman" w:hAnsi="Times New Roman" w:eastAsia="仿宋" w:cs="Times New Roman"/>
                <w:color w:val="000000"/>
                <w:kern w:val="0"/>
                <w:sz w:val="22"/>
                <w:szCs w:val="22"/>
              </w:rPr>
              <w:t>总产量（万吨）</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3.06</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eastAsia="zh-CN"/>
              </w:rPr>
            </w:pPr>
            <w:r>
              <w:rPr>
                <w:rFonts w:hint="default" w:ascii="Times New Roman" w:hAnsi="Times New Roman" w:eastAsia="仿宋" w:cs="Times New Roman"/>
                <w:color w:val="000000"/>
                <w:sz w:val="22"/>
                <w:szCs w:val="22"/>
              </w:rPr>
              <w:t>+0.0</w:t>
            </w:r>
            <w:r>
              <w:rPr>
                <w:rFonts w:hint="default" w:ascii="Times New Roman" w:hAnsi="Times New Roman" w:eastAsia="仿宋" w:cs="Times New Roman"/>
                <w:color w:val="000000"/>
                <w:sz w:val="22"/>
                <w:szCs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adjustRightInd w:val="0"/>
              <w:snapToGrid w:val="0"/>
              <w:spacing w:line="340" w:lineRule="exact"/>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生猪出栏（万头）</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49.29</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adjustRightInd w:val="0"/>
              <w:snapToGrid w:val="0"/>
              <w:spacing w:line="340" w:lineRule="exact"/>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家禽出栏（万只）</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410.34</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600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+189.66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adjustRightInd w:val="0"/>
              <w:snapToGrid w:val="0"/>
              <w:spacing w:line="340" w:lineRule="exact"/>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水产品产量（万吨）</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0.88</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0.92</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rPr>
              <w:t>+0.</w:t>
            </w:r>
            <w:r>
              <w:rPr>
                <w:rFonts w:hint="default" w:ascii="Times New Roman" w:hAnsi="Times New Roman" w:eastAsia="仿宋" w:cs="Times New Roman"/>
                <w:color w:val="000000"/>
                <w:sz w:val="22"/>
                <w:szCs w:val="22"/>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adjustRightInd w:val="0"/>
              <w:snapToGrid w:val="0"/>
              <w:spacing w:line="340" w:lineRule="exact"/>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水果总产量（万吨）</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1.08</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4.2</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rPr>
              <w:t>+</w:t>
            </w:r>
            <w:r>
              <w:rPr>
                <w:rFonts w:hint="default" w:ascii="Times New Roman" w:hAnsi="Times New Roman" w:eastAsia="仿宋" w:cs="Times New Roman"/>
                <w:color w:val="000000"/>
                <w:sz w:val="22"/>
                <w:szCs w:val="22"/>
                <w:lang w:val="en-US" w:eastAsia="zh-CN"/>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7</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adjustRightInd w:val="0"/>
              <w:snapToGrid w:val="0"/>
              <w:spacing w:line="340" w:lineRule="exact"/>
              <w:rPr>
                <w:rFonts w:hint="default" w:ascii="Times New Roman" w:hAnsi="Times New Roman" w:eastAsia="仿宋" w:cs="Times New Roman"/>
                <w:color w:val="000000"/>
                <w:kern w:val="0"/>
                <w:sz w:val="22"/>
                <w:szCs w:val="22"/>
              </w:rPr>
            </w:pPr>
            <w:r>
              <w:rPr>
                <w:rFonts w:hint="default" w:ascii="Times New Roman" w:hAnsi="Times New Roman" w:eastAsia="仿宋" w:cs="Times New Roman"/>
                <w:color w:val="000000"/>
                <w:kern w:val="0"/>
                <w:sz w:val="22"/>
                <w:szCs w:val="22"/>
              </w:rPr>
              <w:t>蔬菜总产量（万吨）</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11.92</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15</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中药材总产量（万吨）</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0.25</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农产品加工产值与农业总产值比</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1.2:1</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1.6：1</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10</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农产品产地初加工率（%）</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82</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85</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11</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休闲农业和乡村旅游接待人数（万人次）</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90</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120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12</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市级以上现代农业园区（个）</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13</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村特色产业示范园（个）</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32</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val="en-US" w:eastAsia="zh-CN"/>
              </w:rPr>
              <w:t>5</w:t>
            </w:r>
            <w:r>
              <w:rPr>
                <w:rFonts w:hint="default" w:ascii="Times New Roman" w:hAnsi="Times New Roman" w:eastAsia="仿宋" w:cs="Times New Roman"/>
                <w:color w:val="000000"/>
                <w:sz w:val="22"/>
                <w:szCs w:val="22"/>
              </w:rPr>
              <w:t>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w:t>
            </w:r>
            <w:r>
              <w:rPr>
                <w:rFonts w:hint="default" w:ascii="Times New Roman" w:hAnsi="Times New Roman" w:eastAsia="仿宋" w:cs="Times New Roman"/>
                <w:color w:val="000000"/>
                <w:sz w:val="22"/>
                <w:szCs w:val="22"/>
                <w:lang w:val="en-US" w:eastAsia="zh-CN"/>
              </w:rPr>
              <w:t>1</w:t>
            </w:r>
            <w:r>
              <w:rPr>
                <w:rFonts w:hint="default" w:ascii="Times New Roman" w:hAnsi="Times New Roman" w:eastAsia="仿宋" w:cs="Times New Roman"/>
                <w:color w:val="00000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14</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户办特色产业园（万个）</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0.8</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1.2</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eastAsia="zh-CN"/>
              </w:rPr>
            </w:pPr>
            <w:r>
              <w:rPr>
                <w:rFonts w:hint="default" w:ascii="Times New Roman" w:hAnsi="Times New Roman" w:eastAsia="仿宋" w:cs="Times New Roman"/>
                <w:color w:val="000000"/>
                <w:sz w:val="22"/>
                <w:szCs w:val="22"/>
              </w:rPr>
              <w:t>+0.</w:t>
            </w:r>
            <w:r>
              <w:rPr>
                <w:rFonts w:hint="default" w:ascii="Times New Roman" w:hAnsi="Times New Roman" w:eastAsia="仿宋" w:cs="Times New Roman"/>
                <w:color w:val="000000"/>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15</w:t>
            </w:r>
          </w:p>
        </w:tc>
        <w:tc>
          <w:tcPr>
            <w:tcW w:w="1042" w:type="dxa"/>
            <w:vMerge w:val="restart"/>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二、农业农村基础保障</w:t>
            </w: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农业科技进步贡献率（%）</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62.3</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65</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16</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高标准农田</w:t>
            </w:r>
            <w:r>
              <w:rPr>
                <w:rFonts w:hint="default" w:ascii="Times New Roman" w:hAnsi="Times New Roman" w:eastAsia="仿宋" w:cs="Times New Roman"/>
                <w:color w:val="000000"/>
                <w:sz w:val="22"/>
                <w:szCs w:val="22"/>
                <w:lang w:eastAsia="zh-CN"/>
              </w:rPr>
              <w:t>占比</w:t>
            </w:r>
            <w:r>
              <w:rPr>
                <w:rFonts w:hint="default" w:ascii="Times New Roman" w:hAnsi="Times New Roman" w:eastAsia="仿宋" w:cs="Times New Roman"/>
                <w:color w:val="000000"/>
                <w:sz w:val="22"/>
                <w:szCs w:val="22"/>
              </w:rPr>
              <w:t>（</w:t>
            </w:r>
            <w:r>
              <w:rPr>
                <w:rFonts w:hint="default" w:ascii="Times New Roman" w:hAnsi="Times New Roman" w:eastAsia="仿宋" w:cs="Times New Roman"/>
                <w:color w:val="000000"/>
                <w:sz w:val="22"/>
                <w:szCs w:val="22"/>
                <w:lang w:val="en-US" w:eastAsia="zh-CN"/>
              </w:rPr>
              <w:t>%</w:t>
            </w:r>
            <w:r>
              <w:rPr>
                <w:rFonts w:hint="default" w:ascii="Times New Roman" w:hAnsi="Times New Roman" w:eastAsia="仿宋" w:cs="Times New Roman"/>
                <w:color w:val="000000"/>
                <w:sz w:val="22"/>
                <w:szCs w:val="22"/>
              </w:rPr>
              <w:t>）</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78.6</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90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17</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农业机械总动力（万千瓦）</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24.15</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27</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18</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主要农作物综合机械化水平（%）</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60.4</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70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19</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农业信息化服务率（%）</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45</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65</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灌溉水有效利用系数</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0.499</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0.55</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21</w:t>
            </w:r>
          </w:p>
        </w:tc>
        <w:tc>
          <w:tcPr>
            <w:tcW w:w="1042" w:type="dxa"/>
            <w:vMerge w:val="restart"/>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三、新型经营主体培育</w:t>
            </w: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龙头企业（家）</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17</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25</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22</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eastAsia="zh-CN"/>
              </w:rPr>
              <w:t>农民专业合作社</w:t>
            </w:r>
            <w:r>
              <w:rPr>
                <w:rFonts w:hint="default" w:ascii="Times New Roman" w:hAnsi="Times New Roman" w:eastAsia="仿宋" w:cs="Times New Roman"/>
                <w:color w:val="000000"/>
                <w:sz w:val="22"/>
                <w:szCs w:val="22"/>
              </w:rPr>
              <w:t>（个）</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500</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600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23</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家庭农场（个）</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828</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w:t>
            </w:r>
            <w:r>
              <w:rPr>
                <w:rFonts w:hint="default" w:ascii="Times New Roman" w:hAnsi="Times New Roman" w:eastAsia="仿宋" w:cs="Times New Roman"/>
                <w:color w:val="000000"/>
                <w:sz w:val="22"/>
                <w:szCs w:val="22"/>
                <w:lang w:val="en-US" w:eastAsia="zh-CN"/>
              </w:rPr>
              <w:t>0</w:t>
            </w:r>
            <w:r>
              <w:rPr>
                <w:rFonts w:hint="default" w:ascii="Times New Roman" w:hAnsi="Times New Roman" w:eastAsia="仿宋" w:cs="Times New Roman"/>
                <w:color w:val="000000"/>
                <w:sz w:val="22"/>
                <w:szCs w:val="22"/>
              </w:rPr>
              <w:t>00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w:t>
            </w:r>
            <w:r>
              <w:rPr>
                <w:rFonts w:hint="default" w:ascii="Times New Roman" w:hAnsi="Times New Roman" w:eastAsia="仿宋" w:cs="Times New Roman"/>
                <w:color w:val="000000"/>
                <w:sz w:val="22"/>
                <w:szCs w:val="22"/>
                <w:lang w:val="en-US" w:eastAsia="zh-CN"/>
              </w:rPr>
              <w:t>1</w:t>
            </w:r>
            <w:r>
              <w:rPr>
                <w:rFonts w:hint="default" w:ascii="Times New Roman" w:hAnsi="Times New Roman" w:eastAsia="仿宋" w:cs="Times New Roman"/>
                <w:color w:val="000000"/>
                <w:sz w:val="22"/>
                <w:szCs w:val="22"/>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24</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农业社会化服务组织（个）</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val="en-US" w:eastAsia="zh-CN"/>
              </w:rPr>
              <w:t>2</w:t>
            </w:r>
            <w:r>
              <w:rPr>
                <w:rFonts w:hint="default" w:ascii="Times New Roman" w:hAnsi="Times New Roman" w:eastAsia="仿宋" w:cs="Times New Roman"/>
                <w:color w:val="000000"/>
                <w:sz w:val="22"/>
                <w:szCs w:val="22"/>
              </w:rPr>
              <w:t>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w:t>
            </w:r>
            <w:r>
              <w:rPr>
                <w:rFonts w:hint="default" w:ascii="Times New Roman" w:hAnsi="Times New Roman" w:eastAsia="仿宋" w:cs="Times New Roman"/>
                <w:color w:val="000000"/>
                <w:sz w:val="22"/>
                <w:szCs w:val="22"/>
                <w:lang w:val="en-US" w:eastAsia="zh-CN"/>
              </w:rPr>
              <w:t>1</w:t>
            </w:r>
            <w:r>
              <w:rPr>
                <w:rFonts w:hint="default" w:ascii="Times New Roman" w:hAnsi="Times New Roman" w:eastAsia="仿宋" w:cs="Times New Roman"/>
                <w:color w:val="00000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25</w:t>
            </w:r>
          </w:p>
        </w:tc>
        <w:tc>
          <w:tcPr>
            <w:tcW w:w="1042" w:type="dxa"/>
            <w:vMerge w:val="restart"/>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四、农产品质量安全</w:t>
            </w: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重大动物疫病常年群体免疫密度（%）</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90</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26</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农产品</w:t>
            </w:r>
            <w:r>
              <w:rPr>
                <w:rFonts w:hint="default" w:ascii="Times New Roman" w:hAnsi="Times New Roman" w:eastAsia="仿宋" w:cs="Times New Roman"/>
                <w:color w:val="000000"/>
                <w:sz w:val="22"/>
                <w:szCs w:val="22"/>
                <w:lang w:eastAsia="zh-CN"/>
              </w:rPr>
              <w:t>“</w:t>
            </w:r>
            <w:r>
              <w:rPr>
                <w:rFonts w:hint="default" w:ascii="Times New Roman" w:hAnsi="Times New Roman" w:eastAsia="仿宋" w:cs="Times New Roman"/>
                <w:color w:val="000000"/>
                <w:sz w:val="22"/>
                <w:szCs w:val="22"/>
                <w:lang w:val="en-US" w:eastAsia="zh-CN"/>
              </w:rPr>
              <w:t>两</w:t>
            </w:r>
            <w:r>
              <w:rPr>
                <w:rFonts w:hint="default" w:ascii="Times New Roman" w:hAnsi="Times New Roman" w:eastAsia="仿宋" w:cs="Times New Roman"/>
                <w:color w:val="000000"/>
                <w:sz w:val="22"/>
                <w:szCs w:val="22"/>
              </w:rPr>
              <w:t>品一标</w:t>
            </w:r>
            <w:r>
              <w:rPr>
                <w:rFonts w:hint="default" w:ascii="Times New Roman" w:hAnsi="Times New Roman" w:eastAsia="仿宋" w:cs="Times New Roman"/>
                <w:color w:val="000000"/>
                <w:sz w:val="22"/>
                <w:szCs w:val="22"/>
                <w:lang w:eastAsia="zh-CN"/>
              </w:rPr>
              <w:t>”</w:t>
            </w:r>
            <w:r>
              <w:rPr>
                <w:rFonts w:hint="default" w:ascii="Times New Roman" w:hAnsi="Times New Roman" w:eastAsia="仿宋" w:cs="Times New Roman"/>
                <w:color w:val="000000"/>
                <w:sz w:val="22"/>
                <w:szCs w:val="22"/>
                <w:lang w:val="en-US" w:eastAsia="zh-CN"/>
              </w:rPr>
              <w:t>认证</w:t>
            </w:r>
            <w:r>
              <w:rPr>
                <w:rFonts w:hint="default" w:ascii="Times New Roman" w:hAnsi="Times New Roman" w:eastAsia="仿宋" w:cs="Times New Roman"/>
                <w:color w:val="000000"/>
                <w:sz w:val="22"/>
                <w:szCs w:val="22"/>
              </w:rPr>
              <w:t>数量（个）</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highlight w:val="none"/>
                <w:lang w:val="en-US" w:eastAsia="zh-CN"/>
              </w:rPr>
            </w:pPr>
            <w:r>
              <w:rPr>
                <w:rFonts w:hint="default" w:ascii="Times New Roman" w:hAnsi="Times New Roman" w:eastAsia="仿宋" w:cs="Times New Roman"/>
                <w:color w:val="000000"/>
                <w:sz w:val="22"/>
                <w:szCs w:val="22"/>
                <w:highlight w:val="none"/>
                <w:lang w:val="en-US" w:eastAsia="zh-CN"/>
              </w:rPr>
              <w:t>50</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highlight w:val="none"/>
                <w:lang w:val="en-US"/>
              </w:rPr>
            </w:pPr>
            <w:r>
              <w:rPr>
                <w:rFonts w:hint="default" w:ascii="Times New Roman" w:hAnsi="Times New Roman" w:eastAsia="仿宋" w:cs="Times New Roman"/>
                <w:color w:val="000000"/>
                <w:sz w:val="22"/>
                <w:szCs w:val="22"/>
                <w:highlight w:val="none"/>
                <w:lang w:val="en-US" w:eastAsia="zh-CN"/>
              </w:rPr>
              <w:t>55</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highlight w:val="none"/>
                <w:lang w:eastAsia="zh-CN"/>
              </w:rPr>
            </w:pPr>
            <w:r>
              <w:rPr>
                <w:rFonts w:hint="default" w:ascii="Times New Roman" w:hAnsi="Times New Roman" w:eastAsia="仿宋" w:cs="Times New Roman"/>
                <w:color w:val="000000"/>
                <w:sz w:val="22"/>
                <w:szCs w:val="22"/>
                <w:highlight w:val="none"/>
              </w:rPr>
              <w:t>+</w:t>
            </w:r>
            <w:r>
              <w:rPr>
                <w:rFonts w:hint="default" w:ascii="Times New Roman" w:hAnsi="Times New Roman" w:eastAsia="仿宋" w:cs="Times New Roman"/>
                <w:color w:val="000000"/>
                <w:sz w:val="22"/>
                <w:szCs w:val="22"/>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27</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主要农产品质量抽检合格率（%）</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98</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99</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28</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主要农作物绿色防控率（%）</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45</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29</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村庄绿化覆盖率（%）</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54</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70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w:t>
            </w:r>
            <w:r>
              <w:rPr>
                <w:rFonts w:hint="default" w:ascii="Times New Roman" w:hAnsi="Times New Roman" w:eastAsia="仿宋" w:cs="Times New Roman"/>
                <w:color w:val="000000"/>
                <w:sz w:val="22"/>
                <w:szCs w:val="22"/>
                <w:lang w:val="en-US" w:eastAsia="zh-CN"/>
              </w:rPr>
              <w:t>1</w:t>
            </w:r>
            <w:r>
              <w:rPr>
                <w:rFonts w:hint="default" w:ascii="Times New Roman" w:hAnsi="Times New Roman" w:eastAsia="仿宋" w:cs="Times New Roman"/>
                <w:color w:val="00000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30</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生活垃圾</w:t>
            </w:r>
            <w:r>
              <w:rPr>
                <w:rFonts w:hint="default" w:ascii="Times New Roman" w:hAnsi="Times New Roman" w:eastAsia="仿宋" w:cs="Times New Roman"/>
                <w:color w:val="000000"/>
                <w:sz w:val="22"/>
                <w:szCs w:val="22"/>
                <w:lang w:eastAsia="zh-CN"/>
              </w:rPr>
              <w:t>收运处置体系覆盖率</w:t>
            </w:r>
            <w:r>
              <w:rPr>
                <w:rFonts w:hint="default" w:ascii="Times New Roman" w:hAnsi="Times New Roman" w:eastAsia="仿宋" w:cs="Times New Roman"/>
                <w:color w:val="000000"/>
                <w:sz w:val="22"/>
                <w:szCs w:val="22"/>
              </w:rPr>
              <w:t>（%）</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90</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100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rPr>
              <w:t>+</w:t>
            </w:r>
            <w:r>
              <w:rPr>
                <w:rFonts w:hint="default" w:ascii="Times New Roman" w:hAnsi="Times New Roman" w:eastAsia="仿宋" w:cs="Times New Roman"/>
                <w:color w:val="000000"/>
                <w:sz w:val="22"/>
                <w:szCs w:val="2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31</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对生活污水</w:t>
            </w:r>
            <w:r>
              <w:rPr>
                <w:rFonts w:hint="default" w:ascii="Times New Roman" w:hAnsi="Times New Roman" w:eastAsia="仿宋" w:cs="Times New Roman"/>
                <w:color w:val="000000"/>
                <w:sz w:val="22"/>
                <w:szCs w:val="22"/>
                <w:lang w:eastAsia="zh-CN"/>
              </w:rPr>
              <w:t>治理比例</w:t>
            </w:r>
            <w:r>
              <w:rPr>
                <w:rFonts w:hint="default" w:ascii="Times New Roman" w:hAnsi="Times New Roman" w:eastAsia="仿宋" w:cs="Times New Roman"/>
                <w:color w:val="000000"/>
                <w:sz w:val="22"/>
                <w:szCs w:val="22"/>
              </w:rPr>
              <w:t>（%）</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65</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rPr>
              <w:t>8</w:t>
            </w:r>
            <w:r>
              <w:rPr>
                <w:rFonts w:hint="default" w:ascii="Times New Roman" w:hAnsi="Times New Roman" w:eastAsia="仿宋" w:cs="Times New Roman"/>
                <w:color w:val="000000"/>
                <w:sz w:val="22"/>
                <w:szCs w:val="22"/>
                <w:lang w:val="en-US" w:eastAsia="zh-CN"/>
              </w:rPr>
              <w:t>5</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rPr>
              <w:t>+</w:t>
            </w:r>
            <w:r>
              <w:rPr>
                <w:rFonts w:hint="default" w:ascii="Times New Roman" w:hAnsi="Times New Roman" w:eastAsia="仿宋" w:cs="Times New Roman"/>
                <w:color w:val="000000"/>
                <w:sz w:val="22"/>
                <w:szCs w:val="22"/>
                <w:lang w:val="en-US"/>
              </w:rPr>
              <w:t>2</w:t>
            </w:r>
            <w:r>
              <w:rPr>
                <w:rFonts w:hint="default" w:ascii="Times New Roman" w:hAnsi="Times New Roman" w:eastAsia="仿宋" w:cs="Times New Roman"/>
                <w:color w:val="000000"/>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32</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农村</w:t>
            </w:r>
            <w:r>
              <w:rPr>
                <w:rFonts w:hint="default" w:ascii="Times New Roman" w:hAnsi="Times New Roman" w:eastAsia="仿宋" w:cs="Times New Roman"/>
                <w:color w:val="000000"/>
                <w:sz w:val="22"/>
                <w:szCs w:val="22"/>
                <w:lang w:eastAsia="zh-CN"/>
              </w:rPr>
              <w:t>无害化</w:t>
            </w:r>
            <w:r>
              <w:rPr>
                <w:rFonts w:hint="default" w:ascii="Times New Roman" w:hAnsi="Times New Roman" w:eastAsia="仿宋" w:cs="Times New Roman"/>
                <w:color w:val="000000"/>
                <w:sz w:val="22"/>
                <w:szCs w:val="22"/>
              </w:rPr>
              <w:t>卫生厕所普及率（%）</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70</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70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eastAsia="zh-CN"/>
              </w:rPr>
            </w:pPr>
            <w:r>
              <w:rPr>
                <w:rFonts w:hint="default" w:ascii="Times New Roman" w:hAnsi="Times New Roman" w:eastAsia="仿宋" w:cs="Times New Roman"/>
                <w:color w:val="000000"/>
                <w:sz w:val="22"/>
                <w:szCs w:val="22"/>
              </w:rPr>
              <w:t>+</w:t>
            </w:r>
            <w:r>
              <w:rPr>
                <w:rFonts w:hint="default" w:ascii="Times New Roman" w:hAnsi="Times New Roman" w:eastAsia="仿宋" w:cs="Times New Roman"/>
                <w:color w:val="000000"/>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33</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秸秆综合利用率（%）</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eastAsia="zh-CN"/>
              </w:rPr>
            </w:pPr>
            <w:r>
              <w:rPr>
                <w:rFonts w:hint="default" w:ascii="Times New Roman" w:hAnsi="Times New Roman" w:eastAsia="仿宋" w:cs="Times New Roman"/>
                <w:color w:val="000000"/>
                <w:sz w:val="22"/>
                <w:szCs w:val="22"/>
              </w:rPr>
              <w:t>9</w:t>
            </w:r>
            <w:r>
              <w:rPr>
                <w:rFonts w:hint="default" w:ascii="Times New Roman" w:hAnsi="Times New Roman" w:eastAsia="仿宋" w:cs="Times New Roman"/>
                <w:color w:val="000000"/>
                <w:sz w:val="22"/>
                <w:szCs w:val="22"/>
                <w:lang w:val="en-US" w:eastAsia="zh-CN"/>
              </w:rPr>
              <w:t>0</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eastAsia="zh-CN"/>
              </w:rPr>
            </w:pPr>
            <w:r>
              <w:rPr>
                <w:rFonts w:hint="default" w:ascii="Times New Roman" w:hAnsi="Times New Roman" w:eastAsia="仿宋" w:cs="Times New Roman"/>
                <w:color w:val="000000"/>
                <w:sz w:val="22"/>
                <w:szCs w:val="22"/>
              </w:rPr>
              <w:t>9</w:t>
            </w:r>
            <w:r>
              <w:rPr>
                <w:rFonts w:hint="default" w:ascii="Times New Roman" w:hAnsi="Times New Roman" w:eastAsia="仿宋" w:cs="Times New Roman"/>
                <w:color w:val="000000"/>
                <w:sz w:val="22"/>
                <w:szCs w:val="22"/>
                <w:lang w:val="en-US" w:eastAsia="zh-CN"/>
              </w:rPr>
              <w:t>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eastAsia="zh-CN"/>
              </w:rPr>
            </w:pPr>
            <w:r>
              <w:rPr>
                <w:rFonts w:hint="default" w:ascii="Times New Roman" w:hAnsi="Times New Roman" w:eastAsia="仿宋" w:cs="Times New Roman"/>
                <w:color w:val="000000"/>
                <w:sz w:val="22"/>
                <w:szCs w:val="22"/>
              </w:rPr>
              <w:t>+</w:t>
            </w:r>
            <w:r>
              <w:rPr>
                <w:rFonts w:hint="default" w:ascii="Times New Roman" w:hAnsi="Times New Roman" w:eastAsia="仿宋" w:cs="Times New Roman"/>
                <w:color w:val="000000"/>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6"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34</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畜禽粪污综合利用率（%）</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92</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95</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35</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废弃农膜回收利用率（%）</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80</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85</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36</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农村自来水普及率（%）</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75</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80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eastAsia="zh-CN"/>
              </w:rPr>
            </w:pPr>
            <w:r>
              <w:rPr>
                <w:rFonts w:hint="default" w:ascii="Times New Roman" w:hAnsi="Times New Roman" w:eastAsia="仿宋" w:cs="Times New Roman"/>
                <w:color w:val="000000"/>
                <w:sz w:val="22"/>
                <w:szCs w:val="22"/>
              </w:rPr>
              <w:t>+</w:t>
            </w:r>
            <w:r>
              <w:rPr>
                <w:rFonts w:hint="default" w:ascii="Times New Roman" w:hAnsi="Times New Roman" w:eastAsia="仿宋" w:cs="Times New Roman"/>
                <w:color w:val="00000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37</w:t>
            </w:r>
          </w:p>
        </w:tc>
        <w:tc>
          <w:tcPr>
            <w:tcW w:w="1042" w:type="dxa"/>
            <w:vMerge w:val="restart"/>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六、农村经济发  展</w:t>
            </w: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第一产业增加值（亿元）</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33.77</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rPr>
              <w:t>4</w:t>
            </w:r>
            <w:r>
              <w:rPr>
                <w:rFonts w:hint="default" w:ascii="Times New Roman" w:hAnsi="Times New Roman" w:eastAsia="仿宋" w:cs="Times New Roman"/>
                <w:color w:val="000000"/>
                <w:sz w:val="22"/>
                <w:szCs w:val="22"/>
                <w:lang w:val="en-US" w:eastAsia="zh-CN"/>
              </w:rPr>
              <w:t>8.68</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rPr>
              <w:t>+1</w:t>
            </w:r>
            <w:r>
              <w:rPr>
                <w:rFonts w:hint="default" w:ascii="Times New Roman" w:hAnsi="Times New Roman" w:eastAsia="仿宋" w:cs="Times New Roman"/>
                <w:color w:val="000000"/>
                <w:sz w:val="22"/>
                <w:szCs w:val="22"/>
                <w:lang w:val="en-US" w:eastAsia="zh-CN"/>
              </w:rPr>
              <w:t>4</w:t>
            </w:r>
            <w:r>
              <w:rPr>
                <w:rFonts w:hint="default" w:ascii="Times New Roman" w:hAnsi="Times New Roman" w:eastAsia="仿宋" w:cs="Times New Roman"/>
                <w:color w:val="000000"/>
                <w:sz w:val="22"/>
                <w:szCs w:val="22"/>
              </w:rPr>
              <w:t>.</w:t>
            </w:r>
            <w:r>
              <w:rPr>
                <w:rFonts w:hint="default" w:ascii="Times New Roman" w:hAnsi="Times New Roman" w:eastAsia="仿宋" w:cs="Times New Roman"/>
                <w:color w:val="000000"/>
                <w:sz w:val="22"/>
                <w:szCs w:val="22"/>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38</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第一产业增加值年均增速（%）</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[3.7]</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val="en-US" w:eastAsia="zh-CN"/>
              </w:rPr>
              <w:t>3.9</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eastAsia="zh-CN"/>
              </w:rPr>
            </w:pPr>
            <w:r>
              <w:rPr>
                <w:rFonts w:hint="default" w:ascii="Times New Roman" w:hAnsi="Times New Roman" w:eastAsia="仿宋" w:cs="Times New Roman"/>
                <w:color w:val="000000"/>
                <w:sz w:val="22"/>
                <w:szCs w:val="22"/>
              </w:rPr>
              <w:t>+0.</w:t>
            </w:r>
            <w:r>
              <w:rPr>
                <w:rFonts w:hint="default" w:ascii="Times New Roman" w:hAnsi="Times New Roman" w:eastAsia="仿宋" w:cs="Times New Roman"/>
                <w:color w:val="000000"/>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39</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农村居民人均可支配收入（元）</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17604</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w:t>
            </w:r>
            <w:r>
              <w:rPr>
                <w:rFonts w:hint="default" w:ascii="Times New Roman" w:hAnsi="Times New Roman" w:eastAsia="仿宋" w:cs="Times New Roman"/>
                <w:color w:val="000000"/>
                <w:sz w:val="22"/>
                <w:szCs w:val="22"/>
                <w:lang w:val="en-US" w:eastAsia="zh-CN"/>
              </w:rPr>
              <w:t>7</w:t>
            </w:r>
            <w:r>
              <w:rPr>
                <w:rFonts w:hint="default" w:ascii="Times New Roman" w:hAnsi="Times New Roman" w:eastAsia="仿宋" w:cs="Times New Roman"/>
                <w:color w:val="000000"/>
                <w:sz w:val="22"/>
                <w:szCs w:val="22"/>
              </w:rPr>
              <w:t>000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+11396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41</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农村居民人均可支配收入年均增速（%）</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[9.4]</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val="en-US" w:eastAsia="zh-CN"/>
              </w:rPr>
              <w:t>8.0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660"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42</w:t>
            </w:r>
          </w:p>
        </w:tc>
        <w:tc>
          <w:tcPr>
            <w:tcW w:w="1042" w:type="dxa"/>
            <w:vMerge w:val="continue"/>
            <w:tcBorders>
              <w:top w:val="single" w:color="auto" w:sz="4" w:space="0"/>
              <w:left w:val="single" w:color="auto" w:sz="4" w:space="0"/>
              <w:right w:val="single" w:color="auto" w:sz="4" w:space="0"/>
            </w:tcBorders>
            <w:vAlign w:val="center"/>
          </w:tcPr>
          <w:p>
            <w:pPr>
              <w:rPr>
                <w:rFonts w:hint="default" w:ascii="Times New Roman" w:hAnsi="Times New Roman" w:cs="Times New Roman"/>
              </w:rPr>
            </w:pPr>
          </w:p>
        </w:tc>
        <w:tc>
          <w:tcPr>
            <w:tcW w:w="4046" w:type="dxa"/>
            <w:tcBorders>
              <w:top w:val="single" w:color="auto" w:sz="4" w:space="0"/>
              <w:left w:val="single" w:color="auto" w:sz="4" w:space="0"/>
              <w:right w:val="single" w:color="auto" w:sz="4" w:space="0"/>
            </w:tcBorders>
            <w:vAlign w:val="center"/>
          </w:tcPr>
          <w:p>
            <w:pPr>
              <w:spacing w:line="340" w:lineRule="exac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农村劳务收入（亿元）</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31</w:t>
            </w:r>
          </w:p>
        </w:tc>
        <w:tc>
          <w:tcPr>
            <w:tcW w:w="1029" w:type="dxa"/>
            <w:tcBorders>
              <w:top w:val="single" w:color="auto" w:sz="4" w:space="0"/>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40</w:t>
            </w:r>
          </w:p>
        </w:tc>
        <w:tc>
          <w:tcPr>
            <w:tcW w:w="1031" w:type="dxa"/>
            <w:tcBorders>
              <w:left w:val="single" w:color="auto" w:sz="4" w:space="0"/>
              <w:right w:val="single" w:color="auto" w:sz="4" w:space="0"/>
            </w:tcBorders>
            <w:vAlign w:val="center"/>
          </w:tcPr>
          <w:p>
            <w:pPr>
              <w:spacing w:line="340" w:lineRule="exact"/>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w:t>
            </w:r>
          </w:p>
        </w:tc>
      </w:tr>
    </w:tbl>
    <w:p>
      <w:pPr>
        <w:pStyle w:val="31"/>
        <w:spacing w:line="560" w:lineRule="exact"/>
        <w:jc w:val="center"/>
        <w:outlineLvl w:val="0"/>
        <w:rPr>
          <w:rFonts w:hint="default" w:ascii="Times New Roman" w:hAnsi="Times New Roman" w:eastAsia="仿宋" w:cs="Times New Roman"/>
          <w:color w:val="auto"/>
        </w:rPr>
        <w:sectPr>
          <w:footerReference r:id="rId3" w:type="default"/>
          <w:footerReference r:id="rId4" w:type="even"/>
          <w:pgSz w:w="11906" w:h="16838"/>
          <w:pgMar w:top="1757" w:right="1474" w:bottom="1474" w:left="1587" w:header="851" w:footer="992" w:gutter="0"/>
          <w:cols w:space="720" w:num="1"/>
          <w:docGrid w:type="lines" w:linePitch="312" w:charSpace="0"/>
        </w:sectPr>
      </w:pPr>
      <w:bookmarkStart w:id="180" w:name="_Toc14967"/>
      <w:bookmarkStart w:id="181" w:name="_Toc16159"/>
      <w:bookmarkStart w:id="182" w:name="_Toc10508"/>
      <w:bookmarkStart w:id="183" w:name="_Toc29301"/>
    </w:p>
    <w:p>
      <w:pPr>
        <w:pStyle w:val="31"/>
        <w:spacing w:before="312" w:beforeLines="100" w:after="312" w:afterLines="100" w:line="560" w:lineRule="exact"/>
        <w:jc w:val="center"/>
        <w:outlineLvl w:val="0"/>
        <w:rPr>
          <w:rFonts w:hint="default" w:ascii="Times New Roman" w:hAnsi="Times New Roman" w:eastAsia="黑体" w:cs="Times New Roman"/>
          <w:b w:val="0"/>
          <w:bCs w:val="0"/>
          <w:color w:val="auto"/>
          <w:sz w:val="32"/>
          <w:szCs w:val="32"/>
        </w:rPr>
      </w:pPr>
      <w:bookmarkStart w:id="184" w:name="_Toc29770"/>
      <w:bookmarkStart w:id="185" w:name="_Toc1991"/>
      <w:bookmarkStart w:id="186" w:name="_Toc25113"/>
      <w:bookmarkStart w:id="187" w:name="_Toc22218"/>
      <w:r>
        <w:rPr>
          <w:rFonts w:hint="default" w:ascii="Times New Roman" w:hAnsi="Times New Roman" w:eastAsia="黑体" w:cs="Times New Roman"/>
          <w:b w:val="0"/>
          <w:bCs w:val="0"/>
          <w:color w:val="auto"/>
          <w:sz w:val="32"/>
          <w:szCs w:val="32"/>
        </w:rPr>
        <w:t>第三篇  高质量发展现代农业</w:t>
      </w:r>
      <w:bookmarkEnd w:id="180"/>
      <w:bookmarkEnd w:id="181"/>
      <w:bookmarkEnd w:id="182"/>
      <w:bookmarkEnd w:id="183"/>
      <w:bookmarkEnd w:id="184"/>
      <w:bookmarkEnd w:id="185"/>
      <w:bookmarkEnd w:id="186"/>
      <w:bookmarkEnd w:id="187"/>
    </w:p>
    <w:p>
      <w:pPr>
        <w:spacing w:line="560" w:lineRule="exact"/>
        <w:ind w:firstLine="640" w:firstLineChars="200"/>
        <w:rPr>
          <w:rFonts w:hint="default" w:ascii="Times New Roman" w:hAnsi="Times New Roman" w:eastAsia="仿宋_GB2312" w:cs="Times New Roman"/>
          <w:color w:val="auto"/>
          <w:sz w:val="32"/>
          <w:szCs w:val="32"/>
          <w:lang w:val="en-US" w:eastAsia="zh-CN"/>
        </w:rPr>
      </w:pPr>
      <w:bookmarkStart w:id="188" w:name="_Toc14780"/>
      <w:bookmarkStart w:id="189" w:name="_Toc27933"/>
      <w:bookmarkStart w:id="190" w:name="_Toc3314"/>
      <w:bookmarkStart w:id="191" w:name="_Toc21490"/>
      <w:bookmarkStart w:id="192" w:name="_Toc11120"/>
      <w:bookmarkStart w:id="193" w:name="_Toc17636"/>
      <w:bookmarkStart w:id="194" w:name="_Toc18972"/>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期间，全县围绕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现代农业产业体系，按照巩固提升、点线连片、融合发展、统筹推进的思路，以粮食安全和生猪</w:t>
      </w:r>
      <w:r>
        <w:rPr>
          <w:rFonts w:hint="default" w:ascii="Times New Roman" w:hAnsi="Times New Roman" w:eastAsia="仿宋_GB2312" w:cs="Times New Roman"/>
          <w:color w:val="auto"/>
          <w:sz w:val="32"/>
          <w:szCs w:val="32"/>
          <w:lang w:val="en-US" w:eastAsia="zh-CN"/>
        </w:rPr>
        <w:t>生产</w:t>
      </w:r>
      <w:r>
        <w:rPr>
          <w:rFonts w:hint="default" w:ascii="Times New Roman" w:hAnsi="Times New Roman" w:eastAsia="仿宋_GB2312" w:cs="Times New Roman"/>
          <w:color w:val="auto"/>
          <w:sz w:val="32"/>
          <w:szCs w:val="32"/>
        </w:rPr>
        <w:t>等重要农产品供给为核心，聚力培育</w:t>
      </w:r>
      <w:r>
        <w:rPr>
          <w:rFonts w:hint="default" w:ascii="Times New Roman" w:hAnsi="Times New Roman" w:eastAsia="仿宋_GB2312" w:cs="Times New Roman"/>
          <w:color w:val="auto"/>
          <w:sz w:val="32"/>
          <w:szCs w:val="32"/>
          <w:lang w:eastAsia="zh-CN"/>
        </w:rPr>
        <w:t>粮油、畜牧两</w:t>
      </w:r>
      <w:r>
        <w:rPr>
          <w:rFonts w:hint="default" w:ascii="Times New Roman" w:hAnsi="Times New Roman" w:eastAsia="仿宋_GB2312" w:cs="Times New Roman"/>
          <w:color w:val="auto"/>
          <w:sz w:val="32"/>
          <w:szCs w:val="32"/>
          <w:lang w:val="en-US" w:eastAsia="zh-CN"/>
        </w:rPr>
        <w:t>大主导</w:t>
      </w:r>
      <w:r>
        <w:rPr>
          <w:rFonts w:hint="default" w:ascii="Times New Roman" w:hAnsi="Times New Roman" w:eastAsia="仿宋_GB2312" w:cs="Times New Roman"/>
          <w:color w:val="auto"/>
          <w:sz w:val="32"/>
          <w:szCs w:val="32"/>
        </w:rPr>
        <w:t>产业，加快建设优</w:t>
      </w:r>
      <w:r>
        <w:rPr>
          <w:rFonts w:hint="default" w:ascii="Times New Roman" w:hAnsi="Times New Roman" w:eastAsia="仿宋_GB2312" w:cs="Times New Roman"/>
          <w:color w:val="auto"/>
          <w:sz w:val="32"/>
          <w:szCs w:val="32"/>
          <w:lang w:eastAsia="zh-CN"/>
        </w:rPr>
        <w:t>质</w:t>
      </w:r>
      <w:r>
        <w:rPr>
          <w:rFonts w:hint="default" w:ascii="Times New Roman" w:hAnsi="Times New Roman" w:eastAsia="仿宋_GB2312" w:cs="Times New Roman"/>
          <w:sz w:val="32"/>
          <w:szCs w:val="32"/>
          <w:highlight w:val="none"/>
          <w:lang w:val="en-US" w:eastAsia="zh-CN" w:bidi="ar-SA"/>
        </w:rPr>
        <w:t>水果、蔬菜、干果、中药材</w:t>
      </w:r>
      <w:r>
        <w:rPr>
          <w:rFonts w:hint="default"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lang w:val="en-US" w:eastAsia="zh-CN"/>
        </w:rPr>
        <w:t>大特色产业</w:t>
      </w:r>
      <w:r>
        <w:rPr>
          <w:rFonts w:hint="default" w:ascii="Times New Roman" w:hAnsi="Times New Roman" w:eastAsia="仿宋_GB2312" w:cs="Times New Roman"/>
          <w:color w:val="auto"/>
          <w:sz w:val="32"/>
          <w:szCs w:val="32"/>
        </w:rPr>
        <w:t>，突出产村融合、农旅融合、</w:t>
      </w:r>
      <w:r>
        <w:rPr>
          <w:rFonts w:hint="default" w:ascii="Times New Roman" w:hAnsi="Times New Roman" w:eastAsia="仿宋_GB2312" w:cs="Times New Roman"/>
          <w:color w:val="auto"/>
          <w:sz w:val="32"/>
          <w:szCs w:val="32"/>
          <w:lang w:eastAsia="zh-CN"/>
        </w:rPr>
        <w:t>园区示范、</w:t>
      </w:r>
      <w:r>
        <w:rPr>
          <w:rFonts w:hint="default" w:ascii="Times New Roman" w:hAnsi="Times New Roman" w:eastAsia="仿宋_GB2312" w:cs="Times New Roman"/>
          <w:color w:val="auto"/>
          <w:sz w:val="32"/>
          <w:szCs w:val="32"/>
        </w:rPr>
        <w:t>三产互动，高质量</w:t>
      </w:r>
      <w:r>
        <w:rPr>
          <w:rFonts w:hint="default" w:ascii="Times New Roman" w:hAnsi="Times New Roman" w:eastAsia="仿宋_GB2312" w:cs="Times New Roman"/>
          <w:color w:val="auto"/>
          <w:sz w:val="32"/>
          <w:szCs w:val="32"/>
          <w:lang w:eastAsia="zh-CN"/>
        </w:rPr>
        <w:t>培育特色优势农业，现代农业</w:t>
      </w:r>
      <w:r>
        <w:rPr>
          <w:rFonts w:hint="default" w:ascii="Times New Roman" w:hAnsi="Times New Roman" w:eastAsia="仿宋_GB2312" w:cs="Times New Roman"/>
          <w:color w:val="auto"/>
          <w:sz w:val="32"/>
          <w:szCs w:val="32"/>
        </w:rPr>
        <w:t>形成产业环线、延长产业链条、擦亮农业品牌。</w:t>
      </w:r>
      <w:r>
        <w:rPr>
          <w:rFonts w:hint="default" w:ascii="Times New Roman" w:hAnsi="Times New Roman" w:eastAsia="仿宋_GB2312" w:cs="Times New Roman"/>
          <w:color w:val="auto"/>
          <w:sz w:val="32"/>
          <w:szCs w:val="32"/>
          <w:lang w:eastAsia="zh-CN"/>
        </w:rPr>
        <w:t>到</w:t>
      </w:r>
      <w:r>
        <w:rPr>
          <w:rFonts w:hint="default" w:ascii="Times New Roman" w:hAnsi="Times New Roman" w:eastAsia="仿宋_GB2312" w:cs="Times New Roman"/>
          <w:color w:val="auto"/>
          <w:sz w:val="32"/>
          <w:szCs w:val="32"/>
          <w:lang w:val="en-US" w:eastAsia="zh-CN"/>
        </w:rPr>
        <w:t>2025年，培育国家级现代农业产业园1个，建成省星级现代农业园区</w:t>
      </w: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lang w:val="en-US" w:eastAsia="zh-CN"/>
        </w:rPr>
        <w:t>个，建成市星级现代农业园区4个以上。</w:t>
      </w:r>
    </w:p>
    <w:p>
      <w:pPr>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object>
          <v:shape id="_x0000_i1026" o:spt="75" alt="_1【14.6cm×10.7cm】" type="#_x0000_t75" style="height:360.15pt;width:451.45pt;" o:ole="t" filled="f" o:preferrelative="t" stroked="f" coordsize="21600,21600">
            <v:path/>
            <v:fill on="f" focussize="0,0"/>
            <v:stroke on="f"/>
            <v:imagedata r:id="rId17" o:title="28"/>
            <o:lock v:ext="edit" aspectratio="t"/>
            <w10:wrap type="none"/>
            <w10:anchorlock/>
          </v:shape>
          <o:OLEObject Type="Embed" ProgID="Package" ShapeID="_x0000_i1026" DrawAspect="Content" ObjectID="_1468075726" r:id="rId16">
            <o:LockedField>false</o:LockedField>
          </o:OLEObject>
        </w:object>
      </w:r>
      <w:r>
        <w:rPr>
          <w:rFonts w:hint="default" w:ascii="Times New Roman" w:hAnsi="Times New Roman" w:eastAsia="黑体" w:cs="Times New Roman"/>
          <w:b w:val="0"/>
          <w:bCs/>
          <w:color w:val="auto"/>
          <w:sz w:val="32"/>
          <w:szCs w:val="32"/>
          <w:lang w:eastAsia="zh-CN"/>
        </w:rPr>
        <w:t>“</w:t>
      </w:r>
      <w:r>
        <w:rPr>
          <w:rFonts w:hint="default" w:ascii="Times New Roman" w:hAnsi="Times New Roman" w:eastAsia="黑体" w:cs="Times New Roman"/>
          <w:b w:val="0"/>
          <w:bCs/>
          <w:color w:val="auto"/>
          <w:sz w:val="32"/>
          <w:szCs w:val="32"/>
        </w:rPr>
        <w:t>2+4</w:t>
      </w:r>
      <w:r>
        <w:rPr>
          <w:rFonts w:hint="default" w:ascii="Times New Roman" w:hAnsi="Times New Roman" w:eastAsia="黑体" w:cs="Times New Roman"/>
          <w:b w:val="0"/>
          <w:bCs/>
          <w:color w:val="auto"/>
          <w:sz w:val="32"/>
          <w:szCs w:val="32"/>
          <w:lang w:eastAsia="zh-CN"/>
        </w:rPr>
        <w:t>”</w:t>
      </w:r>
      <w:r>
        <w:rPr>
          <w:rFonts w:hint="default" w:ascii="Times New Roman" w:hAnsi="Times New Roman" w:eastAsia="黑体" w:cs="Times New Roman"/>
          <w:b w:val="0"/>
          <w:bCs/>
          <w:color w:val="auto"/>
          <w:sz w:val="32"/>
          <w:szCs w:val="32"/>
        </w:rPr>
        <w:t>产业布局图</w:t>
      </w:r>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mn-Mong-CN" w:bidi="mn-Mong-CN"/>
        </w:rPr>
      </w:pPr>
      <w:bookmarkStart w:id="195" w:name="_Toc279"/>
      <w:r>
        <w:rPr>
          <w:rFonts w:hint="default" w:ascii="Times New Roman" w:hAnsi="Times New Roman" w:eastAsia="黑体" w:cs="Times New Roman"/>
          <w:color w:val="auto"/>
          <w:kern w:val="0"/>
          <w:sz w:val="32"/>
          <w:szCs w:val="32"/>
          <w:lang w:val="mn-Mong-CN" w:bidi="mn-Mong-CN"/>
        </w:rPr>
        <w:t>第六章  加快构建现代农业产业体系</w:t>
      </w:r>
      <w:bookmarkEnd w:id="188"/>
      <w:bookmarkEnd w:id="189"/>
      <w:bookmarkEnd w:id="190"/>
      <w:bookmarkEnd w:id="191"/>
      <w:bookmarkEnd w:id="192"/>
      <w:bookmarkEnd w:id="193"/>
      <w:bookmarkEnd w:id="194"/>
      <w:bookmarkEnd w:id="195"/>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196" w:name="_Toc10250"/>
      <w:bookmarkStart w:id="197" w:name="_Toc12489"/>
      <w:bookmarkStart w:id="198" w:name="_Toc25946"/>
      <w:bookmarkStart w:id="199" w:name="_Toc5440"/>
      <w:bookmarkStart w:id="200" w:name="_Toc17419"/>
      <w:bookmarkStart w:id="201" w:name="_Toc23312"/>
      <w:bookmarkStart w:id="202" w:name="_Toc29892"/>
      <w:bookmarkStart w:id="203" w:name="_Toc11621"/>
      <w:r>
        <w:rPr>
          <w:rFonts w:hint="default" w:ascii="Times New Roman" w:hAnsi="Times New Roman" w:eastAsia="仿宋_GB2312" w:cs="Times New Roman"/>
          <w:b/>
          <w:color w:val="auto"/>
          <w:sz w:val="32"/>
          <w:szCs w:val="32"/>
        </w:rPr>
        <w:t>6.1优质粮油</w:t>
      </w:r>
      <w:bookmarkEnd w:id="196"/>
      <w:bookmarkEnd w:id="197"/>
      <w:bookmarkEnd w:id="198"/>
      <w:bookmarkEnd w:id="199"/>
      <w:bookmarkEnd w:id="200"/>
      <w:bookmarkEnd w:id="201"/>
      <w:bookmarkEnd w:id="202"/>
      <w:bookmarkEnd w:id="203"/>
    </w:p>
    <w:p>
      <w:pPr>
        <w:widowControl/>
        <w:spacing w:line="560" w:lineRule="exact"/>
        <w:ind w:firstLine="643"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6.1.1发展思路</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深入实施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藏粮于地、藏粮于技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战略，实施粮油绿色增产攻关示范行动，以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保面积、调结构、稳产增效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为宗旨，在稳定粮油种植面积的情况下，狠抓科技投入和品种结构调整，大力展示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示范（新品种、新技术、新模式、新机制），积极发展品牌大米、有机大米、鱼（虾）香大米、优质小麦、优质玉米和优质油菜，确保粮油增产增效。在稳定粮油产量的前提下，打造依托水稻（稻鱼、稻虾等）、油菜（菜花[目前已有夏秋冬季油菜花海定制技术]）资源的休闲观光农业。以培优做强魁山牌菜籽油、智水香大米、天保贡米等粮油品牌为抓手，以标准化示范</w:t>
      </w:r>
      <w:r>
        <w:rPr>
          <w:rFonts w:hint="default" w:ascii="Times New Roman" w:hAnsi="Times New Roman" w:eastAsia="仿宋_GB2312" w:cs="Times New Roman"/>
          <w:color w:val="auto"/>
          <w:sz w:val="32"/>
          <w:szCs w:val="32"/>
          <w:lang w:val="en-US" w:eastAsia="zh-CN"/>
        </w:rPr>
        <w:t>种植</w:t>
      </w:r>
      <w:r>
        <w:rPr>
          <w:rFonts w:hint="default" w:ascii="Times New Roman" w:hAnsi="Times New Roman" w:eastAsia="仿宋_GB2312" w:cs="Times New Roman"/>
          <w:color w:val="auto"/>
          <w:sz w:val="32"/>
          <w:szCs w:val="32"/>
        </w:rPr>
        <w:t>基地建设为载体，大力发展</w:t>
      </w:r>
      <w:r>
        <w:rPr>
          <w:rFonts w:hint="default" w:ascii="Times New Roman" w:hAnsi="Times New Roman" w:eastAsia="仿宋_GB2312" w:cs="Times New Roman"/>
          <w:color w:val="auto"/>
          <w:sz w:val="32"/>
          <w:szCs w:val="32"/>
          <w:lang w:val="en-US" w:eastAsia="zh-CN"/>
        </w:rPr>
        <w:t>绿色有机</w:t>
      </w:r>
      <w:r>
        <w:rPr>
          <w:rFonts w:hint="default" w:ascii="Times New Roman" w:hAnsi="Times New Roman" w:eastAsia="仿宋_GB2312" w:cs="Times New Roman"/>
          <w:color w:val="auto"/>
          <w:sz w:val="32"/>
          <w:szCs w:val="32"/>
        </w:rPr>
        <w:t>粮油，全面巩固粮食增产和推动绿色粮食提质增效。</w:t>
      </w:r>
    </w:p>
    <w:p>
      <w:pPr>
        <w:widowControl/>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6.1.2区域布局</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依托寸塘口水库、星花水库、四五水库、五五水库和郪江等水资源优势，支持河边以油菜为主全面发展</w:t>
      </w:r>
      <w:r>
        <w:rPr>
          <w:rFonts w:hint="default" w:ascii="Times New Roman" w:hAnsi="Times New Roman" w:eastAsia="仿宋_GB2312" w:cs="Times New Roman"/>
          <w:color w:val="auto"/>
          <w:sz w:val="32"/>
          <w:szCs w:val="32"/>
          <w:lang w:eastAsia="zh-CN"/>
        </w:rPr>
        <w:t>绿色优质</w:t>
      </w:r>
      <w:r>
        <w:rPr>
          <w:rFonts w:hint="default" w:ascii="Times New Roman" w:hAnsi="Times New Roman" w:eastAsia="仿宋_GB2312" w:cs="Times New Roman"/>
          <w:color w:val="auto"/>
          <w:sz w:val="32"/>
          <w:szCs w:val="32"/>
        </w:rPr>
        <w:t>油菜、水稻；支持玉峰、天保、金元、象山在巩固粮油生产的基础上，有序建设</w:t>
      </w:r>
      <w:r>
        <w:rPr>
          <w:rFonts w:hint="default" w:ascii="Times New Roman" w:hAnsi="Times New Roman" w:eastAsia="仿宋_GB2312" w:cs="Times New Roman"/>
          <w:color w:val="auto"/>
          <w:sz w:val="32"/>
          <w:szCs w:val="32"/>
          <w:lang w:eastAsia="zh-CN"/>
        </w:rPr>
        <w:t>绿色优质</w:t>
      </w:r>
      <w:r>
        <w:rPr>
          <w:rFonts w:hint="default" w:ascii="Times New Roman" w:hAnsi="Times New Roman" w:eastAsia="仿宋_GB2312" w:cs="Times New Roman"/>
          <w:color w:val="auto"/>
          <w:sz w:val="32"/>
          <w:szCs w:val="32"/>
        </w:rPr>
        <w:t>粮油标准化示范基地；支持蓬莱、隆盛、回马、卓筒井、盐井街道等巩固发展优质粮油。大力建设高产</w:t>
      </w:r>
      <w:r>
        <w:rPr>
          <w:rFonts w:hint="default" w:ascii="Times New Roman" w:hAnsi="Times New Roman" w:eastAsia="仿宋_GB2312" w:cs="Times New Roman"/>
          <w:color w:val="auto"/>
          <w:sz w:val="32"/>
          <w:szCs w:val="32"/>
          <w:lang w:val="en-US" w:eastAsia="zh-CN"/>
        </w:rPr>
        <w:t>优</w:t>
      </w:r>
      <w:r>
        <w:rPr>
          <w:rFonts w:hint="default" w:ascii="Times New Roman" w:hAnsi="Times New Roman" w:eastAsia="仿宋_GB2312" w:cs="Times New Roman"/>
          <w:color w:val="auto"/>
          <w:sz w:val="32"/>
          <w:szCs w:val="32"/>
        </w:rPr>
        <w:t>质粮油基地，形成以玉峰为示范，辐射河边、象山推动形成优质粮油聚集发展效应。</w:t>
      </w:r>
    </w:p>
    <w:p>
      <w:pPr>
        <w:widowControl/>
        <w:spacing w:line="560" w:lineRule="exact"/>
        <w:ind w:firstLine="64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 xml:space="preserve">6.1.3发展目标 </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到2025年，全县粮食</w:t>
      </w:r>
      <w:r>
        <w:rPr>
          <w:rFonts w:hint="default" w:ascii="Times New Roman" w:hAnsi="Times New Roman" w:eastAsia="仿宋_GB2312" w:cs="Times New Roman"/>
          <w:color w:val="auto"/>
          <w:sz w:val="32"/>
          <w:szCs w:val="32"/>
          <w:lang w:val="en-US" w:eastAsia="zh-CN"/>
        </w:rPr>
        <w:t>作物</w:t>
      </w:r>
      <w:r>
        <w:rPr>
          <w:rFonts w:hint="default" w:ascii="Times New Roman" w:hAnsi="Times New Roman" w:eastAsia="仿宋_GB2312" w:cs="Times New Roman"/>
          <w:color w:val="auto"/>
          <w:sz w:val="32"/>
          <w:szCs w:val="32"/>
        </w:rPr>
        <w:t>播种面积稳定在60万亩以上（含马铃薯），粮食总产量达21万吨以上；油料</w:t>
      </w:r>
      <w:r>
        <w:rPr>
          <w:rFonts w:hint="default" w:ascii="Times New Roman" w:hAnsi="Times New Roman" w:eastAsia="仿宋_GB2312" w:cs="Times New Roman"/>
          <w:color w:val="auto"/>
          <w:sz w:val="32"/>
          <w:szCs w:val="32"/>
          <w:lang w:val="en-US" w:eastAsia="zh-CN"/>
        </w:rPr>
        <w:t>作物</w:t>
      </w:r>
      <w:r>
        <w:rPr>
          <w:rFonts w:hint="default" w:ascii="Times New Roman" w:hAnsi="Times New Roman" w:eastAsia="仿宋_GB2312" w:cs="Times New Roman"/>
          <w:color w:val="auto"/>
          <w:sz w:val="32"/>
          <w:szCs w:val="32"/>
        </w:rPr>
        <w:t>播种面积稳定在15万亩，油料总产量达3万吨。全县粮油产业总产值达到6.64亿元，其中粮食种植业产值达到4.84亿元。</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204" w:name="_Toc7405"/>
      <w:bookmarkStart w:id="205" w:name="_Toc15882"/>
      <w:bookmarkStart w:id="206" w:name="_Toc6561"/>
      <w:bookmarkStart w:id="207" w:name="_Toc18964"/>
      <w:bookmarkStart w:id="208" w:name="_Toc18392"/>
      <w:bookmarkStart w:id="209" w:name="_Toc19448"/>
      <w:bookmarkStart w:id="210" w:name="_Toc20837"/>
      <w:bookmarkStart w:id="211" w:name="_Toc23243"/>
      <w:r>
        <w:rPr>
          <w:rFonts w:hint="default" w:ascii="Times New Roman" w:hAnsi="Times New Roman" w:eastAsia="仿宋_GB2312" w:cs="Times New Roman"/>
          <w:b/>
          <w:color w:val="auto"/>
          <w:sz w:val="32"/>
          <w:szCs w:val="32"/>
        </w:rPr>
        <w:t>6.2生态畜禽</w:t>
      </w:r>
      <w:bookmarkEnd w:id="204"/>
      <w:bookmarkEnd w:id="205"/>
      <w:bookmarkEnd w:id="206"/>
      <w:bookmarkEnd w:id="207"/>
      <w:bookmarkEnd w:id="208"/>
      <w:bookmarkEnd w:id="209"/>
      <w:bookmarkEnd w:id="210"/>
      <w:bookmarkEnd w:id="211"/>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6.2.1发展思路</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生态发展理念，推动畜禽养殖业实现绿色发展。在全县饮用水源保护地等限养区外的适宜区域全域发展生态生猪、优质家禽，通过农牧结合、种养循环的方式，全面推进畜禽粪污资源化利用，不断削减污染物排放总量。养殖场建设规模要与周边农田、菜地、果林的粪污消纳能力相适应。大力推行规模化、集约化、智能化、工厂化畜禽养殖，鼓励养殖企业、家庭农场和养殖大户上规模、上档次，提高养殖水平。大力推进生猪和家禽良繁体系项目、规模养殖基地、加工营销中心建设，逐步推进猪羊家禽产业成链发展。</w:t>
      </w:r>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6.2.2区域布局</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以金元、天保示范引领，辐射隆盛、回马、象山、河边、卓筒井等有序发展生态畜牧，促进种养循环。鼓励和支持龙头企业、养殖大户、养</w:t>
      </w:r>
      <w:r>
        <w:rPr>
          <w:rFonts w:hint="default" w:ascii="Times New Roman" w:hAnsi="Times New Roman" w:eastAsia="仿宋_GB2312" w:cs="Times New Roman"/>
          <w:color w:val="auto"/>
          <w:sz w:val="32"/>
          <w:szCs w:val="32"/>
          <w:lang w:val="en-US" w:eastAsia="zh-CN"/>
        </w:rPr>
        <w:t>殖</w:t>
      </w:r>
      <w:r>
        <w:rPr>
          <w:rFonts w:hint="default" w:ascii="Times New Roman" w:hAnsi="Times New Roman" w:eastAsia="仿宋_GB2312" w:cs="Times New Roman"/>
          <w:color w:val="auto"/>
          <w:sz w:val="32"/>
          <w:szCs w:val="32"/>
        </w:rPr>
        <w:t>户积极发展畜牧养殖，加快提高现代化养殖水平。加快回马、天保等种猪场巩固提能，加快金元、象山智能化万头优质种猪繁育场</w:t>
      </w:r>
      <w:r>
        <w:rPr>
          <w:rFonts w:hint="default"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支持河边、玉峰、天保、象山规划建设万头优质种猪繁育场、优质育肥猪养殖小区。支持回马、隆盛、金元、天保因地制宜发展芦花鸡、绿壳蛋鸡、乌骨鸡等特色养殖示范基地。以加快齐全、温氏、正邦等智能化生猪养猪场提能，优化提升四川沃田农业30万羽蛋鸡养殖</w:t>
      </w:r>
      <w:r>
        <w:rPr>
          <w:rFonts w:hint="default" w:ascii="Times New Roman" w:hAnsi="Times New Roman" w:eastAsia="仿宋_GB2312" w:cs="Times New Roman"/>
          <w:color w:val="auto"/>
          <w:sz w:val="32"/>
          <w:szCs w:val="32"/>
          <w:lang w:val="en-US" w:eastAsia="zh-CN"/>
        </w:rPr>
        <w:t>场</w:t>
      </w:r>
      <w:r>
        <w:rPr>
          <w:rFonts w:hint="default" w:ascii="Times New Roman" w:hAnsi="Times New Roman" w:eastAsia="仿宋_GB2312" w:cs="Times New Roman"/>
          <w:color w:val="auto"/>
          <w:sz w:val="32"/>
          <w:szCs w:val="32"/>
        </w:rPr>
        <w:t>现代化水平为引领，鼓励和支持各镇、盐井街道大力引进龙头养殖企业，发展生态畜禽。</w:t>
      </w:r>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6.2.3发展目标</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到2025年，全县建成</w:t>
      </w:r>
      <w:r>
        <w:rPr>
          <w:rFonts w:hint="default" w:ascii="Times New Roman" w:hAnsi="Times New Roman" w:eastAsia="仿宋_GB2312" w:cs="Times New Roman"/>
          <w:color w:val="000000"/>
          <w:sz w:val="32"/>
          <w:szCs w:val="32"/>
          <w:lang w:val="en-US" w:eastAsia="zh-CN"/>
        </w:rPr>
        <w:t>年出栏生猪5000头以上的</w:t>
      </w:r>
      <w:r>
        <w:rPr>
          <w:rFonts w:hint="default" w:ascii="Times New Roman" w:hAnsi="Times New Roman" w:eastAsia="仿宋_GB2312" w:cs="Times New Roman"/>
          <w:color w:val="000000"/>
          <w:sz w:val="32"/>
          <w:szCs w:val="32"/>
        </w:rPr>
        <w:t>生猪养殖场16个</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年出栏生猪</w:t>
      </w:r>
      <w:r>
        <w:rPr>
          <w:rFonts w:hint="default" w:ascii="Times New Roman" w:hAnsi="Times New Roman" w:eastAsia="仿宋_GB2312" w:cs="Times New Roman"/>
          <w:color w:val="000000"/>
          <w:sz w:val="32"/>
          <w:szCs w:val="32"/>
          <w:lang w:eastAsia="zh-CN"/>
        </w:rPr>
        <w:t>5</w:t>
      </w:r>
      <w:r>
        <w:rPr>
          <w:rFonts w:hint="default" w:ascii="Times New Roman" w:hAnsi="Times New Roman" w:eastAsia="仿宋_GB2312" w:cs="Times New Roman"/>
          <w:color w:val="000000"/>
          <w:sz w:val="32"/>
          <w:szCs w:val="32"/>
          <w:lang w:val="en-US" w:eastAsia="zh-CN"/>
        </w:rPr>
        <w:t>00头以上的</w:t>
      </w:r>
      <w:r>
        <w:rPr>
          <w:rFonts w:hint="default" w:ascii="Times New Roman" w:hAnsi="Times New Roman" w:eastAsia="仿宋_GB2312" w:cs="Times New Roman"/>
          <w:color w:val="000000"/>
          <w:sz w:val="32"/>
          <w:szCs w:val="32"/>
        </w:rPr>
        <w:t>生猪养殖场212个</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lang w:val="en-US" w:eastAsia="zh-CN"/>
        </w:rPr>
        <w:t>出栏家禽50000只以上的</w:t>
      </w:r>
      <w:r>
        <w:rPr>
          <w:rFonts w:hint="default" w:ascii="Times New Roman" w:hAnsi="Times New Roman" w:eastAsia="仿宋_GB2312" w:cs="Times New Roman"/>
          <w:color w:val="000000"/>
          <w:sz w:val="32"/>
          <w:szCs w:val="32"/>
        </w:rPr>
        <w:t>家禽养殖场10个</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lang w:val="en-US" w:eastAsia="zh-CN"/>
        </w:rPr>
        <w:t>出栏肉羊1000只以上的肉</w:t>
      </w:r>
      <w:r>
        <w:rPr>
          <w:rFonts w:hint="default" w:ascii="Times New Roman" w:hAnsi="Times New Roman" w:eastAsia="仿宋_GB2312" w:cs="Times New Roman"/>
          <w:color w:val="000000"/>
          <w:sz w:val="32"/>
          <w:szCs w:val="32"/>
        </w:rPr>
        <w:t>羊养殖场3个；生猪、家禽和羊年出栏分别达到60万头、500万只和5万只；畜禽养殖规模化达到60%以上，主要畜禽良种化率达到95%以上，畜禽粪污综合利用率95%。</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212" w:name="_Toc3554"/>
      <w:bookmarkStart w:id="213" w:name="_Toc4489"/>
      <w:bookmarkStart w:id="214" w:name="_Toc25624"/>
      <w:bookmarkStart w:id="215" w:name="_Toc24703"/>
      <w:bookmarkStart w:id="216" w:name="_Toc3693"/>
      <w:bookmarkStart w:id="217" w:name="_Toc22121"/>
      <w:bookmarkStart w:id="218" w:name="_Toc9581"/>
      <w:bookmarkStart w:id="219" w:name="_Toc2343"/>
      <w:r>
        <w:rPr>
          <w:rFonts w:hint="default" w:ascii="Times New Roman" w:hAnsi="Times New Roman" w:eastAsia="仿宋_GB2312" w:cs="Times New Roman"/>
          <w:b/>
          <w:color w:val="auto"/>
          <w:sz w:val="32"/>
          <w:szCs w:val="32"/>
        </w:rPr>
        <w:t>6.3优质水果</w:t>
      </w:r>
      <w:bookmarkEnd w:id="212"/>
      <w:bookmarkEnd w:id="213"/>
      <w:bookmarkEnd w:id="214"/>
      <w:bookmarkEnd w:id="215"/>
      <w:bookmarkEnd w:id="216"/>
      <w:bookmarkEnd w:id="217"/>
      <w:bookmarkEnd w:id="218"/>
      <w:bookmarkEnd w:id="219"/>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6.3.1发展思路</w:t>
      </w:r>
    </w:p>
    <w:p>
      <w:pPr>
        <w:widowControl/>
        <w:spacing w:line="560" w:lineRule="exact"/>
        <w:ind w:firstLine="640" w:firstLineChars="200"/>
        <w:jc w:val="left"/>
        <w:rPr>
          <w:rStyle w:val="33"/>
          <w:rFonts w:hint="default" w:ascii="Times New Roman" w:hAnsi="Times New Roman" w:eastAsia="仿宋_GB2312" w:cs="Times New Roman"/>
          <w:color w:val="auto"/>
          <w:sz w:val="32"/>
          <w:szCs w:val="32"/>
        </w:rPr>
      </w:pPr>
      <w:r>
        <w:rPr>
          <w:rStyle w:val="33"/>
          <w:rFonts w:hint="default" w:ascii="Times New Roman" w:hAnsi="Times New Roman" w:eastAsia="仿宋_GB2312" w:cs="Times New Roman"/>
          <w:color w:val="auto"/>
          <w:sz w:val="32"/>
          <w:szCs w:val="32"/>
        </w:rPr>
        <w:t>围绕大英现代特色产业体系，本着</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集约化、规模化、标准化、精品化</w:t>
      </w:r>
      <w:r>
        <w:rPr>
          <w:rStyle w:val="33"/>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的原则，有序</w:t>
      </w:r>
      <w:r>
        <w:rPr>
          <w:rFonts w:hint="default" w:ascii="Times New Roman" w:hAnsi="Times New Roman" w:eastAsia="仿宋_GB2312" w:cs="Times New Roman"/>
          <w:color w:val="auto"/>
          <w:sz w:val="32"/>
          <w:szCs w:val="32"/>
          <w:lang w:eastAsia="zh-CN"/>
        </w:rPr>
        <w:t>提升</w:t>
      </w:r>
      <w:r>
        <w:rPr>
          <w:rFonts w:hint="default" w:ascii="Times New Roman" w:hAnsi="Times New Roman" w:eastAsia="仿宋_GB2312" w:cs="Times New Roman"/>
          <w:color w:val="auto"/>
          <w:sz w:val="32"/>
          <w:szCs w:val="32"/>
        </w:rPr>
        <w:t>以柑橘、甜桃、柠檬等为主的优质水果产业。编制和完善水果规范种植标准，推进品牌化建设，培优做强擦亮河边白柠檬地理标志和荣仙牌</w:t>
      </w:r>
      <w:r>
        <w:rPr>
          <w:rFonts w:hint="default" w:ascii="Times New Roman" w:hAnsi="Times New Roman" w:eastAsia="仿宋_GB2312" w:cs="Times New Roman"/>
          <w:color w:val="auto"/>
          <w:sz w:val="32"/>
          <w:szCs w:val="32"/>
          <w:lang w:eastAsia="zh-CN"/>
        </w:rPr>
        <w:t>柠檬、</w:t>
      </w:r>
      <w:r>
        <w:rPr>
          <w:rFonts w:hint="default" w:ascii="Times New Roman" w:hAnsi="Times New Roman" w:eastAsia="仿宋_GB2312" w:cs="Times New Roman"/>
          <w:color w:val="auto"/>
          <w:sz w:val="32"/>
          <w:szCs w:val="32"/>
        </w:rPr>
        <w:t>柚子、脆口香甜桃等一批优质水果品牌</w:t>
      </w:r>
      <w:r>
        <w:rPr>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加强冷链物流配送体系建设，加快发展果汁饮料加工增值。</w:t>
      </w:r>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6.3.2区域布局</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支持河边镇加快柠檬产业提质增效，推动现代柠檬产业园区提档升级；支持卓筒井推动甜桃产业融合发展，加快培育</w:t>
      </w:r>
      <w:r>
        <w:rPr>
          <w:rFonts w:hint="default" w:ascii="Times New Roman" w:hAnsi="Times New Roman" w:eastAsia="仿宋_GB2312" w:cs="Times New Roman"/>
          <w:color w:val="auto"/>
          <w:sz w:val="32"/>
          <w:szCs w:val="32"/>
          <w:lang w:eastAsia="zh-CN"/>
        </w:rPr>
        <w:t>优化</w:t>
      </w:r>
      <w:r>
        <w:rPr>
          <w:rFonts w:hint="default" w:ascii="Times New Roman" w:hAnsi="Times New Roman" w:eastAsia="仿宋_GB2312" w:cs="Times New Roman"/>
          <w:color w:val="auto"/>
          <w:sz w:val="32"/>
          <w:szCs w:val="32"/>
        </w:rPr>
        <w:t>现代甜桃产业园区；支持蓬莱优化升级</w:t>
      </w:r>
      <w:r>
        <w:rPr>
          <w:rFonts w:hint="default" w:ascii="Times New Roman" w:hAnsi="Times New Roman" w:eastAsia="仿宋_GB2312" w:cs="Times New Roman"/>
          <w:color w:val="auto"/>
          <w:sz w:val="32"/>
          <w:szCs w:val="32"/>
          <w:lang w:eastAsia="zh-CN"/>
        </w:rPr>
        <w:t>柑橘</w:t>
      </w:r>
      <w:r>
        <w:rPr>
          <w:rFonts w:hint="default" w:ascii="Times New Roman" w:hAnsi="Times New Roman" w:eastAsia="仿宋_GB2312" w:cs="Times New Roman"/>
          <w:color w:val="auto"/>
          <w:sz w:val="32"/>
          <w:szCs w:val="32"/>
        </w:rPr>
        <w:t>产业基地，着力培优现代</w:t>
      </w:r>
      <w:r>
        <w:rPr>
          <w:rFonts w:hint="default" w:ascii="Times New Roman" w:hAnsi="Times New Roman" w:eastAsia="仿宋_GB2312" w:cs="Times New Roman"/>
          <w:color w:val="auto"/>
          <w:sz w:val="32"/>
          <w:szCs w:val="32"/>
          <w:lang w:eastAsia="zh-CN"/>
        </w:rPr>
        <w:t>柑橘</w:t>
      </w:r>
      <w:r>
        <w:rPr>
          <w:rFonts w:hint="default" w:ascii="Times New Roman" w:hAnsi="Times New Roman" w:eastAsia="仿宋_GB2312" w:cs="Times New Roman"/>
          <w:color w:val="auto"/>
          <w:sz w:val="32"/>
          <w:szCs w:val="32"/>
        </w:rPr>
        <w:t>产业园区。鼓励河边</w:t>
      </w:r>
      <w:r>
        <w:rPr>
          <w:rFonts w:hint="default" w:ascii="Times New Roman" w:hAnsi="Times New Roman" w:eastAsia="仿宋_GB2312" w:cs="Times New Roman"/>
          <w:color w:val="auto"/>
          <w:sz w:val="32"/>
          <w:szCs w:val="32"/>
          <w:lang w:eastAsia="zh-CN"/>
        </w:rPr>
        <w:t>培育优化</w:t>
      </w:r>
      <w:r>
        <w:rPr>
          <w:rFonts w:hint="default" w:ascii="Times New Roman" w:hAnsi="Times New Roman" w:eastAsia="仿宋_GB2312" w:cs="Times New Roman"/>
          <w:color w:val="auto"/>
          <w:sz w:val="32"/>
          <w:szCs w:val="32"/>
        </w:rPr>
        <w:t>漳州柚、天保</w:t>
      </w:r>
      <w:r>
        <w:rPr>
          <w:rFonts w:hint="default" w:ascii="Times New Roman" w:hAnsi="Times New Roman" w:eastAsia="仿宋_GB2312" w:cs="Times New Roman"/>
          <w:color w:val="auto"/>
          <w:sz w:val="32"/>
          <w:szCs w:val="32"/>
          <w:lang w:eastAsia="zh-CN"/>
        </w:rPr>
        <w:t>培育优化</w:t>
      </w:r>
      <w:r>
        <w:rPr>
          <w:rFonts w:hint="default" w:ascii="Times New Roman" w:hAnsi="Times New Roman" w:eastAsia="仿宋_GB2312" w:cs="Times New Roman"/>
          <w:color w:val="auto"/>
          <w:sz w:val="32"/>
          <w:szCs w:val="32"/>
        </w:rPr>
        <w:t>文旦柚，鼓励</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sz w:val="32"/>
          <w:szCs w:val="32"/>
        </w:rPr>
        <w:instrText xml:space="preserve">HYPERLINK "http://shop.bytravel.cn/produce/index1156.html"</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蓬莱</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lang w:eastAsia="zh-CN"/>
        </w:rPr>
        <w:t>培育优化</w:t>
      </w:r>
      <w:r>
        <w:rPr>
          <w:rFonts w:hint="default" w:ascii="Times New Roman" w:hAnsi="Times New Roman" w:eastAsia="仿宋_GB2312" w:cs="Times New Roman"/>
          <w:color w:val="auto"/>
          <w:sz w:val="32"/>
          <w:szCs w:val="32"/>
        </w:rPr>
        <w:t>柑橘，鼓励隆盛</w:t>
      </w:r>
      <w:r>
        <w:rPr>
          <w:rFonts w:hint="default" w:ascii="Times New Roman" w:hAnsi="Times New Roman" w:eastAsia="仿宋_GB2312" w:cs="Times New Roman"/>
          <w:color w:val="auto"/>
          <w:sz w:val="32"/>
          <w:szCs w:val="32"/>
          <w:lang w:eastAsia="zh-CN"/>
        </w:rPr>
        <w:t>培育优化</w:t>
      </w:r>
      <w:r>
        <w:rPr>
          <w:rFonts w:hint="default" w:ascii="Times New Roman" w:hAnsi="Times New Roman" w:eastAsia="仿宋_GB2312" w:cs="Times New Roman"/>
          <w:color w:val="auto"/>
          <w:sz w:val="32"/>
          <w:szCs w:val="32"/>
        </w:rPr>
        <w:t>猕猴桃、火龙果，鼓励象山</w:t>
      </w:r>
      <w:r>
        <w:rPr>
          <w:rFonts w:hint="default" w:ascii="Times New Roman" w:hAnsi="Times New Roman" w:eastAsia="仿宋_GB2312" w:cs="Times New Roman"/>
          <w:color w:val="auto"/>
          <w:sz w:val="32"/>
          <w:szCs w:val="32"/>
          <w:lang w:eastAsia="zh-CN"/>
        </w:rPr>
        <w:t>培育优化</w:t>
      </w:r>
      <w:r>
        <w:rPr>
          <w:rFonts w:hint="default" w:ascii="Times New Roman" w:hAnsi="Times New Roman" w:eastAsia="仿宋_GB2312" w:cs="Times New Roman"/>
          <w:color w:val="auto"/>
          <w:sz w:val="32"/>
          <w:szCs w:val="32"/>
        </w:rPr>
        <w:t>葡萄、草莓，鼓励其他镇和盐井街道因地制宜</w:t>
      </w:r>
      <w:r>
        <w:rPr>
          <w:rFonts w:hint="default" w:ascii="Times New Roman" w:hAnsi="Times New Roman" w:eastAsia="仿宋_GB2312" w:cs="Times New Roman"/>
          <w:color w:val="auto"/>
          <w:sz w:val="32"/>
          <w:szCs w:val="32"/>
          <w:lang w:eastAsia="zh-CN"/>
        </w:rPr>
        <w:t>培育优化</w:t>
      </w:r>
      <w:r>
        <w:rPr>
          <w:rFonts w:hint="default" w:ascii="Times New Roman" w:hAnsi="Times New Roman" w:eastAsia="仿宋_GB2312" w:cs="Times New Roman"/>
          <w:color w:val="auto"/>
          <w:sz w:val="32"/>
          <w:szCs w:val="32"/>
        </w:rPr>
        <w:t>特色优质水果。</w:t>
      </w:r>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6.3.3发展目标</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到2025年，全县改造提升1000亩以上标准化规模种植水果园3个，新建保鲜库2座，新增库容1000吨，新增冷链运输车辆3台，新创建市以上水果品牌3个，全县水果面积稳定在3.5万亩、产量达</w:t>
      </w:r>
      <w:r>
        <w:rPr>
          <w:rFonts w:hint="default" w:ascii="Times New Roman" w:hAnsi="Times New Roman" w:eastAsia="仿宋_GB2312" w:cs="Times New Roman"/>
          <w:color w:val="auto"/>
          <w:sz w:val="32"/>
          <w:szCs w:val="32"/>
          <w:lang w:val="en-US" w:eastAsia="zh-CN"/>
        </w:rPr>
        <w:t>到</w:t>
      </w:r>
      <w:r>
        <w:rPr>
          <w:rFonts w:hint="default" w:ascii="Times New Roman" w:hAnsi="Times New Roman" w:eastAsia="仿宋_GB2312" w:cs="Times New Roman"/>
          <w:color w:val="auto"/>
          <w:sz w:val="32"/>
          <w:szCs w:val="32"/>
          <w:lang w:eastAsia="zh-CN"/>
        </w:rPr>
        <w:t>4.2</w:t>
      </w:r>
      <w:r>
        <w:rPr>
          <w:rFonts w:hint="default" w:ascii="Times New Roman" w:hAnsi="Times New Roman" w:eastAsia="仿宋_GB2312" w:cs="Times New Roman"/>
          <w:color w:val="auto"/>
          <w:sz w:val="32"/>
          <w:szCs w:val="32"/>
        </w:rPr>
        <w:t>万吨，实现水果种植规模化、标准化、集群化发展。</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220" w:name="_Toc1795"/>
      <w:bookmarkStart w:id="221" w:name="_Toc1108"/>
      <w:bookmarkStart w:id="222" w:name="_Toc4041"/>
      <w:bookmarkStart w:id="223" w:name="_Toc162"/>
      <w:bookmarkStart w:id="224" w:name="_Toc17234"/>
      <w:bookmarkStart w:id="225" w:name="_Toc19632"/>
      <w:bookmarkStart w:id="226" w:name="_Toc22567"/>
      <w:bookmarkStart w:id="227" w:name="_Toc28854"/>
      <w:r>
        <w:rPr>
          <w:rFonts w:hint="default" w:ascii="Times New Roman" w:hAnsi="Times New Roman" w:eastAsia="仿宋_GB2312" w:cs="Times New Roman"/>
          <w:b/>
          <w:color w:val="auto"/>
          <w:sz w:val="32"/>
          <w:szCs w:val="32"/>
        </w:rPr>
        <w:t>6.4绿色蔬菜</w:t>
      </w:r>
      <w:bookmarkEnd w:id="220"/>
      <w:bookmarkEnd w:id="221"/>
      <w:bookmarkEnd w:id="222"/>
      <w:bookmarkEnd w:id="223"/>
      <w:bookmarkEnd w:id="224"/>
      <w:bookmarkEnd w:id="225"/>
      <w:bookmarkEnd w:id="226"/>
      <w:bookmarkEnd w:id="227"/>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6.4.1发展思路</w:t>
      </w:r>
    </w:p>
    <w:p>
      <w:pPr>
        <w:widowControl/>
        <w:spacing w:line="560" w:lineRule="exact"/>
        <w:ind w:firstLine="641"/>
        <w:jc w:val="left"/>
        <w:rPr>
          <w:rStyle w:val="33"/>
          <w:rFonts w:hint="default" w:ascii="Times New Roman" w:hAnsi="Times New Roman" w:eastAsia="仿宋_GB2312" w:cs="Times New Roman"/>
          <w:color w:val="auto"/>
          <w:sz w:val="32"/>
          <w:szCs w:val="32"/>
        </w:rPr>
      </w:pPr>
      <w:r>
        <w:rPr>
          <w:rStyle w:val="33"/>
          <w:rFonts w:hint="default" w:ascii="Times New Roman" w:hAnsi="Times New Roman" w:eastAsia="仿宋_GB2312" w:cs="Times New Roman"/>
          <w:color w:val="auto"/>
          <w:sz w:val="32"/>
          <w:szCs w:val="32"/>
        </w:rPr>
        <w:t>大力实施</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菜篮子</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工程，以科技支撑和示范建设，以蔬菜现代农业园区建设为抓手，着力打造绿色蔬菜基地</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积极推广绿肥和有机肥种植、生物制药控制病虫草害等技术</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重点发展农药污染相对较小的萝卜、青椒、番茄、冬瓜、南瓜、豆角、葱、蒜、洋葱、魔芋等蔬菜和香菇、草菇、金针菇等食用菌</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提高菜篮子供应质量。</w:t>
      </w:r>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6.4.2区域布局</w:t>
      </w:r>
    </w:p>
    <w:p>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依托涪江、郪江水资源优势，支持两江沿线的象山、隆盛、回马建设绿色蔬菜基地，</w:t>
      </w:r>
      <w:r>
        <w:rPr>
          <w:rFonts w:hint="default" w:ascii="Times New Roman" w:hAnsi="Times New Roman" w:eastAsia="仿宋_GB2312" w:cs="Times New Roman"/>
          <w:color w:val="auto"/>
          <w:sz w:val="32"/>
          <w:szCs w:val="32"/>
          <w:lang w:eastAsia="zh-CN"/>
        </w:rPr>
        <w:t>围绕“渝遂绵”蔬菜产业带发展，</w:t>
      </w:r>
      <w:r>
        <w:rPr>
          <w:rFonts w:hint="default" w:ascii="Times New Roman" w:hAnsi="Times New Roman" w:eastAsia="仿宋_GB2312" w:cs="Times New Roman"/>
          <w:color w:val="auto"/>
          <w:sz w:val="32"/>
          <w:szCs w:val="32"/>
          <w:lang w:val="en-US" w:eastAsia="zh-CN"/>
        </w:rPr>
        <w:t>加快建设</w:t>
      </w:r>
      <w:r>
        <w:rPr>
          <w:rFonts w:hint="default" w:ascii="Times New Roman" w:hAnsi="Times New Roman" w:eastAsia="仿宋_GB2312" w:cs="Times New Roman"/>
          <w:color w:val="auto"/>
          <w:sz w:val="32"/>
          <w:szCs w:val="32"/>
        </w:rPr>
        <w:t>回马绿色蔬菜现代农业园区。支持象山、隆盛大力发展设施农业，以实施智慧农业打造绿色蔬菜示范基地。鼓励其他镇和盐井街道因地制宜发展绿色蔬菜。</w:t>
      </w:r>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6.4.3发展目标</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2025年，全县建成设施蔬菜园5个、面积5000亩，建成1000亩以上标准化规模种植绿色园5个，新建保鲜库4座，新增库容2000吨，新增冷链运输车辆2台，全县蔬菜面积稳定在5万亩以上、产量达15万吨，其中发展绿色蔬菜1万亩。蔬菜规模化种植水平明显提高。</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228" w:name="_Toc1256"/>
      <w:bookmarkStart w:id="229" w:name="_Toc30353"/>
      <w:bookmarkStart w:id="230" w:name="_Toc7240"/>
      <w:bookmarkStart w:id="231" w:name="_Toc30714"/>
      <w:bookmarkStart w:id="232" w:name="_Toc26017"/>
      <w:bookmarkStart w:id="233" w:name="_Toc20210"/>
      <w:bookmarkStart w:id="234" w:name="_Toc498"/>
      <w:bookmarkStart w:id="235" w:name="_Toc24025"/>
      <w:r>
        <w:rPr>
          <w:rFonts w:hint="default" w:ascii="Times New Roman" w:hAnsi="Times New Roman" w:eastAsia="仿宋_GB2312" w:cs="Times New Roman"/>
          <w:b/>
          <w:color w:val="auto"/>
          <w:sz w:val="32"/>
          <w:szCs w:val="32"/>
        </w:rPr>
        <w:t>6.5道地中药材</w:t>
      </w:r>
      <w:bookmarkEnd w:id="228"/>
      <w:bookmarkEnd w:id="229"/>
      <w:bookmarkEnd w:id="230"/>
      <w:bookmarkEnd w:id="231"/>
      <w:bookmarkEnd w:id="232"/>
      <w:bookmarkEnd w:id="233"/>
      <w:bookmarkEnd w:id="234"/>
      <w:bookmarkEnd w:id="235"/>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6.5.1发展思路</w:t>
      </w:r>
    </w:p>
    <w:p>
      <w:pPr>
        <w:widowControl/>
        <w:spacing w:line="560" w:lineRule="exact"/>
        <w:ind w:firstLine="641"/>
        <w:jc w:val="both"/>
        <w:rPr>
          <w:rStyle w:val="33"/>
          <w:rFonts w:hint="default" w:ascii="Times New Roman" w:hAnsi="Times New Roman" w:eastAsia="仿宋_GB2312" w:cs="Times New Roman"/>
          <w:color w:val="auto"/>
          <w:sz w:val="32"/>
          <w:szCs w:val="32"/>
        </w:rPr>
      </w:pPr>
      <w:r>
        <w:rPr>
          <w:rStyle w:val="33"/>
          <w:rFonts w:hint="default" w:ascii="Times New Roman" w:hAnsi="Times New Roman" w:eastAsia="仿宋_GB2312" w:cs="Times New Roman"/>
          <w:color w:val="auto"/>
          <w:sz w:val="32"/>
          <w:szCs w:val="32"/>
        </w:rPr>
        <w:t>按照</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大园区、小业主</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工作思路，扎实推进中药材现代农业园区的建设和发展，加快培育中药材种植合作社和专业大户，大力推进标准化、规模化种植；积极培育和引进中药材种植、加工优势企业，加大中药材种植、加工技术</w:t>
      </w:r>
      <w:r>
        <w:rPr>
          <w:rFonts w:hint="default" w:ascii="Times New Roman" w:hAnsi="Times New Roman" w:eastAsia="仿宋_GB2312" w:cs="Times New Roman"/>
          <w:color w:val="auto"/>
          <w:sz w:val="32"/>
          <w:szCs w:val="32"/>
        </w:rPr>
        <w:t>研发转化，加强道地药材品牌创建，着力延伸中药材产业链条，促进业态融合。重点</w:t>
      </w:r>
      <w:r>
        <w:rPr>
          <w:rFonts w:hint="default" w:ascii="Times New Roman" w:hAnsi="Times New Roman" w:eastAsia="仿宋_GB2312" w:cs="Times New Roman"/>
          <w:color w:val="auto"/>
          <w:sz w:val="32"/>
          <w:szCs w:val="32"/>
          <w:lang w:eastAsia="zh-CN"/>
        </w:rPr>
        <w:t>培育优化枳壳</w:t>
      </w:r>
      <w:r>
        <w:rPr>
          <w:rFonts w:hint="default" w:ascii="Times New Roman" w:hAnsi="Times New Roman" w:eastAsia="仿宋_GB2312" w:cs="Times New Roman"/>
          <w:color w:val="auto"/>
          <w:sz w:val="32"/>
          <w:szCs w:val="32"/>
        </w:rPr>
        <w:t>、刺梨</w:t>
      </w:r>
      <w:r>
        <w:rPr>
          <w:rStyle w:val="33"/>
          <w:rFonts w:hint="default" w:ascii="Times New Roman" w:hAnsi="Times New Roman" w:eastAsia="仿宋_GB2312" w:cs="Times New Roman"/>
          <w:color w:val="auto"/>
          <w:sz w:val="32"/>
          <w:szCs w:val="32"/>
        </w:rPr>
        <w:t>、白芷、佛手、丹参、金银花、麦冬等</w:t>
      </w:r>
      <w:r>
        <w:rPr>
          <w:rStyle w:val="33"/>
          <w:rFonts w:hint="default" w:ascii="Times New Roman" w:hAnsi="Times New Roman" w:eastAsia="仿宋_GB2312" w:cs="Times New Roman"/>
          <w:color w:val="auto"/>
          <w:sz w:val="32"/>
          <w:szCs w:val="32"/>
          <w:lang w:eastAsia="zh-CN"/>
        </w:rPr>
        <w:t>中</w:t>
      </w:r>
      <w:r>
        <w:rPr>
          <w:rStyle w:val="33"/>
          <w:rFonts w:hint="default" w:ascii="Times New Roman" w:hAnsi="Times New Roman" w:eastAsia="仿宋_GB2312" w:cs="Times New Roman"/>
          <w:color w:val="auto"/>
          <w:sz w:val="32"/>
          <w:szCs w:val="32"/>
        </w:rPr>
        <w:t>药材品种。</w:t>
      </w:r>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6.5.2区域布局</w:t>
      </w:r>
    </w:p>
    <w:p>
      <w:pPr>
        <w:pStyle w:val="21"/>
        <w:spacing w:after="0" w:line="560" w:lineRule="exact"/>
        <w:ind w:firstLine="640" w:firstLineChars="200"/>
        <w:rPr>
          <w:rStyle w:val="33"/>
          <w:rFonts w:hint="default" w:ascii="Times New Roman" w:hAnsi="Times New Roman" w:eastAsia="仿宋_GB2312" w:cs="Times New Roman"/>
          <w:color w:val="auto"/>
          <w:kern w:val="2"/>
          <w:sz w:val="32"/>
          <w:szCs w:val="32"/>
        </w:rPr>
      </w:pPr>
      <w:r>
        <w:rPr>
          <w:rStyle w:val="33"/>
          <w:rFonts w:hint="default" w:ascii="Times New Roman" w:hAnsi="Times New Roman" w:eastAsia="仿宋_GB2312" w:cs="Times New Roman"/>
          <w:color w:val="auto"/>
          <w:kern w:val="2"/>
          <w:sz w:val="32"/>
          <w:szCs w:val="32"/>
        </w:rPr>
        <w:t>大力</w:t>
      </w:r>
      <w:r>
        <w:rPr>
          <w:rStyle w:val="33"/>
          <w:rFonts w:hint="default" w:ascii="Times New Roman" w:hAnsi="Times New Roman" w:eastAsia="仿宋_GB2312" w:cs="Times New Roman"/>
          <w:color w:val="auto"/>
          <w:kern w:val="2"/>
          <w:sz w:val="32"/>
          <w:szCs w:val="32"/>
          <w:lang w:eastAsia="zh-CN"/>
        </w:rPr>
        <w:t>培育优化</w:t>
      </w:r>
      <w:r>
        <w:rPr>
          <w:rStyle w:val="33"/>
          <w:rFonts w:hint="default" w:ascii="Times New Roman" w:hAnsi="Times New Roman" w:eastAsia="仿宋_GB2312" w:cs="Times New Roman"/>
          <w:color w:val="auto"/>
          <w:kern w:val="2"/>
          <w:sz w:val="32"/>
          <w:szCs w:val="32"/>
        </w:rPr>
        <w:t>以隆盛为核心的中药材现代农业园区，有效辐射带动金元、天保、回马等毗邻镇连片成规模</w:t>
      </w:r>
      <w:r>
        <w:rPr>
          <w:rStyle w:val="33"/>
          <w:rFonts w:hint="default" w:ascii="Times New Roman" w:hAnsi="Times New Roman" w:eastAsia="仿宋_GB2312" w:cs="Times New Roman"/>
          <w:color w:val="auto"/>
          <w:kern w:val="2"/>
          <w:sz w:val="32"/>
          <w:szCs w:val="32"/>
          <w:lang w:eastAsia="zh-CN"/>
        </w:rPr>
        <w:t>培育优化</w:t>
      </w:r>
      <w:r>
        <w:rPr>
          <w:rStyle w:val="33"/>
          <w:rFonts w:hint="default" w:ascii="Times New Roman" w:hAnsi="Times New Roman" w:eastAsia="仿宋_GB2312" w:cs="Times New Roman"/>
          <w:color w:val="auto"/>
          <w:kern w:val="2"/>
          <w:sz w:val="32"/>
          <w:szCs w:val="32"/>
        </w:rPr>
        <w:t>道地中药材。鼓励其他镇和盐井街道因地制宜</w:t>
      </w:r>
      <w:r>
        <w:rPr>
          <w:rStyle w:val="33"/>
          <w:rFonts w:hint="default" w:ascii="Times New Roman" w:hAnsi="Times New Roman" w:eastAsia="仿宋_GB2312" w:cs="Times New Roman"/>
          <w:color w:val="auto"/>
          <w:kern w:val="2"/>
          <w:sz w:val="32"/>
          <w:szCs w:val="32"/>
          <w:lang w:eastAsia="zh-CN"/>
        </w:rPr>
        <w:t>培育优化</w:t>
      </w:r>
      <w:r>
        <w:rPr>
          <w:rStyle w:val="33"/>
          <w:rFonts w:hint="default" w:ascii="Times New Roman" w:hAnsi="Times New Roman" w:eastAsia="仿宋_GB2312" w:cs="Times New Roman"/>
          <w:color w:val="auto"/>
          <w:kern w:val="2"/>
          <w:sz w:val="32"/>
          <w:szCs w:val="32"/>
        </w:rPr>
        <w:t>中药材种植。</w:t>
      </w:r>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6.5.3发展目标</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Style w:val="33"/>
          <w:rFonts w:hint="default" w:ascii="Times New Roman" w:hAnsi="Times New Roman" w:eastAsia="仿宋_GB2312" w:cs="Times New Roman"/>
          <w:color w:val="auto"/>
          <w:sz w:val="32"/>
          <w:szCs w:val="32"/>
        </w:rPr>
      </w:pPr>
      <w:r>
        <w:rPr>
          <w:rStyle w:val="33"/>
          <w:rFonts w:hint="default" w:ascii="Times New Roman" w:hAnsi="Times New Roman" w:eastAsia="仿宋_GB2312" w:cs="Times New Roman"/>
          <w:color w:val="auto"/>
          <w:sz w:val="32"/>
          <w:szCs w:val="32"/>
        </w:rPr>
        <w:t>到2025年，发展标准化规模种植药材1</w:t>
      </w:r>
      <w:r>
        <w:rPr>
          <w:rFonts w:hint="default" w:ascii="Times New Roman" w:hAnsi="Times New Roman" w:eastAsia="仿宋_GB2312" w:cs="Times New Roman"/>
          <w:color w:val="auto"/>
          <w:sz w:val="32"/>
          <w:szCs w:val="32"/>
        </w:rPr>
        <w:t>000亩以上合作社2家，培</w:t>
      </w:r>
      <w:r>
        <w:rPr>
          <w:rStyle w:val="33"/>
          <w:rFonts w:hint="default" w:ascii="Times New Roman" w:hAnsi="Times New Roman" w:eastAsia="仿宋_GB2312" w:cs="Times New Roman"/>
          <w:color w:val="auto"/>
          <w:sz w:val="32"/>
          <w:szCs w:val="32"/>
        </w:rPr>
        <w:t>育标准化规模种植药材100亩以上的家庭农场和专业大户20家，以隆盛镇为核心的中药材现代农业园区连片成规模标准化种植药材1</w:t>
      </w:r>
      <w:r>
        <w:rPr>
          <w:rStyle w:val="33"/>
          <w:rFonts w:hint="default" w:ascii="Times New Roman" w:hAnsi="Times New Roman" w:eastAsia="仿宋_GB2312" w:cs="Times New Roman"/>
          <w:color w:val="auto"/>
          <w:sz w:val="32"/>
          <w:szCs w:val="32"/>
          <w:lang w:val="en-US" w:eastAsia="zh-CN"/>
        </w:rPr>
        <w:t>.</w:t>
      </w:r>
      <w:r>
        <w:rPr>
          <w:rStyle w:val="33"/>
          <w:rFonts w:hint="default" w:ascii="Times New Roman" w:hAnsi="Times New Roman" w:eastAsia="仿宋_GB2312" w:cs="Times New Roman"/>
          <w:color w:val="auto"/>
          <w:sz w:val="32"/>
          <w:szCs w:val="32"/>
        </w:rPr>
        <w:t>5</w:t>
      </w:r>
      <w:r>
        <w:rPr>
          <w:rStyle w:val="33"/>
          <w:rFonts w:hint="default" w:ascii="Times New Roman" w:hAnsi="Times New Roman" w:eastAsia="仿宋_GB2312" w:cs="Times New Roman"/>
          <w:color w:val="auto"/>
          <w:sz w:val="32"/>
          <w:szCs w:val="32"/>
          <w:lang w:val="en-US" w:eastAsia="zh-CN"/>
        </w:rPr>
        <w:t>万</w:t>
      </w:r>
      <w:r>
        <w:rPr>
          <w:rStyle w:val="33"/>
          <w:rFonts w:hint="default" w:ascii="Times New Roman" w:hAnsi="Times New Roman" w:eastAsia="仿宋_GB2312" w:cs="Times New Roman"/>
          <w:color w:val="auto"/>
          <w:sz w:val="32"/>
          <w:szCs w:val="32"/>
        </w:rPr>
        <w:t>亩以上，辐射带动全县中药材种植面积2万亩以上、药材产量达到1万吨以上；新引进或培育药材深加工企业2家，创建市以上道地中药材品牌5个，药材深加工比例达到40%。大英县中药材现代农业园区建成省</w:t>
      </w:r>
      <w:r>
        <w:rPr>
          <w:rStyle w:val="33"/>
          <w:rFonts w:hint="default" w:ascii="Times New Roman" w:hAnsi="Times New Roman" w:eastAsia="仿宋_GB2312" w:cs="Times New Roman"/>
          <w:color w:val="auto"/>
          <w:sz w:val="32"/>
          <w:szCs w:val="32"/>
          <w:lang w:val="en-US" w:eastAsia="zh-CN"/>
        </w:rPr>
        <w:t>星</w:t>
      </w:r>
      <w:r>
        <w:rPr>
          <w:rStyle w:val="33"/>
          <w:rFonts w:hint="default" w:ascii="Times New Roman" w:hAnsi="Times New Roman" w:eastAsia="仿宋_GB2312" w:cs="Times New Roman"/>
          <w:color w:val="auto"/>
          <w:sz w:val="32"/>
          <w:szCs w:val="32"/>
        </w:rPr>
        <w:t>级现代农业园区。</w:t>
      </w:r>
    </w:p>
    <w:p>
      <w:pPr>
        <w:keepNext w:val="0"/>
        <w:keepLines w:val="0"/>
        <w:pageBreakBefore w:val="0"/>
        <w:kinsoku/>
        <w:wordWrap/>
        <w:overflowPunct/>
        <w:topLinePunct w:val="0"/>
        <w:autoSpaceDE/>
        <w:autoSpaceDN/>
        <w:bidi w:val="0"/>
        <w:adjustRightInd/>
        <w:snapToGrid/>
        <w:spacing w:line="540" w:lineRule="exact"/>
        <w:ind w:firstLine="643" w:firstLineChars="200"/>
        <w:jc w:val="left"/>
        <w:textAlignment w:val="auto"/>
        <w:outlineLvl w:val="2"/>
        <w:rPr>
          <w:rFonts w:hint="default" w:ascii="Times New Roman" w:hAnsi="Times New Roman" w:eastAsia="仿宋_GB2312" w:cs="Times New Roman"/>
          <w:b/>
          <w:color w:val="auto"/>
          <w:sz w:val="32"/>
          <w:szCs w:val="32"/>
        </w:rPr>
      </w:pPr>
      <w:bookmarkStart w:id="236" w:name="_Toc26403"/>
      <w:bookmarkStart w:id="237" w:name="_Toc22503"/>
      <w:bookmarkStart w:id="238" w:name="_Toc29991"/>
      <w:bookmarkStart w:id="239" w:name="_Toc12836"/>
      <w:bookmarkStart w:id="240" w:name="_Toc14751"/>
      <w:bookmarkStart w:id="241" w:name="_Toc13327"/>
      <w:bookmarkStart w:id="242" w:name="_Toc29531"/>
      <w:bookmarkStart w:id="243" w:name="_Toc16535"/>
      <w:r>
        <w:rPr>
          <w:rFonts w:hint="default" w:ascii="Times New Roman" w:hAnsi="Times New Roman" w:eastAsia="仿宋_GB2312" w:cs="Times New Roman"/>
          <w:b/>
          <w:color w:val="auto"/>
          <w:sz w:val="32"/>
          <w:szCs w:val="32"/>
        </w:rPr>
        <w:t>6.6优质水产品</w:t>
      </w:r>
      <w:bookmarkEnd w:id="236"/>
      <w:bookmarkEnd w:id="237"/>
      <w:bookmarkEnd w:id="238"/>
      <w:bookmarkEnd w:id="239"/>
      <w:bookmarkEnd w:id="240"/>
      <w:bookmarkEnd w:id="241"/>
      <w:bookmarkEnd w:id="242"/>
      <w:bookmarkEnd w:id="243"/>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6.6.1发展思路</w:t>
      </w:r>
    </w:p>
    <w:p>
      <w:pPr>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开展水产健康养殖示范创建，</w:t>
      </w:r>
      <w:r>
        <w:rPr>
          <w:rFonts w:hint="default" w:ascii="Times New Roman" w:hAnsi="Times New Roman" w:eastAsia="仿宋_GB2312" w:cs="Times New Roman"/>
          <w:color w:val="auto"/>
          <w:kern w:val="0"/>
          <w:sz w:val="32"/>
          <w:szCs w:val="32"/>
          <w:shd w:val="clear" w:color="auto" w:fill="FFFFFF"/>
          <w:lang w:eastAsia="zh-CN"/>
        </w:rPr>
        <w:t>提质增效，</w:t>
      </w:r>
      <w:r>
        <w:rPr>
          <w:rFonts w:hint="default" w:ascii="Times New Roman" w:hAnsi="Times New Roman" w:eastAsia="仿宋_GB2312" w:cs="Times New Roman"/>
          <w:color w:val="auto"/>
          <w:kern w:val="0"/>
          <w:sz w:val="32"/>
          <w:szCs w:val="32"/>
          <w:shd w:val="clear" w:color="auto" w:fill="FFFFFF"/>
        </w:rPr>
        <w:t>重点发展大水面生态渔业</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稻渔综合种养</w:t>
      </w:r>
      <w:r>
        <w:rPr>
          <w:rFonts w:hint="default" w:ascii="Times New Roman" w:hAnsi="Times New Roman" w:eastAsia="仿宋_GB2312" w:cs="Times New Roman"/>
          <w:color w:val="auto"/>
          <w:kern w:val="0"/>
          <w:sz w:val="32"/>
          <w:szCs w:val="32"/>
          <w:shd w:val="clear" w:color="auto" w:fill="FFFFFF"/>
          <w:lang w:eastAsia="zh-CN"/>
        </w:rPr>
        <w:t>和</w:t>
      </w:r>
      <w:r>
        <w:rPr>
          <w:rFonts w:hint="default" w:ascii="Times New Roman" w:hAnsi="Times New Roman" w:eastAsia="仿宋_GB2312" w:cs="Times New Roman"/>
          <w:color w:val="auto"/>
          <w:kern w:val="0"/>
          <w:sz w:val="32"/>
          <w:szCs w:val="32"/>
          <w:shd w:val="clear" w:color="auto" w:fill="FFFFFF"/>
        </w:rPr>
        <w:t>池塘工程化</w:t>
      </w:r>
      <w:r>
        <w:rPr>
          <w:rFonts w:hint="default" w:ascii="Times New Roman" w:hAnsi="Times New Roman" w:eastAsia="仿宋_GB2312" w:cs="Times New Roman"/>
          <w:color w:val="auto"/>
          <w:kern w:val="0"/>
          <w:sz w:val="32"/>
          <w:szCs w:val="32"/>
          <w:shd w:val="clear" w:color="auto" w:fill="FFFFFF"/>
          <w:lang w:eastAsia="zh-CN"/>
        </w:rPr>
        <w:t>养殖，</w:t>
      </w:r>
      <w:r>
        <w:rPr>
          <w:rFonts w:hint="default" w:ascii="Times New Roman" w:hAnsi="Times New Roman" w:eastAsia="仿宋_GB2312" w:cs="Times New Roman"/>
          <w:color w:val="auto"/>
          <w:kern w:val="0"/>
          <w:sz w:val="32"/>
          <w:szCs w:val="32"/>
          <w:shd w:val="clear" w:color="auto" w:fill="FFFFFF"/>
        </w:rPr>
        <w:t>重点养殖小龙虾</w:t>
      </w:r>
      <w:r>
        <w:rPr>
          <w:rFonts w:hint="default" w:ascii="Times New Roman" w:hAnsi="Times New Roman" w:eastAsia="仿宋_GB2312" w:cs="Times New Roman"/>
          <w:color w:val="auto"/>
          <w:kern w:val="0"/>
          <w:sz w:val="32"/>
          <w:szCs w:val="32"/>
          <w:shd w:val="clear" w:color="auto" w:fill="FFFFFF"/>
          <w:lang w:eastAsia="zh-CN"/>
        </w:rPr>
        <w:t>、黄颡鱼、鲈鱼</w:t>
      </w:r>
      <w:r>
        <w:rPr>
          <w:rFonts w:hint="default" w:ascii="Times New Roman" w:hAnsi="Times New Roman" w:eastAsia="仿宋_GB2312" w:cs="Times New Roman"/>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lang w:eastAsia="zh-CN"/>
        </w:rPr>
        <w:t>黑斑蛙、</w:t>
      </w:r>
      <w:r>
        <w:rPr>
          <w:rFonts w:hint="default" w:ascii="Times New Roman" w:hAnsi="Times New Roman" w:eastAsia="仿宋_GB2312" w:cs="Times New Roman"/>
          <w:color w:val="auto"/>
          <w:kern w:val="0"/>
          <w:sz w:val="32"/>
          <w:szCs w:val="32"/>
          <w:shd w:val="clear" w:color="auto" w:fill="FFFFFF"/>
        </w:rPr>
        <w:t>南美白对虾等新品种，</w:t>
      </w:r>
      <w:r>
        <w:rPr>
          <w:rFonts w:hint="default" w:ascii="Times New Roman" w:hAnsi="Times New Roman" w:eastAsia="仿宋_GB2312" w:cs="Times New Roman"/>
          <w:color w:val="auto"/>
          <w:kern w:val="0"/>
          <w:sz w:val="32"/>
          <w:szCs w:val="32"/>
          <w:shd w:val="clear" w:color="auto" w:fill="FFFFFF"/>
          <w:lang w:eastAsia="zh-CN"/>
        </w:rPr>
        <w:t>支持建设鱼米之乡，探索鱼菜共生、设施养殖模式，</w:t>
      </w:r>
      <w:r>
        <w:rPr>
          <w:rFonts w:hint="default" w:ascii="Times New Roman" w:hAnsi="Times New Roman" w:eastAsia="仿宋_GB2312" w:cs="Times New Roman"/>
          <w:color w:val="auto"/>
          <w:kern w:val="0"/>
          <w:sz w:val="32"/>
          <w:szCs w:val="32"/>
          <w:shd w:val="clear" w:color="auto" w:fill="FFFFFF"/>
        </w:rPr>
        <w:t>着力推进渔业基地</w:t>
      </w:r>
      <w:r>
        <w:rPr>
          <w:rFonts w:hint="default" w:ascii="Times New Roman" w:hAnsi="Times New Roman" w:eastAsia="仿宋_GB2312" w:cs="Times New Roman"/>
          <w:color w:val="auto"/>
          <w:kern w:val="0"/>
          <w:sz w:val="32"/>
          <w:szCs w:val="32"/>
          <w:shd w:val="clear" w:color="auto" w:fill="FFFFFF"/>
          <w:lang w:eastAsia="zh-CN"/>
        </w:rPr>
        <w:t>智能化</w:t>
      </w:r>
      <w:r>
        <w:rPr>
          <w:rFonts w:hint="default" w:ascii="Times New Roman" w:hAnsi="Times New Roman" w:eastAsia="仿宋_GB2312" w:cs="Times New Roman"/>
          <w:color w:val="auto"/>
          <w:kern w:val="0"/>
          <w:sz w:val="32"/>
          <w:szCs w:val="32"/>
          <w:shd w:val="clear" w:color="auto" w:fill="FFFFFF"/>
        </w:rPr>
        <w:t>建设。</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6.6.2区域布局</w:t>
      </w:r>
    </w:p>
    <w:p>
      <w:pPr>
        <w:pStyle w:val="31"/>
        <w:keepNext w:val="0"/>
        <w:keepLines w:val="0"/>
        <w:pageBreakBefore w:val="0"/>
        <w:kinsoku/>
        <w:wordWrap/>
        <w:overflowPunct/>
        <w:topLinePunct w:val="0"/>
        <w:autoSpaceDE/>
        <w:autoSpaceDN/>
        <w:bidi w:val="0"/>
        <w:adjustRightInd/>
        <w:snapToGrid/>
        <w:spacing w:line="540" w:lineRule="exact"/>
        <w:ind w:firstLine="642"/>
        <w:textAlignment w:val="auto"/>
        <w:rPr>
          <w:rFonts w:hint="default" w:ascii="Times New Roman" w:hAnsi="Times New Roman" w:eastAsia="仿宋_GB2312" w:cs="Times New Roman"/>
          <w:color w:val="auto"/>
          <w:sz w:val="32"/>
          <w:szCs w:val="32"/>
          <w:shd w:val="clear" w:color="auto" w:fill="FFFFFF"/>
        </w:rPr>
      </w:pPr>
      <w:r>
        <w:rPr>
          <w:rStyle w:val="33"/>
          <w:rFonts w:hint="default" w:ascii="Times New Roman" w:hAnsi="Times New Roman" w:eastAsia="仿宋_GB2312" w:cs="Times New Roman"/>
          <w:color w:val="auto"/>
          <w:kern w:val="2"/>
          <w:sz w:val="32"/>
          <w:szCs w:val="32"/>
        </w:rPr>
        <w:t>支持象山</w:t>
      </w:r>
      <w:r>
        <w:rPr>
          <w:rStyle w:val="33"/>
          <w:rFonts w:hint="default" w:ascii="Times New Roman" w:hAnsi="Times New Roman" w:eastAsia="仿宋_GB2312" w:cs="Times New Roman"/>
          <w:color w:val="auto"/>
          <w:kern w:val="2"/>
          <w:sz w:val="32"/>
          <w:szCs w:val="32"/>
          <w:lang w:eastAsia="zh-CN"/>
        </w:rPr>
        <w:t>镇</w:t>
      </w:r>
      <w:r>
        <w:rPr>
          <w:rStyle w:val="33"/>
          <w:rFonts w:hint="default" w:ascii="Times New Roman" w:hAnsi="Times New Roman" w:eastAsia="仿宋_GB2312" w:cs="Times New Roman"/>
          <w:color w:val="auto"/>
          <w:kern w:val="2"/>
          <w:sz w:val="32"/>
          <w:szCs w:val="32"/>
        </w:rPr>
        <w:t>、蓬莱</w:t>
      </w:r>
      <w:r>
        <w:rPr>
          <w:rStyle w:val="33"/>
          <w:rFonts w:hint="default" w:ascii="Times New Roman" w:hAnsi="Times New Roman" w:eastAsia="仿宋_GB2312" w:cs="Times New Roman"/>
          <w:color w:val="auto"/>
          <w:kern w:val="2"/>
          <w:sz w:val="32"/>
          <w:szCs w:val="32"/>
          <w:lang w:eastAsia="zh-CN"/>
        </w:rPr>
        <w:t>镇</w:t>
      </w:r>
      <w:r>
        <w:rPr>
          <w:rStyle w:val="33"/>
          <w:rFonts w:hint="default" w:ascii="Times New Roman" w:hAnsi="Times New Roman" w:eastAsia="仿宋_GB2312" w:cs="Times New Roman"/>
          <w:color w:val="auto"/>
          <w:kern w:val="2"/>
          <w:sz w:val="32"/>
          <w:szCs w:val="32"/>
        </w:rPr>
        <w:t>依托郪江</w:t>
      </w:r>
      <w:r>
        <w:rPr>
          <w:rStyle w:val="33"/>
          <w:rFonts w:hint="default" w:ascii="Times New Roman" w:hAnsi="Times New Roman" w:eastAsia="仿宋_GB2312" w:cs="Times New Roman"/>
          <w:color w:val="auto"/>
          <w:kern w:val="2"/>
          <w:sz w:val="32"/>
          <w:szCs w:val="32"/>
          <w:lang w:eastAsia="zh-CN"/>
        </w:rPr>
        <w:t>水产种质资源开展水产良种场创建，支持各镇、</w:t>
      </w:r>
      <w:r>
        <w:rPr>
          <w:rStyle w:val="33"/>
          <w:rFonts w:hint="default" w:ascii="Times New Roman" w:hAnsi="Times New Roman" w:eastAsia="仿宋_GB2312" w:cs="Times New Roman"/>
          <w:color w:val="auto"/>
          <w:kern w:val="2"/>
          <w:sz w:val="32"/>
          <w:szCs w:val="32"/>
        </w:rPr>
        <w:t>盐井街道</w:t>
      </w:r>
      <w:r>
        <w:rPr>
          <w:rStyle w:val="33"/>
          <w:rFonts w:hint="default" w:ascii="Times New Roman" w:hAnsi="Times New Roman" w:eastAsia="仿宋_GB2312" w:cs="Times New Roman"/>
          <w:color w:val="auto"/>
          <w:kern w:val="2"/>
          <w:sz w:val="32"/>
          <w:szCs w:val="32"/>
          <w:lang w:eastAsia="zh-CN"/>
        </w:rPr>
        <w:t>因地制宜发展</w:t>
      </w:r>
      <w:r>
        <w:rPr>
          <w:rStyle w:val="33"/>
          <w:rFonts w:hint="default" w:ascii="Times New Roman" w:hAnsi="Times New Roman" w:eastAsia="仿宋_GB2312" w:cs="Times New Roman"/>
          <w:color w:val="auto"/>
          <w:kern w:val="2"/>
          <w:sz w:val="32"/>
          <w:szCs w:val="32"/>
        </w:rPr>
        <w:t>水库</w:t>
      </w:r>
      <w:r>
        <w:rPr>
          <w:rStyle w:val="33"/>
          <w:rFonts w:hint="default" w:ascii="Times New Roman" w:hAnsi="Times New Roman" w:eastAsia="仿宋_GB2312" w:cs="Times New Roman"/>
          <w:color w:val="auto"/>
          <w:kern w:val="2"/>
          <w:sz w:val="32"/>
          <w:szCs w:val="32"/>
          <w:lang w:eastAsia="zh-CN"/>
        </w:rPr>
        <w:t>大水面生态养殖</w:t>
      </w:r>
      <w:r>
        <w:rPr>
          <w:rStyle w:val="33"/>
          <w:rFonts w:hint="default" w:ascii="Times New Roman" w:hAnsi="Times New Roman" w:eastAsia="仿宋_GB2312" w:cs="Times New Roman"/>
          <w:color w:val="auto"/>
          <w:kern w:val="2"/>
          <w:sz w:val="32"/>
          <w:szCs w:val="32"/>
        </w:rPr>
        <w:t>、</w:t>
      </w:r>
      <w:r>
        <w:rPr>
          <w:rStyle w:val="33"/>
          <w:rFonts w:hint="default" w:ascii="Times New Roman" w:hAnsi="Times New Roman" w:eastAsia="仿宋_GB2312" w:cs="Times New Roman"/>
          <w:color w:val="auto"/>
          <w:kern w:val="2"/>
          <w:sz w:val="32"/>
          <w:szCs w:val="32"/>
          <w:lang w:eastAsia="zh-CN"/>
        </w:rPr>
        <w:t>池塘名特鱼精养</w:t>
      </w:r>
      <w:r>
        <w:rPr>
          <w:rStyle w:val="33"/>
          <w:rFonts w:hint="default" w:ascii="Times New Roman" w:hAnsi="Times New Roman" w:eastAsia="仿宋_GB2312" w:cs="Times New Roman"/>
          <w:color w:val="auto"/>
          <w:kern w:val="2"/>
          <w:sz w:val="32"/>
          <w:szCs w:val="32"/>
        </w:rPr>
        <w:t>和稻</w:t>
      </w:r>
      <w:r>
        <w:rPr>
          <w:rStyle w:val="33"/>
          <w:rFonts w:hint="default" w:ascii="Times New Roman" w:hAnsi="Times New Roman" w:eastAsia="仿宋_GB2312" w:cs="Times New Roman"/>
          <w:color w:val="auto"/>
          <w:kern w:val="2"/>
          <w:sz w:val="32"/>
          <w:szCs w:val="32"/>
          <w:lang w:eastAsia="zh-CN"/>
        </w:rPr>
        <w:t>虾、稻</w:t>
      </w:r>
      <w:r>
        <w:rPr>
          <w:rStyle w:val="33"/>
          <w:rFonts w:hint="default" w:ascii="Times New Roman" w:hAnsi="Times New Roman" w:eastAsia="仿宋_GB2312" w:cs="Times New Roman"/>
          <w:color w:val="auto"/>
          <w:kern w:val="2"/>
          <w:sz w:val="32"/>
          <w:szCs w:val="32"/>
          <w:lang w:val="en-US" w:eastAsia="zh-CN"/>
        </w:rPr>
        <w:t>蛙、稻鱼、稻鳅等稻渔综合种养</w:t>
      </w:r>
      <w:r>
        <w:rPr>
          <w:rStyle w:val="33"/>
          <w:rFonts w:hint="default" w:ascii="Times New Roman" w:hAnsi="Times New Roman" w:eastAsia="仿宋_GB2312" w:cs="Times New Roman"/>
          <w:color w:val="auto"/>
          <w:kern w:val="2"/>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6.6.3发展目标</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outlineLvl w:val="2"/>
        <w:rPr>
          <w:rStyle w:val="33"/>
          <w:rFonts w:hint="default" w:ascii="Times New Roman" w:hAnsi="Times New Roman" w:eastAsia="仿宋_GB2312" w:cs="Times New Roman"/>
          <w:color w:val="auto"/>
          <w:sz w:val="32"/>
          <w:szCs w:val="32"/>
        </w:rPr>
      </w:pPr>
      <w:bookmarkStart w:id="244" w:name="_Toc19253"/>
      <w:bookmarkStart w:id="245" w:name="_Toc21990"/>
      <w:bookmarkStart w:id="246" w:name="_Toc24508"/>
      <w:bookmarkStart w:id="247" w:name="_Toc584"/>
      <w:bookmarkStart w:id="248" w:name="_Toc13255"/>
      <w:bookmarkStart w:id="249" w:name="_Toc17562"/>
      <w:bookmarkStart w:id="250" w:name="_Toc7982"/>
      <w:bookmarkStart w:id="251" w:name="_Toc13413"/>
      <w:r>
        <w:rPr>
          <w:rStyle w:val="33"/>
          <w:rFonts w:hint="default" w:ascii="Times New Roman" w:hAnsi="Times New Roman" w:eastAsia="仿宋_GB2312" w:cs="Times New Roman"/>
          <w:color w:val="auto"/>
          <w:sz w:val="32"/>
          <w:szCs w:val="32"/>
        </w:rPr>
        <w:t>到2025年，发展大水面生态养殖0.9万亩，池塘健康养殖0.7万亩，</w:t>
      </w:r>
    </w:p>
    <w:p>
      <w:pPr>
        <w:keepNext w:val="0"/>
        <w:keepLines w:val="0"/>
        <w:pageBreakBefore w:val="0"/>
        <w:kinsoku/>
        <w:wordWrap/>
        <w:overflowPunct/>
        <w:topLinePunct w:val="0"/>
        <w:autoSpaceDE/>
        <w:autoSpaceDN/>
        <w:bidi w:val="0"/>
        <w:adjustRightInd/>
        <w:snapToGrid/>
        <w:spacing w:line="540" w:lineRule="exact"/>
        <w:ind w:firstLine="0"/>
        <w:jc w:val="left"/>
        <w:textAlignment w:val="auto"/>
        <w:outlineLvl w:val="2"/>
        <w:rPr>
          <w:rStyle w:val="33"/>
          <w:rFonts w:hint="default" w:ascii="Times New Roman" w:hAnsi="Times New Roman" w:eastAsia="仿宋_GB2312" w:cs="Times New Roman"/>
          <w:color w:val="auto"/>
          <w:sz w:val="32"/>
          <w:szCs w:val="32"/>
        </w:rPr>
      </w:pPr>
      <w:r>
        <w:rPr>
          <w:rStyle w:val="33"/>
          <w:rFonts w:hint="default" w:ascii="Times New Roman" w:hAnsi="Times New Roman" w:eastAsia="仿宋_GB2312" w:cs="Times New Roman"/>
          <w:color w:val="auto"/>
          <w:sz w:val="32"/>
          <w:szCs w:val="32"/>
        </w:rPr>
        <w:t>稻渔综合种养0.6万亩，全县水产品养殖面积超过2.2万亩，水产品产量超过0.92万吨，新打造集水产养殖、垂钓、果蔬种植、休闲观光、娱乐、餐饮为一体的农旅基地3个。</w:t>
      </w:r>
    </w:p>
    <w:p>
      <w:pPr>
        <w:keepNext w:val="0"/>
        <w:keepLines w:val="0"/>
        <w:pageBreakBefore w:val="0"/>
        <w:kinsoku/>
        <w:wordWrap/>
        <w:overflowPunct/>
        <w:topLinePunct w:val="0"/>
        <w:autoSpaceDE/>
        <w:autoSpaceDN/>
        <w:bidi w:val="0"/>
        <w:adjustRightInd/>
        <w:snapToGrid/>
        <w:spacing w:line="540" w:lineRule="exact"/>
        <w:ind w:firstLine="0"/>
        <w:jc w:val="left"/>
        <w:textAlignment w:val="auto"/>
        <w:outlineLvl w:val="2"/>
        <w:rPr>
          <w:rFonts w:hint="default" w:ascii="Times New Roman" w:hAnsi="Times New Roman" w:eastAsia="仿宋_GB2312" w:cs="Times New Roman"/>
          <w:b/>
          <w:color w:val="auto"/>
          <w:sz w:val="32"/>
          <w:szCs w:val="32"/>
        </w:rPr>
      </w:pPr>
      <w:r>
        <w:rPr>
          <w:rStyle w:val="33"/>
          <w:rFonts w:hint="default" w:ascii="Times New Roman" w:hAnsi="Times New Roman" w:eastAsia="仿宋_GB2312" w:cs="Times New Roman"/>
          <w:color w:val="auto"/>
          <w:sz w:val="32"/>
          <w:szCs w:val="32"/>
        </w:rPr>
        <w:t xml:space="preserve">   </w:t>
      </w:r>
      <w:r>
        <w:rPr>
          <w:rStyle w:val="33"/>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color w:val="auto"/>
          <w:sz w:val="32"/>
          <w:szCs w:val="32"/>
        </w:rPr>
        <w:t>6.7加快现代农业园区建设</w:t>
      </w:r>
      <w:bookmarkEnd w:id="244"/>
      <w:bookmarkEnd w:id="245"/>
      <w:bookmarkEnd w:id="246"/>
      <w:bookmarkEnd w:id="247"/>
      <w:bookmarkEnd w:id="248"/>
      <w:bookmarkEnd w:id="249"/>
      <w:bookmarkEnd w:id="250"/>
      <w:bookmarkEnd w:id="251"/>
    </w:p>
    <w:p>
      <w:pPr>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6.7.1发展思路</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Style w:val="33"/>
          <w:rFonts w:hint="default" w:ascii="Times New Roman" w:hAnsi="Times New Roman" w:eastAsia="仿宋_GB2312" w:cs="Times New Roman"/>
          <w:color w:val="auto"/>
          <w:sz w:val="32"/>
          <w:szCs w:val="32"/>
        </w:rPr>
      </w:pPr>
      <w:r>
        <w:rPr>
          <w:rStyle w:val="33"/>
          <w:rFonts w:hint="default" w:ascii="Times New Roman" w:hAnsi="Times New Roman" w:eastAsia="仿宋_GB2312" w:cs="Times New Roman"/>
          <w:color w:val="auto"/>
          <w:sz w:val="32"/>
          <w:szCs w:val="32"/>
        </w:rPr>
        <w:t>加快推进乡村产业振兴，大力提档培优特色产业，坚持要素集聚、资源集约、产业集群、功能集成的思路，围绕园区带动、示范引领，补好短板、夯实基础，突出产园互动、示范带动、主体推动、品牌提升、融合发展，以优化</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lang w:val="en-US" w:eastAsia="zh-CN"/>
        </w:rPr>
        <w:t>2+4</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产业体系，以培育果蔬、中药材等特色产业为重点，全面加快建设现代农业园区，着力打造农村改革</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试验田</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、农业科技</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推广站</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、优质品牌</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孵化器</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、现代农业</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样板区</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6.7.2区域布局</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Style w:val="33"/>
          <w:rFonts w:hint="default" w:ascii="Times New Roman" w:hAnsi="Times New Roman" w:eastAsia="仿宋_GB2312" w:cs="Times New Roman"/>
          <w:color w:val="auto"/>
          <w:sz w:val="32"/>
          <w:szCs w:val="32"/>
        </w:rPr>
      </w:pPr>
      <w:r>
        <w:rPr>
          <w:rStyle w:val="33"/>
          <w:rFonts w:hint="default" w:ascii="Times New Roman" w:hAnsi="Times New Roman" w:eastAsia="仿宋_GB2312" w:cs="Times New Roman"/>
          <w:color w:val="auto"/>
          <w:sz w:val="32"/>
          <w:szCs w:val="32"/>
        </w:rPr>
        <w:t>围绕做实培优隆盛中药材、蓬莱柑橘、蓬莱青花椒、卓筒井甜桃、河边柠檬等特色农业园区，加快建设玉峰、河边、象山</w:t>
      </w:r>
      <w:r>
        <w:rPr>
          <w:rStyle w:val="33"/>
          <w:rFonts w:hint="default" w:ascii="Times New Roman" w:hAnsi="Times New Roman" w:eastAsia="仿宋_GB2312" w:cs="Times New Roman"/>
          <w:color w:val="auto"/>
          <w:sz w:val="32"/>
          <w:szCs w:val="32"/>
          <w:lang w:eastAsia="zh-CN"/>
        </w:rPr>
        <w:t>、蓬莱优质</w:t>
      </w:r>
      <w:r>
        <w:rPr>
          <w:rStyle w:val="33"/>
          <w:rFonts w:hint="default" w:ascii="Times New Roman" w:hAnsi="Times New Roman" w:eastAsia="仿宋_GB2312" w:cs="Times New Roman"/>
          <w:color w:val="auto"/>
          <w:sz w:val="32"/>
          <w:szCs w:val="32"/>
        </w:rPr>
        <w:t>粮油，隆盛、蓬莱休闲农业，回马、象山</w:t>
      </w:r>
      <w:r>
        <w:rPr>
          <w:rStyle w:val="33"/>
          <w:rFonts w:hint="default" w:ascii="Times New Roman" w:hAnsi="Times New Roman" w:eastAsia="仿宋_GB2312" w:cs="Times New Roman"/>
          <w:color w:val="auto"/>
          <w:sz w:val="32"/>
          <w:szCs w:val="32"/>
          <w:lang w:eastAsia="zh-CN"/>
        </w:rPr>
        <w:t>优质</w:t>
      </w:r>
      <w:r>
        <w:rPr>
          <w:rStyle w:val="33"/>
          <w:rFonts w:hint="default" w:ascii="Times New Roman" w:hAnsi="Times New Roman" w:eastAsia="仿宋_GB2312" w:cs="Times New Roman"/>
          <w:color w:val="auto"/>
          <w:sz w:val="32"/>
          <w:szCs w:val="32"/>
        </w:rPr>
        <w:t>蔬菜，金元、天保种养循环等现代农业园区，培优优质中药材、九叶青花椒、优质柑橘、柠檬、甜桃、绿色蔬菜等优势产业。鼓励支持各镇、盐井街道大力发展</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一村一品</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多村一品</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特色农业产业精品园，为加快发展现代农业园区奠定基础。</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6.7.3发展目标</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到2025年，建成</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lang w:val="en-US" w:eastAsia="zh-CN"/>
        </w:rPr>
        <w:t>星</w:t>
      </w:r>
      <w:r>
        <w:rPr>
          <w:rFonts w:hint="default" w:ascii="Times New Roman" w:hAnsi="Times New Roman" w:eastAsia="仿宋_GB2312" w:cs="Times New Roman"/>
          <w:color w:val="auto"/>
          <w:sz w:val="32"/>
          <w:szCs w:val="32"/>
        </w:rPr>
        <w:t>级现代农业园区2个（优质中药材</w:t>
      </w:r>
      <w:r>
        <w:rPr>
          <w:rFonts w:hint="default" w:ascii="Times New Roman" w:hAnsi="Times New Roman" w:eastAsia="仿宋_GB2312" w:cs="Times New Roman"/>
          <w:color w:val="auto"/>
          <w:sz w:val="32"/>
          <w:szCs w:val="32"/>
          <w:lang w:eastAsia="zh-CN"/>
        </w:rPr>
        <w:t>、优质粮油</w:t>
      </w:r>
      <w:r>
        <w:rPr>
          <w:rFonts w:hint="default" w:ascii="Times New Roman" w:hAnsi="Times New Roman" w:eastAsia="仿宋_GB2312" w:cs="Times New Roman"/>
          <w:color w:val="auto"/>
          <w:sz w:val="32"/>
          <w:szCs w:val="32"/>
        </w:rPr>
        <w:t>）、市</w:t>
      </w:r>
      <w:r>
        <w:rPr>
          <w:rFonts w:hint="default" w:ascii="Times New Roman" w:hAnsi="Times New Roman" w:eastAsia="仿宋_GB2312" w:cs="Times New Roman"/>
          <w:color w:val="auto"/>
          <w:sz w:val="32"/>
          <w:szCs w:val="32"/>
          <w:lang w:val="en-US" w:eastAsia="zh-CN"/>
        </w:rPr>
        <w:t>星</w:t>
      </w:r>
      <w:r>
        <w:rPr>
          <w:rFonts w:hint="default" w:ascii="Times New Roman" w:hAnsi="Times New Roman" w:eastAsia="仿宋_GB2312" w:cs="Times New Roman"/>
          <w:color w:val="auto"/>
          <w:sz w:val="32"/>
          <w:szCs w:val="32"/>
        </w:rPr>
        <w:t>级现代农业园区4个（优质柑橘、甜桃、优质粮油</w:t>
      </w:r>
      <w:r>
        <w:rPr>
          <w:rFonts w:hint="default" w:ascii="Times New Roman" w:hAnsi="Times New Roman" w:eastAsia="仿宋_GB2312" w:cs="Times New Roman"/>
          <w:color w:val="auto"/>
          <w:sz w:val="32"/>
          <w:szCs w:val="32"/>
          <w:lang w:eastAsia="zh-CN"/>
        </w:rPr>
        <w:t>、优质蔬菜</w:t>
      </w:r>
      <w:r>
        <w:rPr>
          <w:rFonts w:hint="default" w:ascii="Times New Roman" w:hAnsi="Times New Roman" w:eastAsia="仿宋_GB2312" w:cs="Times New Roman"/>
          <w:color w:val="auto"/>
          <w:sz w:val="32"/>
          <w:szCs w:val="32"/>
        </w:rPr>
        <w:t>）、县级现代农业园区3个（柠檬、青花椒、休闲农业、种养循环），</w:t>
      </w:r>
      <w:r>
        <w:rPr>
          <w:rFonts w:hint="default" w:ascii="Times New Roman" w:hAnsi="Times New Roman" w:eastAsia="仿宋_GB2312" w:cs="Times New Roman"/>
          <w:color w:val="auto"/>
          <w:sz w:val="32"/>
          <w:szCs w:val="32"/>
          <w:lang w:eastAsia="zh-CN"/>
        </w:rPr>
        <w:t>力争</w:t>
      </w:r>
      <w:r>
        <w:rPr>
          <w:rFonts w:hint="default" w:ascii="Times New Roman" w:hAnsi="Times New Roman" w:eastAsia="仿宋_GB2312" w:cs="Times New Roman"/>
          <w:color w:val="auto"/>
          <w:sz w:val="32"/>
          <w:szCs w:val="32"/>
          <w:lang w:val="en-US" w:eastAsia="zh-CN"/>
        </w:rPr>
        <w:t>培育</w:t>
      </w:r>
      <w:r>
        <w:rPr>
          <w:rFonts w:hint="default" w:ascii="Times New Roman" w:hAnsi="Times New Roman" w:eastAsia="仿宋_GB2312" w:cs="Times New Roman"/>
          <w:color w:val="auto"/>
          <w:sz w:val="32"/>
          <w:szCs w:val="32"/>
        </w:rPr>
        <w:t>国家级</w:t>
      </w:r>
      <w:r>
        <w:rPr>
          <w:rFonts w:hint="default" w:ascii="Times New Roman" w:hAnsi="Times New Roman" w:eastAsia="仿宋_GB2312" w:cs="Times New Roman"/>
          <w:color w:val="auto"/>
          <w:sz w:val="32"/>
          <w:szCs w:val="32"/>
          <w:lang w:val="en-US" w:eastAsia="zh-CN"/>
        </w:rPr>
        <w:t>现代</w:t>
      </w:r>
      <w:r>
        <w:rPr>
          <w:rFonts w:hint="default" w:ascii="Times New Roman" w:hAnsi="Times New Roman" w:eastAsia="仿宋_GB2312" w:cs="Times New Roman"/>
          <w:color w:val="auto"/>
          <w:sz w:val="32"/>
          <w:szCs w:val="32"/>
        </w:rPr>
        <w:t>农业产业园1个（</w:t>
      </w:r>
      <w:r>
        <w:rPr>
          <w:rFonts w:hint="default" w:ascii="Times New Roman" w:hAnsi="Times New Roman" w:eastAsia="仿宋_GB2312" w:cs="Times New Roman"/>
          <w:color w:val="auto"/>
          <w:sz w:val="32"/>
          <w:szCs w:val="32"/>
          <w:lang w:val="en-US" w:eastAsia="zh-CN"/>
        </w:rPr>
        <w:t>优质粮油）</w:t>
      </w:r>
      <w:r>
        <w:rPr>
          <w:rFonts w:hint="default" w:ascii="Times New Roman" w:hAnsi="Times New Roman" w:eastAsia="仿宋_GB2312" w:cs="Times New Roman"/>
          <w:color w:val="auto"/>
          <w:sz w:val="32"/>
          <w:szCs w:val="32"/>
        </w:rPr>
        <w:t>。通过园区培育带动现代农业发展，全县一批特优农产品品牌擦亮全川跻身全国。特色农业产业体系推动现代农业融合发展、促进农业增产农民增收取得明显成效。</w:t>
      </w:r>
    </w:p>
    <w:p>
      <w:pPr>
        <w:pStyle w:val="29"/>
        <w:rPr>
          <w:rFonts w:hint="default" w:ascii="Times New Roman" w:hAnsi="Times New Roman" w:cs="Times New Roman"/>
          <w:color w:val="auto"/>
        </w:rPr>
      </w:pPr>
      <w:r>
        <w:rPr>
          <w:rFonts w:hint="default" w:ascii="Times New Roman" w:hAnsi="Times New Roman" w:eastAsia="宋体" w:cs="Times New Roman"/>
          <w:color w:val="auto"/>
          <w:sz w:val="28"/>
          <w:szCs w:val="28"/>
          <w:lang w:eastAsia="zh-CN"/>
        </w:rPr>
        <w:drawing>
          <wp:anchor distT="0" distB="0" distL="0" distR="0" simplePos="0" relativeHeight="251660288" behindDoc="0" locked="0" layoutInCell="1" allowOverlap="1">
            <wp:simplePos x="0" y="0"/>
            <wp:positionH relativeFrom="column">
              <wp:posOffset>213360</wp:posOffset>
            </wp:positionH>
            <wp:positionV relativeFrom="paragraph">
              <wp:posOffset>41910</wp:posOffset>
            </wp:positionV>
            <wp:extent cx="5078730" cy="2230755"/>
            <wp:effectExtent l="0" t="0" r="7620" b="17145"/>
            <wp:wrapSquare wrapText="bothSides"/>
            <wp:docPr id="29" name="图片 18" descr="_1【14.6cm×10.3cm】"/>
            <wp:cNvGraphicFramePr/>
            <a:graphic xmlns:a="http://schemas.openxmlformats.org/drawingml/2006/main">
              <a:graphicData uri="http://schemas.openxmlformats.org/drawingml/2006/picture">
                <pic:pic xmlns:pic="http://schemas.openxmlformats.org/drawingml/2006/picture">
                  <pic:nvPicPr>
                    <pic:cNvPr id="29" name="图片 18" descr="_1【14.6cm×10.3cm】"/>
                    <pic:cNvPicPr/>
                  </pic:nvPicPr>
                  <pic:blipFill>
                    <a:blip r:embed="rId18"/>
                    <a:stretch>
                      <a:fillRect/>
                    </a:stretch>
                  </pic:blipFill>
                  <pic:spPr>
                    <a:xfrm>
                      <a:off x="0" y="0"/>
                      <a:ext cx="5078730" cy="2230755"/>
                    </a:xfrm>
                    <a:prstGeom prst="rect">
                      <a:avLst/>
                    </a:prstGeom>
                    <a:noFill/>
                    <a:ln w="9525" cap="flat" cmpd="sng">
                      <a:noFill/>
                      <a:prstDash val="solid"/>
                      <a:round/>
                    </a:ln>
                  </pic:spPr>
                </pic:pic>
              </a:graphicData>
            </a:graphic>
          </wp:anchor>
        </w:drawing>
      </w:r>
    </w:p>
    <w:p>
      <w:pPr>
        <w:jc w:val="left"/>
        <w:rPr>
          <w:rFonts w:hint="default" w:ascii="Times New Roman" w:hAnsi="Times New Roman" w:eastAsia="宋体" w:cs="Times New Roman"/>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 w:val="0"/>
          <w:bCs/>
          <w:color w:val="auto"/>
          <w:sz w:val="32"/>
          <w:szCs w:val="32"/>
        </w:rPr>
      </w:pPr>
    </w:p>
    <w:p>
      <w:pPr>
        <w:pStyle w:val="27"/>
        <w:rPr>
          <w:rFonts w:hint="default" w:ascii="Times New Roman" w:hAnsi="Times New Roman" w:eastAsia="黑体" w:cs="Times New Roman"/>
          <w:b w:val="0"/>
          <w:bCs/>
          <w:color w:val="auto"/>
          <w:sz w:val="32"/>
          <w:szCs w:val="32"/>
        </w:rPr>
      </w:pPr>
    </w:p>
    <w:p>
      <w:pPr>
        <w:pStyle w:val="27"/>
        <w:rPr>
          <w:rFonts w:hint="default" w:ascii="Times New Roman" w:hAnsi="Times New Roman" w:eastAsia="黑体"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现代农业园区规划分布图</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252" w:name="_Toc533"/>
      <w:bookmarkStart w:id="253" w:name="_Toc26498"/>
      <w:bookmarkStart w:id="254" w:name="_Toc25914"/>
      <w:bookmarkStart w:id="255" w:name="_Toc1690"/>
      <w:bookmarkStart w:id="256" w:name="_Toc22370"/>
      <w:bookmarkStart w:id="257" w:name="_Toc7014"/>
      <w:bookmarkStart w:id="258" w:name="_Toc30290"/>
      <w:bookmarkStart w:id="259" w:name="_Toc12491"/>
      <w:r>
        <w:rPr>
          <w:rFonts w:hint="default" w:ascii="Times New Roman" w:hAnsi="Times New Roman" w:eastAsia="仿宋_GB2312" w:cs="Times New Roman"/>
          <w:b/>
          <w:color w:val="auto"/>
          <w:sz w:val="32"/>
          <w:szCs w:val="32"/>
        </w:rPr>
        <w:t>6.8优化产业支撑体系</w:t>
      </w:r>
      <w:bookmarkEnd w:id="252"/>
      <w:bookmarkEnd w:id="253"/>
      <w:bookmarkEnd w:id="254"/>
      <w:bookmarkEnd w:id="255"/>
      <w:bookmarkEnd w:id="256"/>
      <w:bookmarkEnd w:id="257"/>
      <w:bookmarkEnd w:id="258"/>
      <w:bookmarkEnd w:id="259"/>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6.8.1适时发展现代种业</w:t>
      </w:r>
    </w:p>
    <w:p>
      <w:pPr>
        <w:pStyle w:val="31"/>
        <w:spacing w:line="560" w:lineRule="exact"/>
        <w:ind w:firstLine="642"/>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现代种业是现代农业基础</w:t>
      </w:r>
      <w:r>
        <w:rPr>
          <w:rFonts w:hint="default" w:ascii="Times New Roman" w:hAnsi="Times New Roman" w:eastAsia="仿宋_GB2312" w:cs="Times New Roman"/>
          <w:color w:val="auto"/>
          <w:kern w:val="2"/>
          <w:sz w:val="32"/>
          <w:szCs w:val="32"/>
          <w:lang w:val="en-US" w:eastAsia="zh-CN" w:bidi="ar-SA"/>
        </w:rPr>
        <w:t>性产业，2016年中央一号文件就明确提出“加快推进现代种业发展”“加快推进海南、甘肃、四川国家级育种制种基地和区域性良种繁育基地建设”，2023年中央一号文件强调“实施种业振兴行动，全面实施生物育种重大项目”，国家农业农村“十四五”规划将把“数字农业农村和现</w:t>
      </w:r>
      <w:r>
        <w:rPr>
          <w:rFonts w:hint="default" w:ascii="Times New Roman" w:hAnsi="Times New Roman" w:eastAsia="仿宋_GB2312" w:cs="Times New Roman"/>
          <w:color w:val="auto"/>
          <w:sz w:val="32"/>
          <w:szCs w:val="32"/>
          <w:shd w:val="clear" w:color="auto" w:fill="FFFFFF"/>
        </w:rPr>
        <w:t>代种业</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等列为</w:t>
      </w:r>
      <w:r>
        <w:rPr>
          <w:rFonts w:hint="default" w:ascii="Times New Roman" w:hAnsi="Times New Roman" w:eastAsia="仿宋_GB2312" w:cs="Times New Roman"/>
          <w:color w:val="auto"/>
          <w:kern w:val="2"/>
          <w:sz w:val="32"/>
          <w:szCs w:val="32"/>
          <w:lang w:val="en-US" w:eastAsia="zh-CN" w:bidi="ar-SA"/>
        </w:rPr>
        <w:t>重点发展领域、提出“推进种业振兴”</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lang w:val="en-US" w:eastAsia="zh-CN" w:bidi="ar-SA"/>
        </w:rPr>
        <w:t>“十四五”时期，大英县要适时发展现代种业。依托地处亚热带湿润气候</w:t>
      </w:r>
      <w:r>
        <w:rPr>
          <w:rFonts w:hint="default" w:ascii="Times New Roman" w:hAnsi="Times New Roman" w:eastAsia="仿宋_GB2312" w:cs="Times New Roman"/>
          <w:color w:val="auto"/>
          <w:sz w:val="32"/>
          <w:szCs w:val="32"/>
          <w:shd w:val="clear" w:color="auto" w:fill="FFFFFF"/>
        </w:rPr>
        <w:t>丘陵生态优势区和国家级</w:t>
      </w:r>
      <w:r>
        <w:rPr>
          <w:rFonts w:hint="default" w:ascii="Times New Roman" w:hAnsi="Times New Roman" w:eastAsia="仿宋_GB2312" w:cs="Times New Roman"/>
          <w:color w:val="auto"/>
          <w:sz w:val="32"/>
          <w:szCs w:val="32"/>
        </w:rPr>
        <w:t>生猪养殖标准化示范区，</w:t>
      </w:r>
      <w:r>
        <w:rPr>
          <w:rFonts w:hint="default" w:ascii="Times New Roman" w:hAnsi="Times New Roman" w:eastAsia="仿宋_GB2312" w:cs="Times New Roman"/>
          <w:color w:val="auto"/>
          <w:sz w:val="32"/>
          <w:szCs w:val="32"/>
          <w:shd w:val="clear" w:color="auto" w:fill="FFFFFF"/>
        </w:rPr>
        <w:t>紧紧抓住主要粮食作物新一轮品种更新换代的良好契机，切实加强与省内外农业科研院（校、所）合作，促进和支持</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校+企</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紧密合作，加快培育和引进具有较强竞争力的现代种业企业，围绕优质粮油、生态畜禽、道地中药材和优质果蔬等产业，努力培育和推广适宜丘陵地区、适应机械化生产、优质高产多抗广适新品种5到10个，建设发展标准化种业基地面积2000亩以上。</w:t>
      </w:r>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6.8.2加快现代农业装备业的发展</w:t>
      </w:r>
    </w:p>
    <w:p>
      <w:pPr>
        <w:pStyle w:val="31"/>
        <w:spacing w:line="560" w:lineRule="exact"/>
        <w:ind w:firstLine="642"/>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加快农业机械和设施装备的研发生产和广泛运用，是推进农业和农村现代化发展进程的重</w:t>
      </w:r>
      <w:r>
        <w:rPr>
          <w:rFonts w:hint="default" w:ascii="Times New Roman" w:hAnsi="Times New Roman" w:eastAsia="仿宋_GB2312" w:cs="Times New Roman"/>
          <w:color w:val="auto"/>
          <w:kern w:val="2"/>
          <w:sz w:val="32"/>
          <w:szCs w:val="32"/>
          <w:lang w:val="en-US" w:eastAsia="zh-CN" w:bidi="ar-SA"/>
        </w:rPr>
        <w:t>要物质保障。“十四五”期间，</w:t>
      </w:r>
      <w:r>
        <w:rPr>
          <w:rFonts w:hint="default" w:ascii="Times New Roman" w:hAnsi="Times New Roman" w:eastAsia="仿宋_GB2312" w:cs="Times New Roman"/>
          <w:color w:val="auto"/>
          <w:sz w:val="32"/>
          <w:szCs w:val="32"/>
          <w:shd w:val="clear" w:color="auto" w:fill="FFFFFF"/>
        </w:rPr>
        <w:t>大英县要抓住国家和省市加快现代农业各项有利政策和重点机遇，不断改善农机作业条件，加强农机人才培养，大力推广先进适用农机装备，切实提高主要粮经作物和畜禽水产的生产、加工水平，加快发展设施农业和智慧农业。到2025年，全县农田宜机化整治面积10万亩以上，设施农业面积达到600万平方米（约9000亩）以上，新增先进适用农机装备1500台（套）以上。</w:t>
      </w:r>
    </w:p>
    <w:p>
      <w:pPr>
        <w:pStyle w:val="31"/>
        <w:spacing w:line="560" w:lineRule="exact"/>
        <w:ind w:firstLine="642"/>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1、加快改善农机作业基础条件。一是</w:t>
      </w:r>
      <w:r>
        <w:rPr>
          <w:rFonts w:hint="default" w:ascii="Times New Roman" w:hAnsi="Times New Roman" w:eastAsia="仿宋_GB2312" w:cs="Times New Roman"/>
          <w:color w:val="auto"/>
          <w:sz w:val="32"/>
          <w:szCs w:val="32"/>
          <w:shd w:val="clear" w:color="auto" w:fill="FFFFFF"/>
        </w:rPr>
        <w:t>提高农机作业便利程度。根据国家</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重点支持丘陵山区开展农田</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shd w:val="clear" w:color="auto" w:fill="FFFFFF"/>
        </w:rPr>
        <w:t>宜机化</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改造</w:t>
      </w:r>
      <w:r>
        <w:rPr>
          <w:rFonts w:hint="default" w:ascii="Times New Roman" w:hAnsi="Times New Roman" w:eastAsia="仿宋_GB2312" w:cs="Times New Roman"/>
          <w:color w:val="auto"/>
          <w:sz w:val="32"/>
          <w:szCs w:val="32"/>
          <w:shd w:val="clear" w:color="auto" w:fill="FFFFFF"/>
          <w:lang w:eastAsia="zh-CN"/>
        </w:rPr>
        <w:t>、四川省</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五良融合宜机化改造”，</w:t>
      </w:r>
      <w:r>
        <w:rPr>
          <w:rFonts w:hint="default" w:ascii="Times New Roman" w:hAnsi="Times New Roman" w:eastAsia="仿宋_GB2312" w:cs="Times New Roman"/>
          <w:color w:val="auto"/>
          <w:sz w:val="32"/>
          <w:szCs w:val="32"/>
          <w:shd w:val="clear" w:color="auto" w:fill="FFFFFF"/>
        </w:rPr>
        <w:t>扩展大中型农机运用空间，加快补齐丘陵山区农业机械化基础条件薄弱的短板</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的精神要求，尽快探索制定丘陵地区高标准农田建设、农村土地综合整治等方面制度、标准、规范和实施细则，明确田间道路、田块长度宽度与平整度等</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宜机化</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要求，加强建设监理和验收评价。统筹中央和地方各类相关资金及社会资本积极开展高标准农田建设，推动农田地块小并大、短并长、陡变平、弯变直和互联互通，切实改善农机通行和作业条件，提高农机适应性，丘陵田块</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宜机化</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作业条件明显改善。</w:t>
      </w:r>
      <w:r>
        <w:rPr>
          <w:rFonts w:hint="default" w:ascii="Times New Roman" w:hAnsi="Times New Roman" w:eastAsia="仿宋_GB2312" w:cs="Times New Roman"/>
          <w:b/>
          <w:bCs/>
          <w:color w:val="auto"/>
          <w:sz w:val="32"/>
          <w:szCs w:val="32"/>
          <w:shd w:val="clear" w:color="auto" w:fill="FFFFFF"/>
        </w:rPr>
        <w:t>二是</w:t>
      </w:r>
      <w:r>
        <w:rPr>
          <w:rFonts w:hint="default" w:ascii="Times New Roman" w:hAnsi="Times New Roman" w:eastAsia="仿宋_GB2312" w:cs="Times New Roman"/>
          <w:color w:val="auto"/>
          <w:sz w:val="32"/>
          <w:szCs w:val="32"/>
          <w:shd w:val="clear" w:color="auto" w:fill="FFFFFF"/>
        </w:rPr>
        <w:t>改善农机作业配套设施条件。落实设施农用地、新型农业经营主体建设用地、农业生产用电等相关政策，支持农机合作社等农机服务组织生产条件建设。加强县级统筹规划，合理布局农机具存放和维修、农作物育秧育苗以及农产品产地烘干和初加工等农机作业服务配套设施。在年度建设用地指标中，优先安排农机合作社等新型农业经营主体用地，并按规定减免相关税费。可将晒场、烘干、机具库棚等配套设施纳入高标准农田建设范围，可建设县域农机安全应急救援中心，提高农机安全监理执法、快速救援、机具抢修和跨区作业实时监测调度等能力。</w:t>
      </w:r>
    </w:p>
    <w:p>
      <w:pPr>
        <w:pStyle w:val="31"/>
        <w:spacing w:line="560" w:lineRule="exact"/>
        <w:ind w:firstLine="642"/>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2、切实加强农机人才培养。</w:t>
      </w:r>
      <w:r>
        <w:rPr>
          <w:rFonts w:hint="default" w:ascii="Times New Roman" w:hAnsi="Times New Roman" w:eastAsia="仿宋_GB2312" w:cs="Times New Roman"/>
          <w:color w:val="auto"/>
          <w:sz w:val="32"/>
          <w:szCs w:val="32"/>
          <w:shd w:val="clear" w:color="auto" w:fill="FFFFFF"/>
        </w:rPr>
        <w:t>推动实施产教融合、校企合作，支持优势农机企业与学校共建共享工程创新基地、实践基地、实训基地。实施新型职业农民培育工程，加大对农机大户、农机合作社带头人的扶持力度。大力遴选和培养农机使用一线</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土专家</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弘扬工匠精神，充分发挥基层实用人才在推动技术进步和机械化生产中的重要作用。通过购买服务、项目支持等方式，支持农机生产企业、农机合作社培养农机操作、维修等实用技能型人才。加强基层农机推广人员岗位技能培养和知识更新，鼓励大中专毕业生、退伍军人、科技人员等返乡下乡创办领办新型农机服务组织，打造一支懂农业、爱农村、爱农民的一线农机人才队伍。</w:t>
      </w:r>
    </w:p>
    <w:p>
      <w:pPr>
        <w:pStyle w:val="31"/>
        <w:spacing w:line="560" w:lineRule="exact"/>
        <w:ind w:firstLine="642"/>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rPr>
        <w:t>3、大力推广先进适用农机装备。一是</w:t>
      </w:r>
      <w:r>
        <w:rPr>
          <w:rFonts w:hint="default" w:ascii="Times New Roman" w:hAnsi="Times New Roman" w:eastAsia="仿宋_GB2312" w:cs="Times New Roman"/>
          <w:color w:val="auto"/>
          <w:sz w:val="32"/>
          <w:szCs w:val="32"/>
          <w:shd w:val="clear" w:color="auto" w:fill="FFFFFF"/>
        </w:rPr>
        <w:t>加强绿色高效新机具新技术示范推广。围绕农业结构调整，加快果蔬、畜牧水产、道地中药材、现代种业、设施农业和农产品初加工等产业的农机装备和技术发展，推进农业生产全面机械化。稳定实施农机购置补贴政策，对购买国内外农机产品一视同仁，最大限度发挥政策效益，大力支持保护性耕作、秸秆还田离田、精量播种、精准施药、高效施肥、水肥一体化、节水灌溉、残膜回收利用、饲草料高效收获加工、病死畜禽无害化处理及畜禽粪污资源化利用等绿色高效机械装备和技术的示范推广。加大农机新产品补贴试点力度，可考虑对日光温室和连栋温室等农业设施进行补贴，支持大马力、高性能、智能化和特色、复式农机新装备示范推广。鼓励金融机构针对权属清晰的大型农机装备开展抵押贷款，可探索对购买大型农机装备贷款进行贴息。规范和促进植保无人机推广应用。</w:t>
      </w:r>
      <w:r>
        <w:rPr>
          <w:rFonts w:hint="default" w:ascii="Times New Roman" w:hAnsi="Times New Roman" w:eastAsia="仿宋_GB2312" w:cs="Times New Roman"/>
          <w:b/>
          <w:bCs/>
          <w:color w:val="auto"/>
          <w:sz w:val="32"/>
          <w:szCs w:val="32"/>
          <w:shd w:val="clear" w:color="auto" w:fill="FFFFFF"/>
        </w:rPr>
        <w:t>二是</w:t>
      </w:r>
      <w:r>
        <w:rPr>
          <w:rFonts w:hint="default" w:ascii="Times New Roman" w:hAnsi="Times New Roman" w:eastAsia="仿宋_GB2312" w:cs="Times New Roman"/>
          <w:color w:val="auto"/>
          <w:sz w:val="32"/>
          <w:szCs w:val="32"/>
          <w:shd w:val="clear" w:color="auto" w:fill="FFFFFF"/>
        </w:rPr>
        <w:t>推动智慧农业示范应用。促进物联网、大数据、移动互联网、智能控制、卫星定位等信息技术在农机装备和农机作业上的应用。支持优势企业对接重点用户，形成研发生产与推广应用相互促进机制，实现智能化、绿色化、服务化转型。建设大田作物精准耕作、智慧养殖、园艺作物智能化生产等数字农业示范基地，推进智能农机与智慧农业、云农场建设等融合发展。推进</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互联网+农机作业</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，加快推广应用农机作业监测、维修诊断、远程调度等信息化服务平台，实现数据信息互联共享，提高农机作业质量与效率。</w:t>
      </w:r>
      <w:r>
        <w:rPr>
          <w:rFonts w:hint="default" w:ascii="Times New Roman" w:hAnsi="Times New Roman" w:eastAsia="仿宋_GB2312" w:cs="Times New Roman"/>
          <w:b/>
          <w:bCs/>
          <w:color w:val="auto"/>
          <w:sz w:val="32"/>
          <w:szCs w:val="32"/>
          <w:shd w:val="clear" w:color="auto" w:fill="FFFFFF"/>
        </w:rPr>
        <w:t>三是</w:t>
      </w:r>
      <w:r>
        <w:rPr>
          <w:rFonts w:hint="default" w:ascii="Times New Roman" w:hAnsi="Times New Roman" w:eastAsia="仿宋_GB2312" w:cs="Times New Roman"/>
          <w:color w:val="auto"/>
          <w:sz w:val="32"/>
          <w:szCs w:val="32"/>
          <w:shd w:val="clear" w:color="auto" w:fill="FFFFFF"/>
        </w:rPr>
        <w:t>提高农业机械化技术推广能力。推行政府购买服务，鼓励农机科研推广人员与农机生产企业、新型农业经营主体开展技术合作，支持农机生产企业、科研教学单位、农机服务组织等广泛参与技术推广。运用现代信息技术，创新</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田间日</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等体验式、参与式推广新方式，切实提升农业机械化技术推广效果。</w:t>
      </w:r>
    </w:p>
    <w:p>
      <w:pPr>
        <w:widowControl/>
        <w:spacing w:line="560" w:lineRule="exact"/>
        <w:ind w:firstLine="643" w:firstLineChars="200"/>
        <w:jc w:val="lef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6.8.3加强农产品仓储冷链物流建设</w:t>
      </w:r>
    </w:p>
    <w:p>
      <w:pPr>
        <w:spacing w:line="560" w:lineRule="exact"/>
        <w:ind w:firstLine="640" w:firstLineChars="200"/>
        <w:rPr>
          <w:rFonts w:hint="default" w:ascii="Times New Roman" w:hAnsi="Times New Roman" w:eastAsia="仿宋_GB2312" w:cs="Times New Roman"/>
          <w:color w:val="auto"/>
          <w:kern w:val="0"/>
          <w:sz w:val="32"/>
          <w:szCs w:val="32"/>
          <w:lang w:val="mn-Mong-CN" w:bidi="mn-Mong-CN"/>
        </w:rPr>
      </w:pPr>
      <w:r>
        <w:rPr>
          <w:rFonts w:hint="default" w:ascii="Times New Roman" w:hAnsi="Times New Roman" w:eastAsia="仿宋_GB2312" w:cs="Times New Roman"/>
          <w:color w:val="auto"/>
          <w:kern w:val="0"/>
          <w:sz w:val="32"/>
          <w:szCs w:val="32"/>
          <w:shd w:val="clear" w:color="auto" w:fill="FFFFFF"/>
        </w:rPr>
        <w:t>按照自主建设、定额补助、先建后补的原则，鼓励引导在产业重点镇和中心村推广</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田头市场+新型农业经营主体+农户</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的模式，支持新型农业经营主体根据实际需求选择建设设施类型和规模，新建或改扩建农产品仓储保鲜冷链</w:t>
      </w:r>
      <w:r>
        <w:rPr>
          <w:rFonts w:hint="default" w:ascii="Times New Roman" w:hAnsi="Times New Roman" w:eastAsia="仿宋_GB2312" w:cs="Times New Roman"/>
          <w:color w:val="auto"/>
          <w:sz w:val="32"/>
          <w:szCs w:val="32"/>
        </w:rPr>
        <w:t>设施。到2025年，新建或改造冷冻</w:t>
      </w:r>
      <w:r>
        <w:rPr>
          <w:rFonts w:hint="default" w:ascii="Times New Roman" w:hAnsi="Times New Roman" w:eastAsia="仿宋_GB2312" w:cs="Times New Roman"/>
          <w:color w:val="auto"/>
          <w:kern w:val="0"/>
          <w:sz w:val="32"/>
          <w:szCs w:val="32"/>
          <w:shd w:val="clear" w:color="auto" w:fill="FFFFFF"/>
        </w:rPr>
        <w:t>库80座，新增库容2500吨；新建保鲜库6座，新增库容3000吨；新建烘干库20座，新增库容20000吨；新增冷链运输车辆10台。围绕重点特色产业基地，配套建设农产品产地初加工及流通设施。在隆盛镇、河边镇规划建设农产品交易中心2个，在蓬莱镇规划建设农产品集散市场1个，全县配套建设农产品小型冷冻库50个，同时支持富鑫、柠香柠檬等龙头企业和腾英农业公司配套建设用于水果、蔬菜或粮油贮藏保鲜大型冷库2个。</w:t>
      </w:r>
      <w:bookmarkStart w:id="260" w:name="_Toc32567"/>
      <w:bookmarkStart w:id="261" w:name="_Toc26933"/>
      <w:bookmarkStart w:id="262" w:name="_Toc697"/>
      <w:bookmarkStart w:id="263" w:name="_Toc15055"/>
      <w:bookmarkStart w:id="264" w:name="_Toc16607"/>
      <w:bookmarkStart w:id="265" w:name="_Toc17659"/>
      <w:bookmarkStart w:id="266" w:name="_Toc895"/>
    </w:p>
    <w:p>
      <w:pPr>
        <w:spacing w:line="560" w:lineRule="exact"/>
        <w:rPr>
          <w:rFonts w:hint="default" w:ascii="Times New Roman" w:hAnsi="Times New Roman" w:eastAsia="黑体" w:cs="Times New Roman"/>
          <w:color w:val="auto"/>
          <w:kern w:val="0"/>
          <w:sz w:val="28"/>
          <w:szCs w:val="28"/>
          <w:lang w:val="mn-Mong-CN" w:bidi="mn-Mong-CN"/>
        </w:rPr>
      </w:pPr>
      <w:r>
        <w:rPr>
          <w:rFonts w:hint="default" w:ascii="Times New Roman" w:hAnsi="Times New Roman" w:eastAsia="黑体" w:cs="Times New Roman"/>
          <w:color w:val="auto"/>
          <w:kern w:val="0"/>
          <w:sz w:val="28"/>
          <w:szCs w:val="28"/>
          <w:lang w:val="mn-Mong-CN" w:bidi="mn-Mong-CN"/>
        </w:rPr>
        <w:br w:type="page"/>
      </w:r>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mn-Mong-CN" w:bidi="mn-Mong-CN"/>
        </w:rPr>
      </w:pPr>
      <w:bookmarkStart w:id="267" w:name="_Toc20041"/>
      <w:r>
        <w:rPr>
          <w:rFonts w:hint="default" w:ascii="Times New Roman" w:hAnsi="Times New Roman" w:eastAsia="黑体" w:cs="Times New Roman"/>
          <w:color w:val="auto"/>
          <w:kern w:val="0"/>
          <w:sz w:val="32"/>
          <w:szCs w:val="32"/>
          <w:lang w:val="mn-Mong-CN" w:bidi="mn-Mong-CN"/>
        </w:rPr>
        <w:t>第七章  积极构建现代农业生产体系</w:t>
      </w:r>
      <w:bookmarkEnd w:id="260"/>
      <w:bookmarkEnd w:id="261"/>
      <w:bookmarkEnd w:id="262"/>
      <w:bookmarkEnd w:id="263"/>
      <w:bookmarkEnd w:id="264"/>
      <w:bookmarkEnd w:id="265"/>
      <w:bookmarkEnd w:id="266"/>
      <w:bookmarkEnd w:id="267"/>
    </w:p>
    <w:p>
      <w:pPr>
        <w:keepNext w:val="0"/>
        <w:keepLines w:val="0"/>
        <w:pageBreakBefore w:val="0"/>
        <w:kinsoku/>
        <w:wordWrap/>
        <w:overflowPunct/>
        <w:topLinePunct w:val="0"/>
        <w:autoSpaceDE/>
        <w:autoSpaceDN/>
        <w:bidi w:val="0"/>
        <w:adjustRightInd/>
        <w:snapToGrid/>
        <w:spacing w:line="560" w:lineRule="exact"/>
        <w:ind w:firstLine="643" w:firstLineChars="200"/>
        <w:jc w:val="both"/>
        <w:outlineLvl w:val="2"/>
        <w:rPr>
          <w:rFonts w:hint="default" w:ascii="Times New Roman" w:hAnsi="Times New Roman" w:eastAsia="仿宋_GB2312" w:cs="Times New Roman"/>
          <w:b/>
          <w:color w:val="auto"/>
          <w:sz w:val="32"/>
          <w:szCs w:val="32"/>
        </w:rPr>
      </w:pPr>
      <w:bookmarkStart w:id="268" w:name="_Toc4144"/>
      <w:bookmarkStart w:id="269" w:name="_Toc22531"/>
      <w:bookmarkStart w:id="270" w:name="_Toc3575"/>
      <w:bookmarkStart w:id="271" w:name="_Toc31051"/>
      <w:bookmarkStart w:id="272" w:name="_Toc26318"/>
      <w:bookmarkStart w:id="273" w:name="_Toc7984"/>
      <w:bookmarkStart w:id="274" w:name="_Toc6276"/>
      <w:bookmarkStart w:id="275" w:name="_Toc12572"/>
      <w:r>
        <w:rPr>
          <w:rFonts w:hint="default" w:ascii="Times New Roman" w:hAnsi="Times New Roman" w:eastAsia="仿宋_GB2312" w:cs="Times New Roman"/>
          <w:b/>
          <w:color w:val="auto"/>
          <w:sz w:val="32"/>
          <w:szCs w:val="32"/>
        </w:rPr>
        <w:t>7.1加强基础设施建设，提高综合生产能力</w:t>
      </w:r>
      <w:bookmarkEnd w:id="268"/>
      <w:bookmarkEnd w:id="269"/>
      <w:bookmarkEnd w:id="270"/>
      <w:bookmarkEnd w:id="271"/>
      <w:bookmarkEnd w:id="272"/>
      <w:bookmarkEnd w:id="273"/>
      <w:bookmarkEnd w:id="274"/>
      <w:bookmarkEnd w:id="275"/>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7.1.1加大高标准农田建设力度</w:t>
      </w:r>
    </w:p>
    <w:p>
      <w:pPr>
        <w:keepNext w:val="0"/>
        <w:keepLines w:val="0"/>
        <w:pageBreakBefore w:val="0"/>
        <w:widowControl/>
        <w:kinsoku/>
        <w:wordWrap/>
        <w:overflowPunct/>
        <w:topLinePunct w:val="0"/>
        <w:autoSpaceDE/>
        <w:autoSpaceDN/>
        <w:bidi w:val="0"/>
        <w:adjustRightInd/>
        <w:snapToGrid/>
        <w:spacing w:line="560" w:lineRule="exact"/>
        <w:ind w:firstLine="641"/>
        <w:jc w:val="both"/>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按照</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集中连片、旱涝保收、宜机作业、节水高效、稳产高产、生态友好</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要求，实施耕地质量保护和提升行动，持续推进中低产田改造，完成高标准农田建设。统筹规划设计和科学组织实施，提高农田产能与环境综合承载力。突出园区配套和产业提效两个重点，集中有序实施农田整治、农田灌排渠系、机耕道路和耕地质量提升项目，通过推进农业综合开发、病</w:t>
      </w:r>
      <w:r>
        <w:rPr>
          <w:rFonts w:hint="default" w:ascii="Times New Roman" w:hAnsi="Times New Roman" w:eastAsia="仿宋_GB2312" w:cs="Times New Roman"/>
          <w:color w:val="auto"/>
          <w:sz w:val="32"/>
          <w:szCs w:val="32"/>
        </w:rPr>
        <w:t>险水库除险加固、高标准农田建设、土地治理、基本口粮田建设、低产田改造、测土配方施肥等项目，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期间，每年建设高产稳产标准粮田</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万亩</w:t>
      </w:r>
      <w:r>
        <w:rPr>
          <w:rFonts w:hint="default" w:ascii="Times New Roman" w:hAnsi="Times New Roman" w:eastAsia="仿宋_GB2312" w:cs="Times New Roman"/>
          <w:color w:val="auto"/>
          <w:sz w:val="32"/>
          <w:szCs w:val="32"/>
          <w:lang w:val="en-US" w:eastAsia="zh-CN"/>
        </w:rPr>
        <w:t>以上</w:t>
      </w:r>
      <w:r>
        <w:rPr>
          <w:rFonts w:hint="default" w:ascii="Times New Roman" w:hAnsi="Times New Roman" w:eastAsia="仿宋_GB2312" w:cs="Times New Roman"/>
          <w:color w:val="auto"/>
          <w:sz w:val="32"/>
          <w:szCs w:val="32"/>
        </w:rPr>
        <w:t>。抓好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占补平衡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补充耕地的质量评定、监测和建设工作，加强土壤污染防治和生态修复，保护耕地土壤环境。到2025年，全县高标准农田</w:t>
      </w:r>
      <w:r>
        <w:rPr>
          <w:rFonts w:hint="default" w:ascii="Times New Roman" w:hAnsi="Times New Roman" w:eastAsia="仿宋_GB2312" w:cs="Times New Roman"/>
          <w:color w:val="auto"/>
          <w:sz w:val="32"/>
          <w:szCs w:val="32"/>
          <w:lang w:eastAsia="zh-CN"/>
        </w:rPr>
        <w:t>建设占比达</w:t>
      </w:r>
      <w:r>
        <w:rPr>
          <w:rFonts w:hint="default" w:ascii="Times New Roman" w:hAnsi="Times New Roman" w:eastAsia="仿宋_GB2312" w:cs="Times New Roman"/>
          <w:color w:val="auto"/>
          <w:sz w:val="32"/>
          <w:szCs w:val="32"/>
          <w:lang w:val="en-US" w:eastAsia="zh-CN"/>
        </w:rPr>
        <w:t>到90%以上</w:t>
      </w:r>
      <w:r>
        <w:rPr>
          <w:rFonts w:hint="default" w:ascii="Times New Roman" w:hAnsi="Times New Roman" w:eastAsia="仿宋_GB2312" w:cs="Times New Roman"/>
          <w:color w:val="auto"/>
          <w:sz w:val="32"/>
          <w:szCs w:val="32"/>
        </w:rPr>
        <w:t>；耕地基础地力</w:t>
      </w:r>
      <w:r>
        <w:rPr>
          <w:rFonts w:hint="default" w:ascii="Times New Roman" w:hAnsi="Times New Roman" w:eastAsia="仿宋_GB2312" w:cs="Times New Roman"/>
          <w:color w:val="auto"/>
          <w:kern w:val="0"/>
          <w:sz w:val="32"/>
          <w:szCs w:val="32"/>
          <w:shd w:val="clear" w:color="auto" w:fill="FFFFFF"/>
        </w:rPr>
        <w:t>提高1个等级，土壤有机质含量提高5个百分点。</w:t>
      </w:r>
    </w:p>
    <w:p>
      <w:pPr>
        <w:pStyle w:val="31"/>
        <w:keepNext w:val="0"/>
        <w:keepLines w:val="0"/>
        <w:pageBreakBefore w:val="0"/>
        <w:kinsoku/>
        <w:wordWrap/>
        <w:overflowPunct/>
        <w:topLinePunct w:val="0"/>
        <w:autoSpaceDE/>
        <w:autoSpaceDN/>
        <w:bidi w:val="0"/>
        <w:adjustRightInd/>
        <w:snapToGrid/>
        <w:spacing w:line="560" w:lineRule="exact"/>
        <w:ind w:firstLine="642"/>
        <w:jc w:val="both"/>
        <w:rPr>
          <w:rFonts w:hint="default" w:ascii="Times New Roman" w:hAnsi="Times New Roman" w:eastAsia="仿宋_GB2312" w:cs="Times New Roman"/>
          <w:b/>
          <w:bCs/>
          <w:color w:val="auto"/>
          <w:kern w:val="2"/>
          <w:sz w:val="32"/>
          <w:szCs w:val="32"/>
        </w:rPr>
      </w:pPr>
      <w:r>
        <w:rPr>
          <w:rFonts w:hint="default" w:ascii="Times New Roman" w:hAnsi="Times New Roman" w:eastAsia="仿宋_GB2312" w:cs="Times New Roman"/>
          <w:b/>
          <w:bCs/>
          <w:color w:val="auto"/>
          <w:kern w:val="2"/>
          <w:sz w:val="32"/>
          <w:szCs w:val="32"/>
        </w:rPr>
        <w:t>7.1.2加强农村水利设施建设</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加快骨干水利工程建设，持续推进祥凤寨水库供水工程II标段建设，加快实施寸塘口、五五、星花三座中型水库枢纽除险加固整治工程，</w:t>
      </w:r>
      <w:r>
        <w:rPr>
          <w:rFonts w:hint="default" w:ascii="Times New Roman" w:hAnsi="Times New Roman" w:eastAsia="仿宋_GB2312" w:cs="Times New Roman"/>
          <w:color w:val="auto"/>
          <w:sz w:val="32"/>
          <w:szCs w:val="32"/>
          <w:lang w:val="en-US" w:eastAsia="zh-CN"/>
        </w:rPr>
        <w:t>加快</w:t>
      </w:r>
      <w:r>
        <w:rPr>
          <w:rFonts w:hint="default" w:ascii="Times New Roman" w:hAnsi="Times New Roman" w:eastAsia="仿宋_GB2312" w:cs="Times New Roman"/>
          <w:color w:val="auto"/>
          <w:sz w:val="32"/>
          <w:szCs w:val="32"/>
        </w:rPr>
        <w:t>涪江右岸大英县回马镇段防洪工程等重</w:t>
      </w:r>
      <w:r>
        <w:rPr>
          <w:rFonts w:hint="default" w:ascii="Times New Roman" w:hAnsi="Times New Roman" w:eastAsia="仿宋_GB2312" w:cs="Times New Roman"/>
          <w:color w:val="auto"/>
          <w:sz w:val="32"/>
          <w:szCs w:val="32"/>
          <w:lang w:val="en-US" w:eastAsia="zh-CN"/>
        </w:rPr>
        <w:t>点</w:t>
      </w:r>
      <w:r>
        <w:rPr>
          <w:rFonts w:hint="default" w:ascii="Times New Roman" w:hAnsi="Times New Roman" w:eastAsia="仿宋_GB2312" w:cs="Times New Roman"/>
          <w:color w:val="auto"/>
          <w:sz w:val="32"/>
          <w:szCs w:val="32"/>
        </w:rPr>
        <w:t>水利项目建设</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打通农田灌溉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最后一公里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力开展灌区续建配套和节水改造，完成都江堰大英县区续建配套与节水改造火井支渠工程建设。加强农村水渠、塘堰等改造升级，畅通农村水系。实施农业综合开发水土保持项目，加快推进水土流失综合治理。建立完善农田水利建设长效机制，加强提灌站等设施建设与管护，提高农田灌溉能力。</w:t>
      </w:r>
    </w:p>
    <w:p>
      <w:pPr>
        <w:pStyle w:val="31"/>
        <w:keepNext w:val="0"/>
        <w:keepLines w:val="0"/>
        <w:pageBreakBefore w:val="0"/>
        <w:kinsoku/>
        <w:wordWrap/>
        <w:overflowPunct/>
        <w:topLinePunct w:val="0"/>
        <w:autoSpaceDE/>
        <w:autoSpaceDN/>
        <w:bidi w:val="0"/>
        <w:adjustRightInd/>
        <w:snapToGrid/>
        <w:spacing w:line="560" w:lineRule="exact"/>
        <w:ind w:firstLine="642"/>
        <w:jc w:val="both"/>
        <w:rPr>
          <w:rFonts w:hint="default" w:ascii="Times New Roman" w:hAnsi="Times New Roman" w:eastAsia="仿宋_GB2312" w:cs="Times New Roman"/>
          <w:b/>
          <w:bCs/>
          <w:color w:val="auto"/>
          <w:kern w:val="2"/>
          <w:sz w:val="32"/>
          <w:szCs w:val="32"/>
        </w:rPr>
      </w:pPr>
      <w:r>
        <w:rPr>
          <w:rFonts w:hint="default" w:ascii="Times New Roman" w:hAnsi="Times New Roman" w:eastAsia="仿宋_GB2312" w:cs="Times New Roman"/>
          <w:b/>
          <w:bCs/>
          <w:color w:val="auto"/>
          <w:kern w:val="2"/>
          <w:sz w:val="32"/>
          <w:szCs w:val="32"/>
        </w:rPr>
        <w:t>7.1.3加快土地开发与整理</w:t>
      </w:r>
    </w:p>
    <w:p>
      <w:pPr>
        <w:pStyle w:val="31"/>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shd w:val="clear" w:color="auto" w:fill="FFFFFF"/>
        </w:rPr>
        <w:t>通</w:t>
      </w:r>
      <w:r>
        <w:rPr>
          <w:rFonts w:hint="default" w:ascii="Times New Roman" w:hAnsi="Times New Roman" w:eastAsia="仿宋_GB2312" w:cs="Times New Roman"/>
          <w:color w:val="auto"/>
          <w:kern w:val="2"/>
          <w:sz w:val="32"/>
          <w:szCs w:val="32"/>
          <w:lang w:val="en-US" w:eastAsia="zh-CN" w:bidi="ar-SA"/>
        </w:rPr>
        <w:t>过实施土地整理项目区土地平整、灌溉排水、田间道路等工程的实施，新增耕地面积，提升耕地质量等级，建成集中连片、设施配套、高产稳产、生态良好、抗灾能力强，与现代农业生产和经营方式相适应的高标准农田，切实改善项目区的生产生活条件，增加项目区的农民收入，为农村产业发展和规模经营创造条件，为新农村建设夯实基础。</w:t>
      </w:r>
    </w:p>
    <w:p>
      <w:pPr>
        <w:pStyle w:val="31"/>
        <w:keepNext w:val="0"/>
        <w:keepLines w:val="0"/>
        <w:pageBreakBefore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bCs/>
          <w:color w:val="auto"/>
          <w:sz w:val="32"/>
          <w:szCs w:val="32"/>
        </w:rPr>
        <w:t>7.1.4大力推进农业机械化</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大力发展智慧农业、数字农业，加</w:t>
      </w:r>
      <w:r>
        <w:rPr>
          <w:rFonts w:hint="default" w:ascii="Times New Roman" w:hAnsi="Times New Roman" w:eastAsia="仿宋_GB2312" w:cs="Times New Roman"/>
          <w:color w:val="auto"/>
          <w:kern w:val="0"/>
          <w:sz w:val="32"/>
          <w:szCs w:val="32"/>
          <w:shd w:val="clear" w:color="auto" w:fill="FFFFFF"/>
          <w:lang w:val="en-US" w:eastAsia="zh-CN"/>
        </w:rPr>
        <w:t>快</w:t>
      </w:r>
      <w:r>
        <w:rPr>
          <w:rFonts w:hint="default" w:ascii="Times New Roman" w:hAnsi="Times New Roman" w:eastAsia="仿宋_GB2312" w:cs="Times New Roman"/>
          <w:color w:val="auto"/>
          <w:kern w:val="0"/>
          <w:sz w:val="32"/>
          <w:szCs w:val="32"/>
          <w:shd w:val="clear" w:color="auto" w:fill="FFFFFF"/>
        </w:rPr>
        <w:t>推进农业信息化、机械化，加大先进适用农</w:t>
      </w:r>
      <w:r>
        <w:rPr>
          <w:rFonts w:hint="default" w:ascii="Times New Roman" w:hAnsi="Times New Roman" w:eastAsia="仿宋_GB2312" w:cs="Times New Roman"/>
          <w:color w:val="auto"/>
          <w:kern w:val="0"/>
          <w:sz w:val="32"/>
          <w:szCs w:val="32"/>
          <w:shd w:val="clear" w:color="auto" w:fill="FFFFFF"/>
          <w:lang w:val="en-US" w:eastAsia="zh-CN"/>
        </w:rPr>
        <w:t>业</w:t>
      </w:r>
      <w:r>
        <w:rPr>
          <w:rFonts w:hint="default" w:ascii="Times New Roman" w:hAnsi="Times New Roman" w:eastAsia="仿宋_GB2312" w:cs="Times New Roman"/>
          <w:color w:val="auto"/>
          <w:kern w:val="0"/>
          <w:sz w:val="32"/>
          <w:szCs w:val="32"/>
          <w:shd w:val="clear" w:color="auto" w:fill="FFFFFF"/>
        </w:rPr>
        <w:t>机具推广应用力度。继续实施农机购置补贴，鼓励农户和新型农业经营主体购置先进适用农业机械，加快老旧农业机械的报备更新工作，促进农机装备优化，提升农机装备水平。聚焦耕整地、种植、收获、植保、烘干、秸秆处理等环节，加快实现水稻、小麦、玉米、油菜等粮油作物全程机械化。积极推广主要经济作物机播机收技术，突破生产机械化瓶颈。加快现代畜牧业、水产养殖业适用机械设备推广，积极发展喷灌滴灌、智能温室圈舍、自动饲喂等先进设施，加快普及高性能、低成本、易操作的农业设施装备，提高农业生产精细化、自动化、智能化水平。大力发展高效生态、节能环保农业机械，促进设施装备升级和农机农艺融合。</w:t>
      </w:r>
      <w:r>
        <w:rPr>
          <w:rFonts w:hint="default" w:ascii="Times New Roman" w:hAnsi="Times New Roman" w:eastAsia="仿宋_GB2312" w:cs="Times New Roman"/>
          <w:color w:val="auto"/>
          <w:sz w:val="32"/>
          <w:szCs w:val="32"/>
        </w:rPr>
        <w:t>到2025年，新建农机培训及检测中心1处、农机库棚2万平方米、建立区域性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全程机械化+综合农事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服务中心2处、推广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（良种、良法、良制、良</w:t>
      </w:r>
      <w:r>
        <w:rPr>
          <w:rFonts w:hint="default" w:ascii="Times New Roman" w:hAnsi="Times New Roman" w:eastAsia="仿宋_GB2312" w:cs="Times New Roman"/>
          <w:color w:val="auto"/>
          <w:sz w:val="32"/>
          <w:szCs w:val="32"/>
          <w:lang w:val="en-US" w:eastAsia="zh-CN"/>
        </w:rPr>
        <w:t>田</w:t>
      </w:r>
      <w:r>
        <w:rPr>
          <w:rFonts w:hint="default" w:ascii="Times New Roman" w:hAnsi="Times New Roman" w:eastAsia="仿宋_GB2312" w:cs="Times New Roman"/>
          <w:color w:val="auto"/>
          <w:sz w:val="32"/>
          <w:szCs w:val="32"/>
        </w:rPr>
        <w:t>、良机）示范区0.5万亩、改（新）建机电提灌站15处、配套中小型药用农机50台、中药材烘烤工场2处，全县农业机械总动力达到27万千瓦，主要农作物综合机械化水平达7</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p>
    <w:p>
      <w:pPr>
        <w:pStyle w:val="31"/>
        <w:keepNext w:val="0"/>
        <w:keepLines w:val="0"/>
        <w:pageBreakBefore w:val="0"/>
        <w:kinsoku/>
        <w:wordWrap/>
        <w:overflowPunct/>
        <w:topLinePunct w:val="0"/>
        <w:autoSpaceDE/>
        <w:autoSpaceDN/>
        <w:bidi w:val="0"/>
        <w:adjustRightInd/>
        <w:snapToGrid/>
        <w:spacing w:line="560" w:lineRule="exact"/>
        <w:ind w:firstLine="642"/>
        <w:jc w:val="both"/>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bCs/>
          <w:color w:val="auto"/>
          <w:sz w:val="32"/>
          <w:szCs w:val="32"/>
        </w:rPr>
        <w:t>7.1.5扎实推进防灾减灾能力建设</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color w:val="auto"/>
          <w:kern w:val="0"/>
          <w:sz w:val="32"/>
          <w:szCs w:val="32"/>
          <w:shd w:val="clear" w:color="auto" w:fill="FFFFFF"/>
        </w:rPr>
      </w:pPr>
      <w:bookmarkStart w:id="276" w:name="_Toc481566640"/>
      <w:r>
        <w:rPr>
          <w:rFonts w:hint="default" w:ascii="Times New Roman" w:hAnsi="Times New Roman" w:eastAsia="仿宋_GB2312" w:cs="Times New Roman"/>
          <w:b/>
          <w:bCs/>
          <w:color w:val="auto"/>
          <w:kern w:val="0"/>
          <w:sz w:val="32"/>
          <w:szCs w:val="32"/>
          <w:shd w:val="clear" w:color="auto" w:fill="FFFFFF"/>
        </w:rPr>
        <w:t>1、强化气象为农服务功能。</w:t>
      </w:r>
      <w:bookmarkEnd w:id="276"/>
      <w:r>
        <w:rPr>
          <w:rFonts w:hint="default" w:ascii="Times New Roman" w:hAnsi="Times New Roman" w:eastAsia="仿宋_GB2312" w:cs="Times New Roman"/>
          <w:color w:val="auto"/>
          <w:kern w:val="0"/>
          <w:sz w:val="32"/>
          <w:szCs w:val="32"/>
          <w:shd w:val="clear" w:color="auto" w:fill="FFFFFF"/>
        </w:rPr>
        <w:t>拓展气象为农服务领域，畅通气象信息发布渠道，增强农业气象灾害监测预警、预报服务、应对准备、应急处置能力，提高预报准确度，提升预警信息发布时效性。</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color w:val="auto"/>
          <w:kern w:val="0"/>
          <w:sz w:val="32"/>
          <w:szCs w:val="32"/>
          <w:shd w:val="clear" w:color="auto" w:fill="FFFFFF"/>
        </w:rPr>
      </w:pPr>
      <w:bookmarkStart w:id="277" w:name="_Toc481566641"/>
      <w:r>
        <w:rPr>
          <w:rFonts w:hint="default" w:ascii="Times New Roman" w:hAnsi="Times New Roman" w:eastAsia="仿宋_GB2312" w:cs="Times New Roman"/>
          <w:b/>
          <w:bCs/>
          <w:color w:val="auto"/>
          <w:kern w:val="0"/>
          <w:sz w:val="32"/>
          <w:szCs w:val="32"/>
          <w:shd w:val="clear" w:color="auto" w:fill="FFFFFF"/>
        </w:rPr>
        <w:t>2、完善灾害防控体系。</w:t>
      </w:r>
      <w:bookmarkEnd w:id="277"/>
      <w:r>
        <w:rPr>
          <w:rFonts w:hint="default" w:ascii="Times New Roman" w:hAnsi="Times New Roman" w:eastAsia="仿宋_GB2312" w:cs="Times New Roman"/>
          <w:color w:val="auto"/>
          <w:kern w:val="0"/>
          <w:sz w:val="32"/>
          <w:szCs w:val="32"/>
          <w:shd w:val="clear" w:color="auto" w:fill="FFFFFF"/>
        </w:rPr>
        <w:t>修订完善农业灾害应急预案，建立农业灾害预警台账，健全县、乡、村三级农业灾害防控网络，全面压实各方工作责任，增强农业灾害预警监测、应急处置和救援能力。</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color w:val="auto"/>
          <w:kern w:val="0"/>
          <w:sz w:val="32"/>
          <w:szCs w:val="32"/>
          <w:shd w:val="clear" w:color="auto" w:fill="FFFFFF"/>
        </w:rPr>
      </w:pPr>
      <w:bookmarkStart w:id="278" w:name="_Toc481566642"/>
      <w:r>
        <w:rPr>
          <w:rFonts w:hint="default" w:ascii="Times New Roman" w:hAnsi="Times New Roman" w:eastAsia="仿宋_GB2312" w:cs="Times New Roman"/>
          <w:b/>
          <w:bCs/>
          <w:color w:val="auto"/>
          <w:kern w:val="0"/>
          <w:sz w:val="32"/>
          <w:szCs w:val="32"/>
          <w:shd w:val="clear" w:color="auto" w:fill="FFFFFF"/>
        </w:rPr>
        <w:t>3、加强动植物重大疫病防控。</w:t>
      </w:r>
      <w:bookmarkEnd w:id="278"/>
      <w:r>
        <w:rPr>
          <w:rFonts w:hint="default" w:ascii="Times New Roman" w:hAnsi="Times New Roman" w:eastAsia="仿宋_GB2312" w:cs="Times New Roman"/>
          <w:color w:val="auto"/>
          <w:kern w:val="0"/>
          <w:sz w:val="32"/>
          <w:szCs w:val="32"/>
          <w:shd w:val="clear" w:color="auto" w:fill="FFFFFF"/>
        </w:rPr>
        <w:t>加强种子苗木检疫监管和农作物重大疫情监测预警及阻截防控。通过政府购买服务等方式，推进农作物病虫害监测预警、联防联控、统防统治和绿色防控体系建设，推进绿色防控与统防统治融合，建设绿色植保体系。健全动物疫病联防机制，严格落实强制免疫、产地检疫、监测预警、消毒灭源、应急处置、病死畜禽无害化处理等防控措施。建立分工明确、布局合理的动物疫情监测和流行病学调查网络，做好动物疫病监测预警预报，持续防控非洲猪瘟，实施小反刍兽疫消灭计划，统筹做好狂犬病等人畜共患病防控。加强疫情应急处置建设，完善应急防疫物资储备。完善动物及动物产品检疫指定通道和申报点规范化建设，加强动物卫生监督管理，进一步完善疫情处置和扑杀补贴机制，推进区域性兽用生物制品质量检测工作。到2025年，新建种猪场消洗中心3处、物资中转消洗中心1处、全国农作物病虫疫情监测中心（省级）田间监测点3处、动物疫病预防控制中心兽医实验室1处、镇（街）动物诊疗中心9处、水生动物疫病防治3处等。</w:t>
      </w:r>
    </w:p>
    <w:p>
      <w:pPr>
        <w:keepNext w:val="0"/>
        <w:keepLines w:val="0"/>
        <w:pageBreakBefore w:val="0"/>
        <w:kinsoku/>
        <w:wordWrap/>
        <w:overflowPunct/>
        <w:topLinePunct w:val="0"/>
        <w:autoSpaceDE/>
        <w:autoSpaceDN/>
        <w:bidi w:val="0"/>
        <w:adjustRightInd/>
        <w:snapToGrid/>
        <w:spacing w:line="560" w:lineRule="exact"/>
        <w:ind w:firstLine="643" w:firstLineChars="200"/>
        <w:jc w:val="both"/>
        <w:outlineLvl w:val="2"/>
        <w:rPr>
          <w:rFonts w:hint="default" w:ascii="Times New Roman" w:hAnsi="Times New Roman" w:eastAsia="仿宋_GB2312" w:cs="Times New Roman"/>
          <w:b/>
          <w:color w:val="auto"/>
          <w:sz w:val="32"/>
          <w:szCs w:val="32"/>
        </w:rPr>
      </w:pPr>
      <w:bookmarkStart w:id="279" w:name="_Toc1291"/>
      <w:bookmarkStart w:id="280" w:name="_Toc13670"/>
      <w:bookmarkStart w:id="281" w:name="_Toc9971"/>
      <w:bookmarkStart w:id="282" w:name="_Toc24981"/>
      <w:bookmarkStart w:id="283" w:name="_Toc6155"/>
      <w:bookmarkStart w:id="284" w:name="_Toc32734"/>
      <w:bookmarkStart w:id="285" w:name="_Toc21362"/>
      <w:bookmarkStart w:id="286" w:name="_Toc4135"/>
      <w:r>
        <w:rPr>
          <w:rFonts w:hint="default" w:ascii="Times New Roman" w:hAnsi="Times New Roman" w:eastAsia="仿宋_GB2312" w:cs="Times New Roman"/>
          <w:b/>
          <w:color w:val="auto"/>
          <w:sz w:val="32"/>
          <w:szCs w:val="32"/>
        </w:rPr>
        <w:t>7.2加强环境保护，实现农业可持续发展</w:t>
      </w:r>
      <w:bookmarkEnd w:id="279"/>
      <w:bookmarkEnd w:id="280"/>
      <w:bookmarkEnd w:id="281"/>
      <w:bookmarkEnd w:id="282"/>
      <w:bookmarkEnd w:id="283"/>
      <w:bookmarkEnd w:id="284"/>
      <w:bookmarkEnd w:id="285"/>
      <w:bookmarkEnd w:id="286"/>
    </w:p>
    <w:p>
      <w:pPr>
        <w:pStyle w:val="31"/>
        <w:keepNext w:val="0"/>
        <w:keepLines w:val="0"/>
        <w:pageBreakBefore w:val="0"/>
        <w:kinsoku/>
        <w:wordWrap/>
        <w:overflowPunct/>
        <w:topLinePunct w:val="0"/>
        <w:autoSpaceDE/>
        <w:autoSpaceDN/>
        <w:bidi w:val="0"/>
        <w:adjustRightInd/>
        <w:snapToGrid/>
        <w:spacing w:line="560" w:lineRule="exact"/>
        <w:ind w:firstLine="642"/>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7.2.1加强</w:t>
      </w:r>
      <w:r>
        <w:rPr>
          <w:rFonts w:hint="default" w:ascii="Times New Roman" w:hAnsi="Times New Roman" w:eastAsia="仿宋_GB2312" w:cs="Times New Roman"/>
          <w:b/>
          <w:bCs/>
          <w:color w:val="auto"/>
          <w:sz w:val="32"/>
          <w:szCs w:val="32"/>
          <w:lang w:val="zh-CN"/>
        </w:rPr>
        <w:t>生态环境保护和修复</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大力实施生态保护与修复重大工程，完善重要生态系统保护制度，把山水林田湖草作为一个生命共同体，统一保护、统一修复，促进</w:t>
      </w:r>
      <w:r>
        <w:rPr>
          <w:rFonts w:hint="default" w:ascii="Times New Roman" w:hAnsi="Times New Roman" w:eastAsia="仿宋_GB2312" w:cs="Times New Roman"/>
          <w:color w:val="auto"/>
          <w:sz w:val="32"/>
          <w:szCs w:val="32"/>
        </w:rPr>
        <w:t>生态</w:t>
      </w:r>
      <w:r>
        <w:rPr>
          <w:rFonts w:hint="default" w:ascii="Times New Roman" w:hAnsi="Times New Roman" w:eastAsia="仿宋_GB2312" w:cs="Times New Roman"/>
          <w:color w:val="auto"/>
          <w:sz w:val="32"/>
          <w:szCs w:val="32"/>
          <w:lang w:val="zh-CN"/>
        </w:rPr>
        <w:t>环境稳步改善，自然生态系统功能和稳定性全面提升。</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zh-CN"/>
        </w:rPr>
        <w:t>强化资源保护与节约利用。</w:t>
      </w:r>
      <w:r>
        <w:rPr>
          <w:rFonts w:hint="default" w:ascii="Times New Roman" w:hAnsi="Times New Roman" w:eastAsia="仿宋_GB2312" w:cs="Times New Roman"/>
          <w:color w:val="auto"/>
          <w:sz w:val="32"/>
          <w:szCs w:val="32"/>
          <w:lang w:val="zh-CN"/>
        </w:rPr>
        <w:t>全面普查动植物种质资源，加强动植物种质资源保护利用，加强乡村区域开发强度和产业门类发展控制，严守农业“两区面积”和林业“保护地面积”红线，全面禁止天然林商品性采伐，加强森林防灾减灾体系建设，</w:t>
      </w:r>
      <w:r>
        <w:rPr>
          <w:rFonts w:hint="default" w:ascii="Times New Roman" w:hAnsi="Times New Roman" w:eastAsia="仿宋_GB2312" w:cs="Times New Roman"/>
          <w:color w:val="auto"/>
          <w:sz w:val="32"/>
          <w:szCs w:val="32"/>
        </w:rPr>
        <w:t>森林火灾</w:t>
      </w:r>
      <w:r>
        <w:rPr>
          <w:rFonts w:hint="default" w:ascii="Times New Roman" w:hAnsi="Times New Roman" w:eastAsia="仿宋_GB2312" w:cs="Times New Roman"/>
          <w:color w:val="auto"/>
          <w:sz w:val="32"/>
          <w:szCs w:val="32"/>
          <w:lang w:eastAsia="zh-CN"/>
        </w:rPr>
        <w:t>受害率</w:t>
      </w:r>
      <w:r>
        <w:rPr>
          <w:rFonts w:hint="default" w:ascii="Times New Roman" w:hAnsi="Times New Roman" w:eastAsia="仿宋_GB2312" w:cs="Times New Roman"/>
          <w:color w:val="auto"/>
          <w:sz w:val="32"/>
          <w:szCs w:val="32"/>
        </w:rPr>
        <w:t>控制在0.</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以内，林业有害生物成灾率控制在</w:t>
      </w:r>
      <w:r>
        <w:rPr>
          <w:rFonts w:hint="default" w:ascii="Times New Roman" w:hAnsi="Times New Roman" w:eastAsia="仿宋_GB2312" w:cs="Times New Roman"/>
          <w:color w:val="auto"/>
          <w:sz w:val="32"/>
          <w:szCs w:val="32"/>
          <w:lang w:val="en-US" w:eastAsia="zh-CN"/>
        </w:rPr>
        <w:t>3.7‰</w:t>
      </w:r>
      <w:r>
        <w:rPr>
          <w:rFonts w:hint="default" w:ascii="Times New Roman" w:hAnsi="Times New Roman" w:eastAsia="仿宋_GB2312" w:cs="Times New Roman"/>
          <w:color w:val="auto"/>
          <w:sz w:val="32"/>
          <w:szCs w:val="32"/>
        </w:rPr>
        <w:t>以内</w:t>
      </w:r>
      <w:r>
        <w:rPr>
          <w:rFonts w:hint="default" w:ascii="Times New Roman" w:hAnsi="Times New Roman" w:eastAsia="仿宋_GB2312" w:cs="Times New Roman"/>
          <w:color w:val="auto"/>
          <w:sz w:val="32"/>
          <w:szCs w:val="32"/>
          <w:lang w:val="zh-CN"/>
        </w:rPr>
        <w:t>；完善耕地、渔业水域等农业资源环境管控制度，严格控制未利用地开垦，落实和完善耕地占补平衡制度，推进建设占用耕地耕作层土壤剥离再利用；健全耕地森林河流休养生息制度，在保证粮食安全和不影响农民收入的前提下，降低耕地、森林河流开发利用强度，实施轮作休耕试点；强化渔业资源管控与养护，在水生生物保护区实施全面禁捕，扩大人工增殖放流规模，全面严格落实长江流域十年禁捕行动；加强郪江水生生物保护。实施水资源消耗总量和强度双控行动，强化用水过程管理，深入开展大中型灌区农业节水综合示范，推进灌溉用水定额管理，建立节约高效的农业用水制度，推广畜牧渔业节水，稳步推进农村生活节水；因地制宜、多能互补发展太阳能和生物质能，推进农村沼气能源建设。结合新农村建设，推广应用保温、省地、隔热新型建筑材料，引导建设节能及绿色农房。</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zh-CN"/>
        </w:rPr>
        <w:t>加强生态环境建设。</w:t>
      </w:r>
      <w:r>
        <w:rPr>
          <w:rFonts w:hint="default" w:ascii="Times New Roman" w:hAnsi="Times New Roman" w:eastAsia="仿宋_GB2312" w:cs="Times New Roman"/>
          <w:color w:val="auto"/>
          <w:sz w:val="32"/>
          <w:szCs w:val="32"/>
          <w:lang w:val="zh-CN"/>
        </w:rPr>
        <w:t>继续实施好天然林资源保护工程，加强自然保护地和生物多样性保护，坚守生态公益林和林地保护红线，深入推进造林增绿，增香添彩，扎实开展退耕还林、封山育林、森林质量精准提升和湿地公园建设等生态修复工程，强化河流、铁路、公路沿线生态走廊建设，在全县重点江河流域、重要水源地、湖库周边及库区消落带，营造沿江环湖防护林带、生态隔离带、生态景观林带和经济林产业带。到</w:t>
      </w:r>
      <w:r>
        <w:rPr>
          <w:rFonts w:hint="default" w:ascii="Times New Roman" w:hAnsi="Times New Roman" w:eastAsia="仿宋_GB2312" w:cs="Times New Roman"/>
          <w:color w:val="auto"/>
          <w:sz w:val="32"/>
          <w:szCs w:val="32"/>
        </w:rPr>
        <w:t>2025年末</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森林覆盖率</w:t>
      </w:r>
      <w:r>
        <w:rPr>
          <w:rFonts w:hint="default" w:ascii="Times New Roman" w:hAnsi="Times New Roman" w:eastAsia="仿宋_GB2312" w:cs="Times New Roman"/>
          <w:color w:val="auto"/>
          <w:sz w:val="32"/>
          <w:szCs w:val="32"/>
          <w:lang w:eastAsia="zh-CN"/>
        </w:rPr>
        <w:t>（不含“四旁树”）稳定保持在</w:t>
      </w:r>
      <w:r>
        <w:rPr>
          <w:rFonts w:hint="default" w:ascii="Times New Roman" w:hAnsi="Times New Roman" w:eastAsia="仿宋_GB2312" w:cs="Times New Roman"/>
          <w:color w:val="auto"/>
          <w:sz w:val="32"/>
          <w:szCs w:val="32"/>
          <w:lang w:val="en-US" w:eastAsia="zh-CN"/>
        </w:rPr>
        <w:t>24.56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以上</w:t>
      </w:r>
      <w:r>
        <w:rPr>
          <w:rFonts w:hint="default" w:ascii="Times New Roman" w:hAnsi="Times New Roman" w:eastAsia="仿宋_GB2312" w:cs="Times New Roman"/>
          <w:color w:val="auto"/>
          <w:sz w:val="32"/>
          <w:szCs w:val="32"/>
          <w:lang w:val="zh-CN"/>
        </w:rPr>
        <w:t>；实施生物多样性保护工程，全面加强野生动植物保护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zh-CN"/>
        </w:rPr>
        <w:t>确保县境内95%的重点野生动植物得到有效保护；加强土壤环境质量调查与监测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zh-CN"/>
        </w:rPr>
        <w:t>加强受污染耕地和污染地块的治理与修复。</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zh-CN"/>
        </w:rPr>
        <w:t>健全水治理体系。</w:t>
      </w:r>
      <w:r>
        <w:rPr>
          <w:rFonts w:hint="default" w:ascii="Times New Roman" w:hAnsi="Times New Roman" w:eastAsia="仿宋_GB2312" w:cs="Times New Roman"/>
          <w:color w:val="auto"/>
          <w:sz w:val="32"/>
          <w:szCs w:val="32"/>
          <w:lang w:val="zh-CN"/>
        </w:rPr>
        <w:t>落实河长制，把重要天然湿地、水库、渠道全面纳入河长制工作。完善县、乡、村三级河长责任体系，构建起责任明确、协调有序、监管严格、保护有力的河湖管理保护机制。落实基层河长巡河制度，深入开展河长巡河和清河、护岸、净水、保水四项行动，推进河湖面貌和水生态环境整体改善。加强水域岸线管理，依法划定河道、库、渠、堰管理范围。加强入河（库、渠）排污口规范整治和重点流域污染治理，实施小流域水生态修复，推进水库和塘堰“清水工程”、水土保持工程、水利风景区建设。</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rPr>
        <w:t>4、</w:t>
      </w:r>
      <w:r>
        <w:rPr>
          <w:rFonts w:hint="default" w:ascii="Times New Roman" w:hAnsi="Times New Roman" w:eastAsia="仿宋_GB2312" w:cs="Times New Roman"/>
          <w:b/>
          <w:bCs/>
          <w:color w:val="auto"/>
          <w:sz w:val="32"/>
          <w:szCs w:val="32"/>
          <w:lang w:val="zh-CN"/>
        </w:rPr>
        <w:t>完善生态环境保护制度。</w:t>
      </w:r>
      <w:r>
        <w:rPr>
          <w:rFonts w:hint="default" w:ascii="Times New Roman" w:hAnsi="Times New Roman" w:eastAsia="仿宋_GB2312" w:cs="Times New Roman"/>
          <w:color w:val="auto"/>
          <w:sz w:val="32"/>
          <w:szCs w:val="32"/>
          <w:lang w:val="zh-CN"/>
        </w:rPr>
        <w:t>完善耕地地力保护补贴政策，建立以绿色生态为导向的农业补贴制度，保护农业生态资源；建立稳定的农业农村污染治理投入机制，落实和完善融资贷款扶持政策，鼓励融资担保机构积极向农业农村环境治理项目提供融资担保服务；探索建立生态建设成果管护、重点生态功能区差异化目标考核和生态保护成效与资金分配挂钩的激励约束机制。</w:t>
      </w:r>
    </w:p>
    <w:p>
      <w:pPr>
        <w:pStyle w:val="31"/>
        <w:keepNext w:val="0"/>
        <w:keepLines w:val="0"/>
        <w:pageBreakBefore w:val="0"/>
        <w:kinsoku/>
        <w:wordWrap/>
        <w:overflowPunct/>
        <w:topLinePunct w:val="0"/>
        <w:autoSpaceDE/>
        <w:autoSpaceDN/>
        <w:bidi w:val="0"/>
        <w:adjustRightInd/>
        <w:snapToGrid/>
        <w:spacing w:line="560" w:lineRule="exact"/>
        <w:ind w:firstLine="642"/>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7.2.2做好农业面源污染防治</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加强农业面源污染治理，严格落实农业面源污染防控责任，扎实开展农药集中配送工作，实施好六大行动。</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1、实施农药化肥减量控害行动。</w:t>
      </w:r>
      <w:bookmarkStart w:id="287" w:name="_Toc454350007"/>
      <w:bookmarkStart w:id="288" w:name="_Toc448775601"/>
      <w:bookmarkStart w:id="289" w:name="_Toc454350299"/>
      <w:bookmarkStart w:id="290" w:name="_Toc453682518"/>
      <w:bookmarkStart w:id="291" w:name="_Toc452975525"/>
      <w:bookmarkStart w:id="292" w:name="_Toc481566704"/>
      <w:r>
        <w:rPr>
          <w:rFonts w:hint="default" w:ascii="Times New Roman" w:hAnsi="Times New Roman" w:eastAsia="仿宋_GB2312" w:cs="Times New Roman"/>
          <w:color w:val="auto"/>
          <w:sz w:val="32"/>
          <w:szCs w:val="32"/>
        </w:rPr>
        <w:t>加强病虫害监测预警，积极推广绿色防控技术和科学安全用药，大力推广高效低毒低残留农药，开展生物防治和生物农药应用试点。大力推进病虫害专业化统防统治，推广现代高效施药器械，提高防治科学化水平和农药有效利用率，减少化学农药使用量。加大测土配方施肥实施力度，集成推广一批水肥一体化、氮肥深施等高效施肥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不断提高肥料利用率。大力推广缓释肥料、生物肥料等高效新型肥料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推广秸秆还田、沼渣沼液还田、绿肥种植等技术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扶持有机肥产业发展，减少化肥施用量。到2025年，农用化肥施用量比2020年减少6.3%以上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农药施用总量降至120吨，实现农药化肥负增长，确保测土配方施肥技术覆盖率达100%，农作物病虫害绿色防控覆盖率达50%。</w:t>
      </w:r>
    </w:p>
    <w:p>
      <w:pPr>
        <w:keepNext w:val="0"/>
        <w:keepLines w:val="0"/>
        <w:pageBreakBefore w:val="0"/>
        <w:widowControl/>
        <w:kinsoku/>
        <w:wordWrap/>
        <w:overflowPunct/>
        <w:topLinePunct w:val="0"/>
        <w:autoSpaceDE/>
        <w:autoSpaceDN/>
        <w:bidi w:val="0"/>
        <w:adjustRightInd/>
        <w:snapToGrid/>
        <w:spacing w:line="560" w:lineRule="exact"/>
        <w:ind w:firstLine="640"/>
        <w:jc w:val="both"/>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bCs/>
          <w:color w:val="auto"/>
          <w:kern w:val="0"/>
          <w:sz w:val="32"/>
          <w:szCs w:val="32"/>
          <w:shd w:val="clear" w:color="auto" w:fill="FFFFFF"/>
        </w:rPr>
        <w:t>2、实施饲料清洁化行动。</w:t>
      </w:r>
      <w:r>
        <w:rPr>
          <w:rFonts w:hint="default" w:ascii="Times New Roman" w:hAnsi="Times New Roman" w:eastAsia="仿宋_GB2312" w:cs="Times New Roman"/>
          <w:color w:val="auto"/>
          <w:kern w:val="0"/>
          <w:sz w:val="32"/>
          <w:szCs w:val="32"/>
          <w:shd w:val="clear" w:color="auto" w:fill="FFFFFF"/>
        </w:rPr>
        <w:t>开展生产企业达标创建，规范生产制度和档案建设，推进《饲料质量安全管理规范》示范建设；实行饲料经营企业和饲料产品备案，规范饲料经营企业管理制度，落实管理责任追究制，完善饲料经营销售购销台账，创建饲料诚信经营示范店；加强饲料质量安全、饲料产品中兽用抗菌</w:t>
      </w:r>
      <w:r>
        <w:rPr>
          <w:rFonts w:hint="default" w:ascii="Times New Roman" w:hAnsi="Times New Roman" w:eastAsia="仿宋_GB2312" w:cs="Times New Roman"/>
          <w:color w:val="auto"/>
          <w:sz w:val="32"/>
          <w:szCs w:val="32"/>
        </w:rPr>
        <w:t>药物、动物产品中兽药残留和饲料产品中重金属含量抽检。到2025年，全县创建饲料生产达标企业1家，饲料诚信</w:t>
      </w:r>
      <w:r>
        <w:rPr>
          <w:rFonts w:hint="default" w:ascii="Times New Roman" w:hAnsi="Times New Roman" w:eastAsia="仿宋_GB2312" w:cs="Times New Roman"/>
          <w:color w:val="auto"/>
          <w:kern w:val="0"/>
          <w:sz w:val="32"/>
          <w:szCs w:val="32"/>
          <w:shd w:val="clear" w:color="auto" w:fill="FFFFFF"/>
        </w:rPr>
        <w:t>经营示范店覆盖率60%，年度饲料质量抽检合格率达98%以上、查处率100%。</w:t>
      </w:r>
    </w:p>
    <w:p>
      <w:pPr>
        <w:keepNext w:val="0"/>
        <w:keepLines w:val="0"/>
        <w:pageBreakBefore w:val="0"/>
        <w:widowControl/>
        <w:kinsoku/>
        <w:wordWrap/>
        <w:overflowPunct/>
        <w:topLinePunct w:val="0"/>
        <w:autoSpaceDE/>
        <w:autoSpaceDN/>
        <w:bidi w:val="0"/>
        <w:adjustRightInd/>
        <w:snapToGrid/>
        <w:spacing w:line="560" w:lineRule="exact"/>
        <w:ind w:firstLine="640"/>
        <w:jc w:val="both"/>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bCs/>
          <w:color w:val="auto"/>
          <w:kern w:val="0"/>
          <w:sz w:val="32"/>
          <w:szCs w:val="32"/>
          <w:shd w:val="clear" w:color="auto" w:fill="FFFFFF"/>
        </w:rPr>
        <w:t>3、实施农业废弃物综合利用</w:t>
      </w:r>
      <w:bookmarkEnd w:id="287"/>
      <w:bookmarkEnd w:id="288"/>
      <w:bookmarkEnd w:id="289"/>
      <w:bookmarkEnd w:id="290"/>
      <w:bookmarkEnd w:id="291"/>
      <w:r>
        <w:rPr>
          <w:rFonts w:hint="default" w:ascii="Times New Roman" w:hAnsi="Times New Roman" w:eastAsia="仿宋_GB2312" w:cs="Times New Roman"/>
          <w:b/>
          <w:bCs/>
          <w:color w:val="auto"/>
          <w:kern w:val="0"/>
          <w:sz w:val="32"/>
          <w:szCs w:val="32"/>
          <w:shd w:val="clear" w:color="auto" w:fill="FFFFFF"/>
        </w:rPr>
        <w:t>行动。</w:t>
      </w:r>
      <w:bookmarkEnd w:id="292"/>
      <w:bookmarkStart w:id="293" w:name="_Toc481566705"/>
      <w:r>
        <w:rPr>
          <w:rFonts w:hint="default" w:ascii="Times New Roman" w:hAnsi="Times New Roman" w:eastAsia="仿宋_GB2312" w:cs="Times New Roman"/>
          <w:color w:val="auto"/>
          <w:kern w:val="0"/>
          <w:sz w:val="32"/>
          <w:szCs w:val="32"/>
          <w:shd w:val="clear" w:color="auto" w:fill="FFFFFF"/>
        </w:rPr>
        <w:t>全面推广使用厚度大于0.01毫米、耐候期大于12个月且符合国家标准的农用地膜和厚度大于0.12毫米的农用棚膜以及采用塑料包装的农药，县域内禁止销售和使用厚度小于0.</w:t>
      </w:r>
      <w:r>
        <w:rPr>
          <w:rFonts w:hint="default" w:ascii="Times New Roman" w:hAnsi="Times New Roman" w:eastAsia="仿宋_GB2312" w:cs="Times New Roman"/>
          <w:color w:val="000000"/>
          <w:kern w:val="0"/>
          <w:sz w:val="32"/>
          <w:szCs w:val="32"/>
          <w:shd w:val="clear" w:color="auto" w:fill="FFFFFF"/>
        </w:rPr>
        <w:t>01毫米的农用地膜。大力引导农户和新型农业经营主体科学使用农膜、种子、农药、肥料等，及时捡拾产生的农业废弃物，严禁随意弃置、掩埋或者焚烧，并将新型农业经营主体农业废弃物综合利用情况与项目争取、示范创建、品牌打造和参展推介挂钩。到2025年，农业废弃物综合回收利用率达85%以上，白色垃圾污染现象基本消除。</w:t>
      </w:r>
    </w:p>
    <w:p>
      <w:pPr>
        <w:keepNext w:val="0"/>
        <w:keepLines w:val="0"/>
        <w:pageBreakBefore w:val="0"/>
        <w:widowControl/>
        <w:kinsoku/>
        <w:wordWrap/>
        <w:overflowPunct/>
        <w:topLinePunct w:val="0"/>
        <w:autoSpaceDE/>
        <w:autoSpaceDN/>
        <w:bidi w:val="0"/>
        <w:adjustRightInd/>
        <w:snapToGrid/>
        <w:spacing w:line="560" w:lineRule="exact"/>
        <w:ind w:firstLine="640"/>
        <w:jc w:val="both"/>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bCs/>
          <w:color w:val="000000"/>
          <w:kern w:val="0"/>
          <w:sz w:val="32"/>
          <w:szCs w:val="32"/>
          <w:shd w:val="clear" w:color="auto" w:fill="FFFFFF"/>
        </w:rPr>
        <w:t>4、实施畜禽养殖类污染治理行动。</w:t>
      </w:r>
      <w:bookmarkEnd w:id="293"/>
      <w:r>
        <w:rPr>
          <w:rFonts w:hint="default" w:ascii="Times New Roman" w:hAnsi="Times New Roman" w:eastAsia="仿宋_GB2312" w:cs="Times New Roman"/>
          <w:color w:val="000000"/>
          <w:kern w:val="0"/>
          <w:sz w:val="32"/>
          <w:szCs w:val="32"/>
          <w:shd w:val="clear" w:color="auto" w:fill="FFFFFF"/>
        </w:rPr>
        <w:t>综合畜禽养殖承载力和粪污消纳量，合理确定养殖品种、规模、总量，严格养殖区域管控，依法开展畜禽禁养区内的养殖场、养殖专业户关停搬迁工作，积极推广畜禽生态养殖模式。坚持新建畜禽养殖场建设申报审批制度，在前期选址、养殖规模、环保手续、粪污处理等方面提前介入，确保养殖场环保措施</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rPr>
        <w:t>三同时</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rPr>
        <w:t>。全面完成大规模养殖场粪污治理设施建设，定期开展规模养殖场粪污处理设施装备配套建设情况核查，确保配套率达到100%，粪污清理、输送、贮存、处理等设施符合要求并正常运行。健全畜禽粪污处理利用标准体系，探索粪肥运输、施用引导激励政策。</w:t>
      </w:r>
    </w:p>
    <w:p>
      <w:pPr>
        <w:keepNext w:val="0"/>
        <w:keepLines w:val="0"/>
        <w:pageBreakBefore w:val="0"/>
        <w:widowControl/>
        <w:kinsoku/>
        <w:wordWrap/>
        <w:overflowPunct/>
        <w:topLinePunct w:val="0"/>
        <w:autoSpaceDE/>
        <w:autoSpaceDN/>
        <w:bidi w:val="0"/>
        <w:adjustRightInd/>
        <w:snapToGrid/>
        <w:spacing w:line="560" w:lineRule="exact"/>
        <w:ind w:firstLine="640"/>
        <w:jc w:val="both"/>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bCs/>
          <w:color w:val="000000"/>
          <w:kern w:val="0"/>
          <w:sz w:val="32"/>
          <w:szCs w:val="32"/>
          <w:shd w:val="clear" w:color="auto" w:fill="FFFFFF"/>
        </w:rPr>
        <w:t>5、实施秸秆综合利用行动。</w:t>
      </w:r>
      <w:r>
        <w:rPr>
          <w:rFonts w:hint="default" w:ascii="Times New Roman" w:hAnsi="Times New Roman" w:eastAsia="仿宋_GB2312" w:cs="Times New Roman"/>
          <w:color w:val="000000"/>
          <w:kern w:val="0"/>
          <w:sz w:val="32"/>
          <w:szCs w:val="32"/>
          <w:shd w:val="clear" w:color="auto" w:fill="FFFFFF"/>
        </w:rPr>
        <w:t>坚持疏堵结合、综合利用方针，适时出台政策开展秸秆综合利用补贴，多渠道引进培育秸秆综合利用企业，推进秸秆综合利用，以秸秆肥料化、饲料化、基料化、原料化利用为重点，大力推广应用秸秆还田、秸秆青贮微贮、秸秆种植食用菌、秸秆热解气化等技术，配套建设秸秆收贮体系。到2025年，培育发展5家秸秆收贮运社会化服务主体，秸秆综合利用率达9</w:t>
      </w:r>
      <w:r>
        <w:rPr>
          <w:rFonts w:hint="default" w:ascii="Times New Roman" w:hAnsi="Times New Roman" w:eastAsia="仿宋_GB2312" w:cs="Times New Roman"/>
          <w:color w:val="000000"/>
          <w:kern w:val="0"/>
          <w:sz w:val="32"/>
          <w:szCs w:val="32"/>
          <w:shd w:val="clear" w:color="auto" w:fill="FFFFFF"/>
          <w:lang w:val="en-US" w:eastAsia="zh-CN"/>
        </w:rPr>
        <w:t>0</w:t>
      </w:r>
      <w:r>
        <w:rPr>
          <w:rFonts w:hint="default" w:ascii="Times New Roman" w:hAnsi="Times New Roman" w:eastAsia="仿宋_GB2312" w:cs="Times New Roman"/>
          <w:color w:val="000000"/>
          <w:kern w:val="0"/>
          <w:sz w:val="32"/>
          <w:szCs w:val="32"/>
          <w:shd w:val="clear" w:color="auto" w:fill="FFFFFF"/>
        </w:rPr>
        <w:t>%以上。</w:t>
      </w:r>
    </w:p>
    <w:p>
      <w:pPr>
        <w:keepNext w:val="0"/>
        <w:keepLines w:val="0"/>
        <w:pageBreakBefore w:val="0"/>
        <w:widowControl/>
        <w:kinsoku/>
        <w:wordWrap/>
        <w:overflowPunct/>
        <w:topLinePunct w:val="0"/>
        <w:autoSpaceDE/>
        <w:autoSpaceDN/>
        <w:bidi w:val="0"/>
        <w:adjustRightInd/>
        <w:snapToGrid/>
        <w:spacing w:line="560" w:lineRule="exact"/>
        <w:ind w:firstLine="640"/>
        <w:jc w:val="both"/>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bCs/>
          <w:color w:val="000000"/>
          <w:kern w:val="0"/>
          <w:sz w:val="32"/>
          <w:szCs w:val="32"/>
          <w:shd w:val="clear" w:color="auto" w:fill="FFFFFF"/>
        </w:rPr>
        <w:t>6、实施农业投入品整治行动。</w:t>
      </w:r>
      <w:r>
        <w:rPr>
          <w:rFonts w:hint="default" w:ascii="Times New Roman" w:hAnsi="Times New Roman" w:eastAsia="仿宋_GB2312" w:cs="Times New Roman"/>
          <w:color w:val="000000"/>
          <w:kern w:val="0"/>
          <w:sz w:val="32"/>
          <w:szCs w:val="32"/>
          <w:shd w:val="clear" w:color="auto" w:fill="FFFFFF"/>
        </w:rPr>
        <w:t>建立农业投入品经营主体名录库，开展市场主体资质清查，整顿无证无照经营活动，建立信息公开共享机制；以种子、农药、肥料、农膜、兽药、饲料等产品作为监督检查的重点产品，以投入品批发市场、互联网平台、生产企业和经营门店、乡村流动商贩为监督检查的重点对象，开展集中联合或随机监督检查，加强经营新业态监管；强化农业投入品质量抽检</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rPr>
        <w:t>充分运用抽检结果，实施检打联动</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rPr>
        <w:t>严厉查处各类违法案件</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rPr>
        <w:t>推进农业投入品经营信用体系建设。到2025年</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rPr>
        <w:t>全县农业投入品质</w:t>
      </w:r>
      <w:r>
        <w:rPr>
          <w:rFonts w:hint="default" w:ascii="Times New Roman" w:hAnsi="Times New Roman" w:eastAsia="仿宋_GB2312" w:cs="Times New Roman"/>
          <w:color w:val="auto"/>
          <w:kern w:val="0"/>
          <w:sz w:val="32"/>
          <w:szCs w:val="32"/>
          <w:shd w:val="clear" w:color="auto" w:fill="FFFFFF"/>
        </w:rPr>
        <w:t>量得到全面控制</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农业投入品市场秩序持续良好</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确保不发生重大假劣农业投入品安全事件</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种子质量合格率达95%以上</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肥料质量合格率达90%以上</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农药质量合格率达86%以上</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农膜质量合格率达95%以上，兽药质量合格率达96%以上，饲料质量合格率达 98%以上。</w:t>
      </w:r>
    </w:p>
    <w:p>
      <w:pPr>
        <w:pStyle w:val="31"/>
        <w:keepNext w:val="0"/>
        <w:keepLines w:val="0"/>
        <w:pageBreakBefore w:val="0"/>
        <w:kinsoku/>
        <w:wordWrap/>
        <w:overflowPunct/>
        <w:topLinePunct w:val="0"/>
        <w:autoSpaceDE/>
        <w:autoSpaceDN/>
        <w:bidi w:val="0"/>
        <w:adjustRightInd/>
        <w:snapToGrid/>
        <w:spacing w:line="560" w:lineRule="exact"/>
        <w:ind w:firstLine="642"/>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7.2.3构建生态农业循环体系</w:t>
      </w:r>
    </w:p>
    <w:p>
      <w:pPr>
        <w:pStyle w:val="31"/>
        <w:keepNext w:val="0"/>
        <w:keepLines w:val="0"/>
        <w:pageBreakBefore w:val="0"/>
        <w:kinsoku/>
        <w:wordWrap/>
        <w:overflowPunct/>
        <w:topLinePunct w:val="0"/>
        <w:autoSpaceDE/>
        <w:autoSpaceDN/>
        <w:bidi w:val="0"/>
        <w:adjustRightInd/>
        <w:snapToGrid/>
        <w:spacing w:line="560" w:lineRule="exact"/>
        <w:ind w:firstLine="641"/>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按照</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一控、两减、三基本</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的总体要求，积极推进农作制度创新，推广农牧结合、渔牧结合、渔农结合等新型种养模式，积极开展农业污染治理，大力推进农业废弃物综合利用。按照整建制推进现代生态循环农业建设，以构筑</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产业基地（小区）小循环、区域中循环、全区大循环</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为重点，通过实施示范创建、畜禽养殖污染治理、化肥农药减量、清洁田园推进、生态模式与技术集成推广、农产品品质提升等行动，大力发展资源节约型、环境友好型农业，建立现代生态循环农业发展体系和农业可持续发展长效机制。</w:t>
      </w:r>
    </w:p>
    <w:p>
      <w:pPr>
        <w:pStyle w:val="31"/>
        <w:keepNext w:val="0"/>
        <w:keepLines w:val="0"/>
        <w:pageBreakBefore w:val="0"/>
        <w:kinsoku/>
        <w:wordWrap/>
        <w:overflowPunct/>
        <w:topLinePunct w:val="0"/>
        <w:autoSpaceDE/>
        <w:autoSpaceDN/>
        <w:bidi w:val="0"/>
        <w:adjustRightInd/>
        <w:snapToGrid/>
        <w:spacing w:line="560" w:lineRule="exact"/>
        <w:ind w:firstLine="642"/>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7.2.4大力发展高效节水灌溉</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rPr>
        <w:t>按照品种节水、农艺节水、设施节水、机制节水的要求，大力推广、肥水一体、膜下滴灌、喷灌和微灌等先进适用高效节水灌溉技术，因地制宜推广抗旱品种、覆盖保墒、保护性耕作、间歇灌溉等节水技术，推进节水农业发展，提高水资源利用率。大力发展高效节水灌溉，重点将农技、农艺、农机结合，提高水、肥、药利用效率。积极开展农业水价综合改革，建立合理的农业水价形成机制，促进节约用水。优先在粮油、果蔬和中药材绿色有机增产模式攻关示范片、示范村和示范家庭农场开展高效节水灌溉示范，探索高效节水灌溉工程建设与运行模式，提高灌溉用水效率和效益。</w:t>
      </w:r>
      <w:r>
        <w:rPr>
          <w:rFonts w:hint="default" w:ascii="Times New Roman" w:hAnsi="Times New Roman" w:eastAsia="仿宋_GB2312" w:cs="Times New Roman"/>
          <w:color w:val="auto"/>
          <w:sz w:val="32"/>
          <w:szCs w:val="32"/>
        </w:rPr>
        <w:t>到2025年，实施物联网肥水一体化灌溉面积1万亩，示范推广果蔬生态化栽培技术5万亩，推广旱地间（套）栽培技术和水稻旱育秧技术各10万亩。</w:t>
      </w:r>
    </w:p>
    <w:p>
      <w:pPr>
        <w:pStyle w:val="31"/>
        <w:keepNext w:val="0"/>
        <w:keepLines w:val="0"/>
        <w:pageBreakBefore w:val="0"/>
        <w:kinsoku/>
        <w:wordWrap/>
        <w:overflowPunct/>
        <w:topLinePunct w:val="0"/>
        <w:autoSpaceDE/>
        <w:autoSpaceDN/>
        <w:bidi w:val="0"/>
        <w:adjustRightInd/>
        <w:snapToGrid/>
        <w:spacing w:line="560" w:lineRule="exact"/>
        <w:ind w:firstLine="642"/>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7.2.5加快发展绿色有机农业</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未来十到二十年，将是中国大健康产业快速发展的时期，绿色有机食品市场增长潜力较大，加快发展绿色有机农业，将会快速推进农业高质量、高效益发展。</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auto"/>
          <w:sz w:val="32"/>
          <w:szCs w:val="32"/>
        </w:rPr>
        <w:t>1、大力发展农业</w:t>
      </w:r>
      <w:r>
        <w:rPr>
          <w:rFonts w:hint="default" w:ascii="Times New Roman" w:hAnsi="Times New Roman" w:eastAsia="仿宋_GB2312" w:cs="Times New Roman"/>
          <w:b/>
          <w:bCs/>
          <w:color w:val="auto"/>
          <w:sz w:val="32"/>
          <w:szCs w:val="32"/>
          <w:lang w:eastAsia="zh-CN"/>
        </w:rPr>
        <w:t>“两</w:t>
      </w:r>
      <w:r>
        <w:rPr>
          <w:rFonts w:hint="default" w:ascii="Times New Roman" w:hAnsi="Times New Roman" w:eastAsia="仿宋_GB2312" w:cs="Times New Roman"/>
          <w:b/>
          <w:bCs/>
          <w:color w:val="auto"/>
          <w:sz w:val="32"/>
          <w:szCs w:val="32"/>
        </w:rPr>
        <w:t>品一标</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加强绿色食品原料</w:t>
      </w:r>
      <w:r>
        <w:rPr>
          <w:rFonts w:hint="default" w:ascii="Times New Roman" w:hAnsi="Times New Roman" w:eastAsia="仿宋_GB2312" w:cs="Times New Roman"/>
          <w:color w:val="000000"/>
          <w:sz w:val="32"/>
          <w:szCs w:val="32"/>
        </w:rPr>
        <w:t>基地管理，扩大有机生产基地规模，推行标准化生产和全过程控制，支持新型农业经营主体申报认证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两</w:t>
      </w:r>
      <w:r>
        <w:rPr>
          <w:rFonts w:hint="default" w:ascii="Times New Roman" w:hAnsi="Times New Roman" w:eastAsia="仿宋_GB2312" w:cs="Times New Roman"/>
          <w:color w:val="000000"/>
          <w:sz w:val="32"/>
          <w:szCs w:val="32"/>
        </w:rPr>
        <w:t>品一标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，实施严格的产地认定和产品认证制度，强化证后有效监督，全面实现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两</w:t>
      </w:r>
      <w:r>
        <w:rPr>
          <w:rFonts w:hint="default" w:ascii="Times New Roman" w:hAnsi="Times New Roman" w:eastAsia="仿宋_GB2312" w:cs="Times New Roman"/>
          <w:color w:val="000000"/>
          <w:sz w:val="32"/>
          <w:szCs w:val="32"/>
        </w:rPr>
        <w:t>品一标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上市产品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生产有记录、流向可追踪、信息可查询、质量可追溯</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，保证生产的规范化和产品的安全性。到2025年，全县</w:t>
      </w:r>
      <w:r>
        <w:rPr>
          <w:rFonts w:hint="default" w:ascii="Times New Roman" w:hAnsi="Times New Roman" w:eastAsia="仿宋_GB2312" w:cs="Times New Roman"/>
          <w:color w:val="000000"/>
          <w:sz w:val="32"/>
          <w:szCs w:val="32"/>
          <w:lang w:val="en-US" w:eastAsia="zh-CN"/>
        </w:rPr>
        <w:t>农产品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两</w:t>
      </w:r>
      <w:r>
        <w:rPr>
          <w:rFonts w:hint="default" w:ascii="Times New Roman" w:hAnsi="Times New Roman" w:eastAsia="仿宋_GB2312" w:cs="Times New Roman"/>
          <w:color w:val="000000"/>
          <w:sz w:val="32"/>
          <w:szCs w:val="32"/>
        </w:rPr>
        <w:t>品一标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认证达到</w:t>
      </w:r>
      <w:r>
        <w:rPr>
          <w:rFonts w:hint="default" w:ascii="Times New Roman" w:hAnsi="Times New Roman" w:eastAsia="仿宋_GB2312" w:cs="Times New Roman"/>
          <w:color w:val="000000"/>
          <w:sz w:val="32"/>
          <w:szCs w:val="32"/>
          <w:lang w:val="en-US" w:eastAsia="zh-CN"/>
        </w:rPr>
        <w:t>55</w:t>
      </w:r>
      <w:r>
        <w:rPr>
          <w:rFonts w:hint="default" w:ascii="Times New Roman" w:hAnsi="Times New Roman" w:eastAsia="仿宋_GB2312" w:cs="Times New Roman"/>
          <w:color w:val="000000"/>
          <w:sz w:val="32"/>
          <w:szCs w:val="32"/>
        </w:rPr>
        <w:t>个。</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000000"/>
          <w:sz w:val="32"/>
          <w:szCs w:val="32"/>
        </w:rPr>
        <w:t>2、绿色有机农业发展模式。</w:t>
      </w:r>
      <w:r>
        <w:rPr>
          <w:rFonts w:hint="default" w:ascii="Times New Roman" w:hAnsi="Times New Roman" w:eastAsia="仿宋_GB2312" w:cs="Times New Roman"/>
          <w:color w:val="000000"/>
          <w:sz w:val="32"/>
          <w:szCs w:val="32"/>
        </w:rPr>
        <w:t>立足水土资源匹配性，把握最适生产区原则，优化种养业结构，促进种养循环发展；加快建立农业高质量发展标准体系，创新开展绿色</w:t>
      </w:r>
      <w:r>
        <w:rPr>
          <w:rFonts w:hint="default" w:ascii="Times New Roman" w:hAnsi="Times New Roman" w:eastAsia="仿宋_GB2312" w:cs="Times New Roman"/>
          <w:color w:val="000000"/>
          <w:sz w:val="32"/>
          <w:szCs w:val="32"/>
          <w:lang w:val="en-US" w:eastAsia="zh-CN"/>
        </w:rPr>
        <w:t>优</w:t>
      </w:r>
      <w:r>
        <w:rPr>
          <w:rFonts w:hint="default" w:ascii="Times New Roman" w:hAnsi="Times New Roman" w:eastAsia="仿宋_GB2312" w:cs="Times New Roman"/>
          <w:color w:val="000000"/>
          <w:sz w:val="32"/>
          <w:szCs w:val="32"/>
        </w:rPr>
        <w:t>质高效行动，创建一批标准化基地，推广一批粮油和经济作物生产全过</w:t>
      </w:r>
      <w:r>
        <w:rPr>
          <w:rFonts w:hint="default" w:ascii="Times New Roman" w:hAnsi="Times New Roman" w:eastAsia="仿宋_GB2312" w:cs="Times New Roman"/>
          <w:color w:val="auto"/>
          <w:sz w:val="32"/>
          <w:szCs w:val="32"/>
        </w:rPr>
        <w:t>程</w:t>
      </w:r>
      <w:r>
        <w:rPr>
          <w:rFonts w:hint="default" w:ascii="Times New Roman" w:hAnsi="Times New Roman" w:eastAsia="仿宋_GB2312" w:cs="Times New Roman"/>
          <w:color w:val="auto"/>
          <w:sz w:val="32"/>
          <w:szCs w:val="32"/>
          <w:lang w:val="en-US" w:eastAsia="zh-CN"/>
        </w:rPr>
        <w:t>优</w:t>
      </w:r>
      <w:r>
        <w:rPr>
          <w:rFonts w:hint="default" w:ascii="Times New Roman" w:hAnsi="Times New Roman" w:eastAsia="仿宋_GB2312" w:cs="Times New Roman"/>
          <w:color w:val="auto"/>
          <w:sz w:val="32"/>
          <w:szCs w:val="32"/>
        </w:rPr>
        <w:t>质高效技术模式；继续实施兽用抗菌药使用减量化行动，开展水产健康养殖示范创建，重点发展池塘工程化、工厂化循环水养殖，稳步发展稻渔综合种养；扩大有机肥和抗病防疫生物制药使用范围；建立生产者自我质量控制、自我开具合格证和自我质量安全承诺制度，加大农产品仓储保鲜冷链物流设施建设，推进农产品质量安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区域定格、网格定人、人员定责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的网格化管理，增加产地、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环节、禁用药物抽检比例。</w:t>
      </w:r>
    </w:p>
    <w:p>
      <w:pPr>
        <w:keepNext w:val="0"/>
        <w:keepLines w:val="0"/>
        <w:pageBreakBefore w:val="0"/>
        <w:kinsoku/>
        <w:wordWrap/>
        <w:overflowPunct/>
        <w:topLinePunct w:val="0"/>
        <w:autoSpaceDE/>
        <w:autoSpaceDN/>
        <w:bidi w:val="0"/>
        <w:adjustRightInd/>
        <w:snapToGrid/>
        <w:spacing w:line="560" w:lineRule="exact"/>
        <w:ind w:firstLine="643" w:firstLineChars="200"/>
        <w:jc w:val="both"/>
        <w:outlineLvl w:val="2"/>
        <w:rPr>
          <w:rFonts w:hint="default" w:ascii="Times New Roman" w:hAnsi="Times New Roman" w:eastAsia="仿宋_GB2312" w:cs="Times New Roman"/>
          <w:b/>
          <w:color w:val="auto"/>
          <w:sz w:val="32"/>
          <w:szCs w:val="32"/>
        </w:rPr>
      </w:pPr>
      <w:bookmarkStart w:id="294" w:name="_Toc29011"/>
      <w:bookmarkStart w:id="295" w:name="_Toc13314"/>
      <w:bookmarkStart w:id="296" w:name="_Toc1334"/>
      <w:bookmarkStart w:id="297" w:name="_Toc14907"/>
      <w:bookmarkStart w:id="298" w:name="_Toc31676"/>
      <w:bookmarkStart w:id="299" w:name="_Toc2946"/>
      <w:bookmarkStart w:id="300" w:name="_Toc13962"/>
      <w:bookmarkStart w:id="301" w:name="_Toc14299"/>
      <w:r>
        <w:rPr>
          <w:rFonts w:hint="default" w:ascii="Times New Roman" w:hAnsi="Times New Roman" w:eastAsia="仿宋_GB2312" w:cs="Times New Roman"/>
          <w:b/>
          <w:color w:val="auto"/>
          <w:sz w:val="32"/>
          <w:szCs w:val="32"/>
        </w:rPr>
        <w:t>7.3依靠科技进步，提高农业科技支撑水平</w:t>
      </w:r>
      <w:bookmarkEnd w:id="294"/>
      <w:bookmarkEnd w:id="295"/>
      <w:bookmarkEnd w:id="296"/>
      <w:bookmarkEnd w:id="297"/>
      <w:bookmarkEnd w:id="298"/>
      <w:bookmarkEnd w:id="299"/>
      <w:bookmarkEnd w:id="300"/>
      <w:bookmarkEnd w:id="301"/>
    </w:p>
    <w:p>
      <w:pPr>
        <w:keepNext w:val="0"/>
        <w:keepLines w:val="0"/>
        <w:pageBreakBefore w:val="0"/>
        <w:widowControl/>
        <w:kinsoku/>
        <w:wordWrap/>
        <w:overflowPunct/>
        <w:topLinePunct w:val="0"/>
        <w:autoSpaceDE/>
        <w:autoSpaceDN/>
        <w:bidi w:val="0"/>
        <w:adjustRightInd/>
        <w:snapToGrid/>
        <w:spacing w:line="560" w:lineRule="exact"/>
        <w:ind w:firstLine="641"/>
        <w:jc w:val="both"/>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农业科技是确保农产品安全供给的基础支撑，是突破资源环境约束的必然选择，是加快现代农业建设的决定力量，具有显著的公共性、基础性、社会性。到2025年，农业科技进步贡献率超过65%，年均提高0.5个百分点以上。</w:t>
      </w:r>
    </w:p>
    <w:p>
      <w:pPr>
        <w:keepNext w:val="0"/>
        <w:keepLines w:val="0"/>
        <w:pageBreakBefore w:val="0"/>
        <w:widowControl/>
        <w:kinsoku/>
        <w:wordWrap/>
        <w:overflowPunct/>
        <w:topLinePunct w:val="0"/>
        <w:autoSpaceDE/>
        <w:autoSpaceDN/>
        <w:bidi w:val="0"/>
        <w:adjustRightInd/>
        <w:snapToGrid/>
        <w:spacing w:line="560" w:lineRule="exact"/>
        <w:ind w:firstLine="64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7.3.1健全农业科技创新服务平台</w:t>
      </w:r>
    </w:p>
    <w:p>
      <w:pPr>
        <w:keepNext w:val="0"/>
        <w:keepLines w:val="0"/>
        <w:pageBreakBefore w:val="0"/>
        <w:widowControl/>
        <w:kinsoku/>
        <w:wordWrap/>
        <w:overflowPunct/>
        <w:topLinePunct w:val="0"/>
        <w:autoSpaceDE/>
        <w:autoSpaceDN/>
        <w:bidi w:val="0"/>
        <w:adjustRightInd/>
        <w:snapToGrid/>
        <w:spacing w:line="560" w:lineRule="exact"/>
        <w:ind w:firstLine="640"/>
        <w:jc w:val="both"/>
        <w:rPr>
          <w:rFonts w:hint="default" w:ascii="Times New Roman" w:hAnsi="Times New Roman" w:eastAsia="仿宋_GB2312" w:cs="Times New Roman"/>
          <w:b/>
          <w:bCs/>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深化对外科技交流与合作平台，积极参与四川农博会、</w:t>
      </w:r>
      <w:r>
        <w:rPr>
          <w:rFonts w:hint="default" w:ascii="Times New Roman" w:hAnsi="Times New Roman" w:eastAsia="仿宋_GB2312" w:cs="Times New Roman"/>
          <w:color w:val="auto"/>
          <w:kern w:val="0"/>
          <w:sz w:val="32"/>
          <w:szCs w:val="32"/>
          <w:shd w:val="clear" w:color="auto" w:fill="FFFFFF"/>
          <w:lang w:eastAsia="zh-CN"/>
        </w:rPr>
        <w:t>重庆农交</w:t>
      </w:r>
      <w:r>
        <w:rPr>
          <w:rFonts w:hint="default" w:ascii="Times New Roman" w:hAnsi="Times New Roman" w:eastAsia="仿宋_GB2312" w:cs="Times New Roman"/>
          <w:color w:val="auto"/>
          <w:kern w:val="0"/>
          <w:sz w:val="32"/>
          <w:szCs w:val="32"/>
          <w:shd w:val="clear" w:color="auto" w:fill="FFFFFF"/>
        </w:rPr>
        <w:t>会等重大科技交流活动，提升打造省地会商、校地合作、校企合作科技合作平台，全方位推进县内县外、境内境外农业科技创新跨界融合互动；深化校（院）地合作，创新农业科技成果转移转化机制，鼓励高校、科研院所、龙头企业、农民专业合作社、家庭农场等通过研发合作、技术转让、技术许可、技术投资等多种形式引进、推广一批新品种、新技术、新模式，争取形成一批新成果，实现农业科技成果市场价值；打造农业科技创新平台，支持建设</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星创天地</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专家大院、科技示范园区（基地）、农村产业技术服务中心等科技成果孵化转化平台，实施技术转移、要素聚集、创业转化等功能，加速农业科技成果转移转化；建设农业科技资源开放共享与服务平台，充分发挥重要公共科技资源优势，推动面向科技界开放共享，整合和完善科技资源共享服务平台。到2025年，创建农业院士（专家）工作站4个（粮油、水果、畜禽、中药材各1个），培育果蔬和中药材等乡土人才（土专家）100人。</w:t>
      </w:r>
    </w:p>
    <w:p>
      <w:pPr>
        <w:keepNext w:val="0"/>
        <w:keepLines w:val="0"/>
        <w:pageBreakBefore w:val="0"/>
        <w:widowControl/>
        <w:kinsoku/>
        <w:wordWrap/>
        <w:overflowPunct/>
        <w:topLinePunct w:val="0"/>
        <w:autoSpaceDE/>
        <w:autoSpaceDN/>
        <w:bidi w:val="0"/>
        <w:adjustRightInd/>
        <w:snapToGrid/>
        <w:spacing w:line="560" w:lineRule="exact"/>
        <w:ind w:firstLine="64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7.3.2加快农业科技成果推广应用</w:t>
      </w:r>
    </w:p>
    <w:p>
      <w:pPr>
        <w:pStyle w:val="34"/>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bCs/>
          <w:color w:val="auto"/>
          <w:kern w:val="0"/>
          <w:sz w:val="32"/>
          <w:szCs w:val="32"/>
          <w:shd w:val="clear" w:color="auto" w:fill="FFFFFF"/>
        </w:rPr>
        <w:t>1、集成创新一批节本降耗提质增效的技术和模式。</w:t>
      </w:r>
      <w:r>
        <w:rPr>
          <w:rFonts w:hint="default" w:ascii="Times New Roman" w:hAnsi="Times New Roman" w:eastAsia="仿宋_GB2312" w:cs="Times New Roman"/>
          <w:color w:val="auto"/>
          <w:kern w:val="0"/>
          <w:sz w:val="32"/>
          <w:szCs w:val="32"/>
          <w:shd w:val="clear" w:color="auto" w:fill="FFFFFF"/>
        </w:rPr>
        <w:t>面向优质粮油、生态畜禽、优质水果、绿色蔬菜、</w:t>
      </w:r>
      <w:r>
        <w:rPr>
          <w:rFonts w:hint="default" w:ascii="Times New Roman" w:hAnsi="Times New Roman" w:eastAsia="仿宋_GB2312" w:cs="Times New Roman"/>
          <w:color w:val="auto"/>
          <w:kern w:val="0"/>
          <w:sz w:val="32"/>
          <w:szCs w:val="32"/>
          <w:shd w:val="clear" w:color="auto" w:fill="FFFFFF"/>
          <w:lang w:eastAsia="zh-CN"/>
        </w:rPr>
        <w:t>特色干果、</w:t>
      </w:r>
      <w:r>
        <w:rPr>
          <w:rFonts w:hint="default" w:ascii="Times New Roman" w:hAnsi="Times New Roman" w:eastAsia="仿宋_GB2312" w:cs="Times New Roman"/>
          <w:color w:val="auto"/>
          <w:kern w:val="0"/>
          <w:sz w:val="32"/>
          <w:szCs w:val="32"/>
          <w:shd w:val="clear" w:color="auto" w:fill="FFFFFF"/>
        </w:rPr>
        <w:t>道地中药材六大优势特色产业发展需求为导向，加快推动形成产学研紧密结合的农业科技创新体系，引进筛选一批重大动物疫病防控、生物种业、绿色投入品、绿色高效种养、农业机械、农产品加工等领域关键核心技术；不断拓宽协同创新渠道，依托国家、省、市农业科研院校、科技创新团队、院士（专家）工作站，遴选部分单项技术研究项目进行示范推广。以现代农业园区为载体，发展绿色有机、生态安全、高度集约化标准化组织化产业化为主要标志的现代化农业。不断提升农业科技含量和综合效益。持续推广测土配方施肥、免耕覆盖、秸秆还田、绿色防控等技术，大力推广</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猪－沼－果</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等生态循环模式，构建</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生态养殖+再生能源+绿色种植</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的特色循环链，发挥</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污染零排放、有机肥还田</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的综合效应，推广使用低毒高效低残留农药及生物降解菌，提倡使用生物农药，切实做好农膜回收处理，积极推广使用可降解农膜，努力防治白色污染。推动农业节本降耗、转型升级和提质增效</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实现农业发展方式根本性转变。全县组装10余项配套优质丰产栽培、重大病虫害绿色防控、健康养殖、特色农产品精深加工等降耗提质增效全产业链关键技术。</w:t>
      </w:r>
    </w:p>
    <w:p>
      <w:pPr>
        <w:keepNext w:val="0"/>
        <w:keepLines w:val="0"/>
        <w:pageBreakBefore w:val="0"/>
        <w:widowControl/>
        <w:kinsoku/>
        <w:wordWrap/>
        <w:overflowPunct/>
        <w:topLinePunct w:val="0"/>
        <w:autoSpaceDE/>
        <w:autoSpaceDN/>
        <w:bidi w:val="0"/>
        <w:adjustRightInd/>
        <w:snapToGrid/>
        <w:spacing w:line="560" w:lineRule="exact"/>
        <w:ind w:firstLine="640"/>
        <w:jc w:val="both"/>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bCs/>
          <w:color w:val="auto"/>
          <w:kern w:val="0"/>
          <w:sz w:val="32"/>
          <w:szCs w:val="32"/>
          <w:shd w:val="clear" w:color="auto" w:fill="FFFFFF"/>
        </w:rPr>
        <w:t>2、加强农业新技术成果推广应用，构建新型农技推广体系。</w:t>
      </w:r>
      <w:r>
        <w:rPr>
          <w:rFonts w:hint="default" w:ascii="Times New Roman" w:hAnsi="Times New Roman" w:eastAsia="仿宋_GB2312" w:cs="Times New Roman"/>
          <w:color w:val="auto"/>
          <w:kern w:val="0"/>
          <w:sz w:val="32"/>
          <w:szCs w:val="32"/>
          <w:shd w:val="clear" w:color="auto" w:fill="FFFFFF"/>
        </w:rPr>
        <w:t>在提升现有推广模式的基础上，整合政产学研用要素资源，探索农业科技培训公益性和服务有偿经营有效融合发展模式，形成新的农技推广机制。完善新型农业科技服务体系，发展社会化多元化服务组织，推动科技成果转化应用，积极探索构建以家庭农场、农民专业合作社、农业产业化联合体等新型经营主体为载体的农业科技创新组织，将农业科技创新活动融</w:t>
      </w:r>
      <w:r>
        <w:rPr>
          <w:rFonts w:hint="default" w:ascii="Times New Roman" w:hAnsi="Times New Roman" w:eastAsia="仿宋_GB2312" w:cs="Times New Roman"/>
          <w:color w:val="auto"/>
          <w:sz w:val="32"/>
          <w:szCs w:val="32"/>
        </w:rPr>
        <w:t>入到日常的农业经营活动中，构建常态化、实效化的农业科技创新推广体系。大力实施农业新技术推广示范行动，开展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示范，推广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配套，提升农业现代化水平。着力推进粮食新技术新模式</w:t>
      </w:r>
      <w:r>
        <w:rPr>
          <w:rFonts w:hint="default" w:ascii="Times New Roman" w:hAnsi="Times New Roman" w:eastAsia="仿宋_GB2312" w:cs="Times New Roman"/>
          <w:color w:val="auto"/>
          <w:kern w:val="0"/>
          <w:sz w:val="32"/>
          <w:szCs w:val="32"/>
          <w:shd w:val="clear" w:color="auto" w:fill="FFFFFF"/>
        </w:rPr>
        <w:t>推广，切实加强粮食优良品种及相关高产栽培技术的试验、示范和集成</w:t>
      </w:r>
      <w:r>
        <w:rPr>
          <w:rFonts w:hint="default" w:ascii="Times New Roman" w:hAnsi="Times New Roman" w:eastAsia="仿宋_GB2312" w:cs="Times New Roman"/>
          <w:color w:val="auto"/>
          <w:sz w:val="32"/>
          <w:szCs w:val="32"/>
        </w:rPr>
        <w:t>推广，开展粮食绿色增产模式攻关，实施新品种新技术引进、试验、示范和技术指导工作，努力提高粮食生产的绿色化水平，辐射带动粮食全域均衡增产。着力加强优势特色产业生产技术规程推广，通过集中授课、现场示范和专家进村、入户指导等一系列推广措施，切实提升基层农技推广服务机构服务优势特色产业发展的效能。着力强化农机新装备推广，加快集约化育苗、地膜覆盖、喷灌滴灌等现代农业设施引进推广，引导发展林果等其他作物生产、设施农业和畜牧水产养殖机械化装备技术，优化提升一批技术先进、功能适用的农机新装备，推进作物品种、栽培技术和机械装备集成配套，促进农机农艺高度融合，培育一批装备精良、运作规范、服务对象满意的农机服务组织，不断提升宜机田地主要农作物全程机械化作业水平。加强乡镇公益性农业综合服务体系建设，推进基层农业技术服务。全面推动支撑农业产业的农技推广全覆盖服务网，形成管理体制完善、运行机制规范、人员队伍精干、基础能力较强的新型农业技术推广服务体系。到2025年，主要农作物关键技术推广面积20万亩次，全县建设中药材、水果、畜禽等良种示范场3个，种质资源保护示范基地3个。</w:t>
      </w:r>
    </w:p>
    <w:p>
      <w:pPr>
        <w:keepNext w:val="0"/>
        <w:keepLines w:val="0"/>
        <w:pageBreakBefore w:val="0"/>
        <w:widowControl/>
        <w:kinsoku/>
        <w:wordWrap/>
        <w:overflowPunct/>
        <w:topLinePunct w:val="0"/>
        <w:autoSpaceDE/>
        <w:autoSpaceDN/>
        <w:bidi w:val="0"/>
        <w:adjustRightInd/>
        <w:snapToGrid/>
        <w:spacing w:line="560" w:lineRule="exact"/>
        <w:ind w:firstLine="64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7.3.3强化农村科技人才支撑</w:t>
      </w:r>
    </w:p>
    <w:p>
      <w:pPr>
        <w:keepNext w:val="0"/>
        <w:keepLines w:val="0"/>
        <w:pageBreakBefore w:val="0"/>
        <w:widowControl/>
        <w:kinsoku/>
        <w:wordWrap/>
        <w:overflowPunct/>
        <w:topLinePunct w:val="0"/>
        <w:autoSpaceDE/>
        <w:autoSpaceDN/>
        <w:bidi w:val="0"/>
        <w:adjustRightInd/>
        <w:snapToGrid/>
        <w:spacing w:line="560" w:lineRule="exact"/>
        <w:ind w:firstLine="640"/>
        <w:jc w:val="both"/>
        <w:rPr>
          <w:rFonts w:hint="default" w:ascii="Times New Roman" w:hAnsi="Times New Roman" w:eastAsia="仿宋_GB2312" w:cs="Times New Roman"/>
          <w:color w:val="auto"/>
          <w:sz w:val="32"/>
          <w:szCs w:val="32"/>
          <w:lang w:val="mn-Mong-CN"/>
        </w:rPr>
      </w:pPr>
      <w:r>
        <w:rPr>
          <w:rFonts w:hint="default" w:ascii="Times New Roman" w:hAnsi="Times New Roman" w:eastAsia="仿宋_GB2312" w:cs="Times New Roman"/>
          <w:color w:val="auto"/>
          <w:kern w:val="0"/>
          <w:sz w:val="32"/>
          <w:szCs w:val="32"/>
          <w:shd w:val="clear" w:color="auto" w:fill="FFFFFF"/>
        </w:rPr>
        <w:t>深入推进农村</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双创</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，大力实施</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凤还巢</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工程和农民工返乡创业行动计划，认真做好</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春风行动</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等专项公共就业人才服务。加强农村实用人才队伍建设，实施技工大省培训提升民生工程，提升农民工职业技能。以新型职业农民培育工程为抓手，对1000名农民进行科技强化培训，建立10个科技示范基地，实现每个行政村优势特色产业都有一批示范带动能力强的致富能手。</w:t>
      </w:r>
      <w:bookmarkStart w:id="302" w:name="_Toc6579"/>
      <w:bookmarkStart w:id="303" w:name="_Toc15807"/>
      <w:bookmarkStart w:id="304" w:name="_Toc5580"/>
      <w:bookmarkStart w:id="305" w:name="_Toc17785"/>
      <w:bookmarkStart w:id="306" w:name="_Toc19104"/>
      <w:bookmarkStart w:id="307" w:name="_Toc24747"/>
      <w:bookmarkStart w:id="308" w:name="_Toc14670"/>
    </w:p>
    <w:p>
      <w:pPr>
        <w:rPr>
          <w:rFonts w:hint="default" w:ascii="Times New Roman" w:hAnsi="Times New Roman" w:eastAsia="黑体" w:cs="Times New Roman"/>
          <w:color w:val="auto"/>
          <w:kern w:val="0"/>
          <w:sz w:val="28"/>
          <w:szCs w:val="28"/>
          <w:lang w:val="mn-Mong-CN" w:bidi="mn-Mong-CN"/>
        </w:rPr>
      </w:pPr>
      <w:r>
        <w:rPr>
          <w:rFonts w:hint="default" w:ascii="Times New Roman" w:hAnsi="Times New Roman" w:eastAsia="黑体" w:cs="Times New Roman"/>
          <w:color w:val="auto"/>
          <w:kern w:val="0"/>
          <w:sz w:val="28"/>
          <w:szCs w:val="28"/>
          <w:lang w:val="mn-Mong-CN" w:bidi="mn-Mong-CN"/>
        </w:rPr>
        <w:br w:type="page"/>
      </w:r>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mn-Mong-CN" w:bidi="mn-Mong-CN"/>
        </w:rPr>
      </w:pPr>
      <w:bookmarkStart w:id="309" w:name="_Toc17738"/>
      <w:r>
        <w:rPr>
          <w:rFonts w:hint="default" w:ascii="Times New Roman" w:hAnsi="Times New Roman" w:eastAsia="黑体" w:cs="Times New Roman"/>
          <w:color w:val="auto"/>
          <w:kern w:val="0"/>
          <w:sz w:val="32"/>
          <w:szCs w:val="32"/>
          <w:lang w:val="mn-Mong-CN" w:bidi="mn-Mong-CN"/>
        </w:rPr>
        <w:t>第八章 着力构建现代农业经营体系</w:t>
      </w:r>
      <w:bookmarkEnd w:id="302"/>
      <w:bookmarkEnd w:id="303"/>
      <w:bookmarkEnd w:id="304"/>
      <w:bookmarkEnd w:id="305"/>
      <w:bookmarkEnd w:id="306"/>
      <w:bookmarkEnd w:id="307"/>
      <w:bookmarkEnd w:id="308"/>
      <w:bookmarkEnd w:id="309"/>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310" w:name="_Toc22071"/>
      <w:bookmarkStart w:id="311" w:name="_Toc27865"/>
      <w:bookmarkStart w:id="312" w:name="_Toc6382"/>
      <w:bookmarkStart w:id="313" w:name="_Toc17794"/>
      <w:bookmarkStart w:id="314" w:name="_Toc12746"/>
      <w:bookmarkStart w:id="315" w:name="_Toc375"/>
      <w:bookmarkStart w:id="316" w:name="_Toc17950"/>
      <w:bookmarkStart w:id="317" w:name="_Toc9493"/>
      <w:r>
        <w:rPr>
          <w:rFonts w:hint="default" w:ascii="Times New Roman" w:hAnsi="Times New Roman" w:eastAsia="仿宋_GB2312" w:cs="Times New Roman"/>
          <w:b/>
          <w:color w:val="auto"/>
          <w:sz w:val="32"/>
          <w:szCs w:val="32"/>
        </w:rPr>
        <w:t>8.1创新经营方式，促进适度规模经营</w:t>
      </w:r>
      <w:bookmarkEnd w:id="310"/>
      <w:bookmarkEnd w:id="311"/>
      <w:bookmarkEnd w:id="312"/>
      <w:bookmarkEnd w:id="313"/>
      <w:bookmarkEnd w:id="314"/>
      <w:bookmarkEnd w:id="315"/>
      <w:bookmarkEnd w:id="316"/>
      <w:bookmarkEnd w:id="317"/>
    </w:p>
    <w:p>
      <w:pPr>
        <w:widowControl/>
        <w:spacing w:line="560" w:lineRule="exact"/>
        <w:ind w:firstLine="640"/>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8.1.1大力培育新型农业经营主体</w:t>
      </w:r>
    </w:p>
    <w:p>
      <w:pPr>
        <w:widowControl/>
        <w:spacing w:line="560" w:lineRule="exact"/>
        <w:ind w:firstLine="64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突出龙头带头，培育经营主体，促进三产融合。坚持家庭经营在农业中的基础性地位，构建县域新型农业综合经营体系，引导家庭经营、集体经营、合作经营、企业经营共同发展。发展多种形式适度规模经营，提高农业集约化、专业化、组织化、社会化水平，有效带动小农户发展。到2025年，土地规模经营面积占到40%以上。</w:t>
      </w:r>
    </w:p>
    <w:p>
      <w:pPr>
        <w:spacing w:line="580" w:lineRule="exact"/>
        <w:ind w:firstLine="643" w:firstLineChars="20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bCs/>
          <w:color w:val="auto"/>
          <w:kern w:val="0"/>
          <w:sz w:val="32"/>
          <w:szCs w:val="32"/>
          <w:shd w:val="clear" w:color="auto" w:fill="FFFFFF"/>
        </w:rPr>
        <w:t>1、招大育强龙头企业。</w:t>
      </w:r>
      <w:r>
        <w:rPr>
          <w:rFonts w:hint="default" w:ascii="Times New Roman" w:hAnsi="Times New Roman" w:eastAsia="仿宋_GB2312" w:cs="Times New Roman"/>
          <w:color w:val="auto"/>
          <w:kern w:val="0"/>
          <w:sz w:val="32"/>
          <w:szCs w:val="32"/>
          <w:shd w:val="clear" w:color="auto" w:fill="FFFFFF"/>
        </w:rPr>
        <w:t>实施龙头企业</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排头兵</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工程，紧扣现代农业发展，坚持引培并举、精准扶持，培育一批主导产业突出、规模实力雄厚、品牌效应突出、带动作用显著的龙头企业排头兵。对外加大招商引资力度，瞄准六大优势特色产业</w:t>
      </w:r>
      <w:r>
        <w:rPr>
          <w:rFonts w:hint="default" w:ascii="Times New Roman" w:hAnsi="Times New Roman" w:eastAsia="仿宋_GB2312" w:cs="Times New Roman"/>
          <w:color w:val="auto"/>
          <w:kern w:val="0"/>
          <w:sz w:val="32"/>
          <w:szCs w:val="32"/>
          <w:shd w:val="clear" w:color="auto" w:fill="FFFFFF"/>
          <w:lang w:eastAsia="zh-CN"/>
        </w:rPr>
        <w:t>相关的</w:t>
      </w:r>
      <w:r>
        <w:rPr>
          <w:rFonts w:hint="default" w:ascii="Times New Roman" w:hAnsi="Times New Roman" w:eastAsia="仿宋_GB2312" w:cs="Times New Roman"/>
          <w:color w:val="auto"/>
          <w:kern w:val="0"/>
          <w:sz w:val="32"/>
          <w:szCs w:val="32"/>
          <w:shd w:val="clear" w:color="auto" w:fill="FFFFFF"/>
        </w:rPr>
        <w:t>国际国内行业领先的大企业、大集团，引进一批大型农产品加工企业，特别是产品附加值高的精深加工企业。对内优化精准培育。定期开展龙头企业监测评定，完善监测评定标准，动态调整龙头企业名录库，优化国省市县各层级龙头企业梯队结构，推进龙头企业逐步上档升级。发挥腾英农业、丰裕粮油等国有公司</w:t>
      </w:r>
      <w:r>
        <w:rPr>
          <w:rFonts w:hint="default" w:ascii="Times New Roman" w:hAnsi="Times New Roman" w:eastAsia="仿宋_GB2312" w:cs="Times New Roman"/>
          <w:color w:val="auto"/>
          <w:kern w:val="0"/>
          <w:sz w:val="32"/>
          <w:szCs w:val="32"/>
          <w:shd w:val="clear" w:color="auto" w:fill="FFFFFF"/>
          <w:lang w:eastAsia="zh-CN"/>
        </w:rPr>
        <w:t>的龙头示范作用，</w:t>
      </w:r>
      <w:r>
        <w:rPr>
          <w:rFonts w:hint="default" w:ascii="Times New Roman" w:hAnsi="Times New Roman" w:eastAsia="仿宋_GB2312" w:cs="Times New Roman"/>
          <w:color w:val="auto"/>
          <w:kern w:val="0"/>
          <w:sz w:val="32"/>
          <w:szCs w:val="32"/>
          <w:shd w:val="clear" w:color="auto" w:fill="FFFFFF"/>
        </w:rPr>
        <w:t>加强与国家级龙头企业合作发展优质粮油；支持齐全、</w:t>
      </w:r>
      <w:r>
        <w:rPr>
          <w:rFonts w:hint="default" w:ascii="Times New Roman" w:hAnsi="Times New Roman" w:eastAsia="仿宋_GB2312" w:cs="Times New Roman"/>
          <w:color w:val="auto"/>
          <w:kern w:val="0"/>
          <w:sz w:val="32"/>
          <w:szCs w:val="32"/>
          <w:shd w:val="clear" w:color="auto" w:fill="FFFFFF"/>
          <w:lang w:eastAsia="zh-CN"/>
        </w:rPr>
        <w:t>铁骑力士</w:t>
      </w:r>
      <w:r>
        <w:rPr>
          <w:rFonts w:hint="default" w:ascii="Times New Roman" w:hAnsi="Times New Roman" w:eastAsia="仿宋_GB2312" w:cs="Times New Roman"/>
          <w:color w:val="auto"/>
          <w:kern w:val="0"/>
          <w:sz w:val="32"/>
          <w:szCs w:val="32"/>
          <w:shd w:val="clear" w:color="auto" w:fill="FFFFFF"/>
        </w:rPr>
        <w:t>、南方烽润、沃田等企业带动发展现代畜牧业。支持康泉生物、滋宁药业、蜀鑫食品等一批农业龙头企业延伸全产业链条，加快构建</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工农互促</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三产融合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高质量发展机制。鼓励龙头企业排头</w:t>
      </w:r>
      <w:r>
        <w:rPr>
          <w:rFonts w:hint="default" w:ascii="Times New Roman" w:hAnsi="Times New Roman" w:eastAsia="仿宋_GB2312" w:cs="Times New Roman"/>
          <w:color w:val="auto"/>
          <w:kern w:val="0"/>
          <w:sz w:val="32"/>
          <w:szCs w:val="32"/>
          <w:shd w:val="clear" w:color="auto" w:fill="FFFFFF"/>
        </w:rPr>
        <w:t>兵牵头组建，</w:t>
      </w:r>
      <w:r>
        <w:rPr>
          <w:rFonts w:hint="default" w:ascii="Times New Roman" w:hAnsi="Times New Roman" w:eastAsia="仿宋_GB2312" w:cs="Times New Roman"/>
          <w:color w:val="auto"/>
          <w:kern w:val="0"/>
          <w:sz w:val="32"/>
          <w:szCs w:val="32"/>
          <w:shd w:val="clear" w:color="auto" w:fill="FFFFFF"/>
          <w:lang w:eastAsia="zh-CN"/>
        </w:rPr>
        <w:t>农民专业合作社</w:t>
      </w:r>
      <w:r>
        <w:rPr>
          <w:rFonts w:hint="default" w:ascii="Times New Roman" w:hAnsi="Times New Roman" w:eastAsia="仿宋_GB2312" w:cs="Times New Roman"/>
          <w:color w:val="auto"/>
          <w:kern w:val="0"/>
          <w:sz w:val="32"/>
          <w:szCs w:val="32"/>
          <w:shd w:val="clear" w:color="auto" w:fill="FFFFFF"/>
        </w:rPr>
        <w:t>和家庭农场等主体跟进、小农户参与的农业产业化联合体（产业联盟）。到2025年，全县龙头企业整体规模实力明显提升，带动能力显著增强。累计培育壮大县级以上龙头企业25家，建立更紧密农企利益联结机制覆盖面达到100%；力争培育年产值过5亿元的排头兵企业1家以上，年产值过亿元的龙头企业3家以上；六大特色产业均建立农业产业化联合体（产业联盟），累计培育农业产业化联合体（产业联盟）15个以上。</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2、高质量发展</w:t>
      </w:r>
      <w:r>
        <w:rPr>
          <w:rFonts w:hint="default" w:ascii="Times New Roman" w:hAnsi="Times New Roman" w:eastAsia="仿宋_GB2312" w:cs="Times New Roman"/>
          <w:b/>
          <w:bCs/>
          <w:color w:val="auto"/>
          <w:sz w:val="32"/>
          <w:szCs w:val="32"/>
          <w:lang w:eastAsia="zh-CN"/>
        </w:rPr>
        <w:t>农民专业合作社</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深入</w:t>
      </w:r>
      <w:r>
        <w:rPr>
          <w:rFonts w:hint="default" w:ascii="Times New Roman" w:hAnsi="Times New Roman" w:eastAsia="仿宋_GB2312" w:cs="Times New Roman"/>
          <w:color w:val="auto"/>
          <w:sz w:val="32"/>
          <w:szCs w:val="32"/>
          <w:lang w:eastAsia="zh-CN"/>
        </w:rPr>
        <w:t>贯彻</w:t>
      </w:r>
      <w:r>
        <w:rPr>
          <w:rFonts w:hint="default" w:ascii="Times New Roman" w:hAnsi="Times New Roman" w:eastAsia="仿宋_GB2312" w:cs="Times New Roman"/>
          <w:color w:val="auto"/>
          <w:kern w:val="0"/>
          <w:sz w:val="32"/>
          <w:szCs w:val="32"/>
          <w:shd w:val="clear" w:color="auto" w:fill="FFFFFF"/>
          <w:lang w:eastAsia="zh-CN"/>
        </w:rPr>
        <w:t>四川</w:t>
      </w:r>
      <w:r>
        <w:rPr>
          <w:rFonts w:hint="default" w:ascii="Times New Roman" w:hAnsi="Times New Roman" w:eastAsia="仿宋_GB2312" w:cs="Times New Roman"/>
          <w:color w:val="auto"/>
          <w:kern w:val="0"/>
          <w:sz w:val="32"/>
          <w:szCs w:val="32"/>
          <w:shd w:val="clear" w:color="auto" w:fill="FFFFFF"/>
        </w:rPr>
        <w:t>省农业农村厅</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关于印发〈四川省农民合作社规范指引〉〈四川省农民合作社名录表〉的通知</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（川农发〔2022〕12号）</w:t>
      </w:r>
      <w:r>
        <w:rPr>
          <w:rFonts w:hint="default" w:ascii="Times New Roman" w:hAnsi="Times New Roman" w:eastAsia="仿宋_GB2312" w:cs="Times New Roman"/>
          <w:color w:val="auto"/>
          <w:sz w:val="32"/>
          <w:szCs w:val="32"/>
        </w:rPr>
        <w:t>开展合作社规范提升行动，以规范发展和质量提升为目标，按照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规范运行、能力提升、示范创建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培育路径，强化指导服务，加强示范引领，优化扶持政策，增强合作社经营能力、服务能力和带农能力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整体实现合作社高质量发展。规范合作社运行水平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合作社规范章程制度、运行机制、财务管理、盈余分配等内部运行制度，加强合作社登记管理、畅通退出机制等外部管理服务。鼓励同业或关联产业的合作社通过兼并、合并等方式重构组织、整合资源，支持合作社依法自愿组建联合社，增强市场竞争力。提升合作社服务能力，鼓励支持合作社拓展产加销一体化、农旅文融合化、农业农村社会化服务等服务领域，推行规模化、标准化、机械化、信息化、绿色化生产服务方式，积极开展品牌化、网络化、定制化营销。扎实开展示范社创建，创建一批</w:t>
      </w:r>
      <w:r>
        <w:rPr>
          <w:rFonts w:hint="default" w:ascii="Times New Roman" w:hAnsi="Times New Roman" w:eastAsia="仿宋_GB2312" w:cs="Times New Roman"/>
          <w:color w:val="auto"/>
          <w:sz w:val="32"/>
          <w:szCs w:val="32"/>
          <w:lang w:eastAsia="zh-CN"/>
        </w:rPr>
        <w:t>农民专业合作社</w:t>
      </w:r>
      <w:r>
        <w:rPr>
          <w:rFonts w:hint="default" w:ascii="Times New Roman" w:hAnsi="Times New Roman" w:eastAsia="仿宋_GB2312" w:cs="Times New Roman"/>
          <w:color w:val="auto"/>
          <w:sz w:val="32"/>
          <w:szCs w:val="32"/>
        </w:rPr>
        <w:t>高质量发展示范社。到2025年，全县支持</w:t>
      </w:r>
      <w:r>
        <w:rPr>
          <w:rFonts w:hint="default" w:ascii="Times New Roman" w:hAnsi="Times New Roman" w:eastAsia="仿宋_GB2312" w:cs="Times New Roman"/>
          <w:color w:val="auto"/>
          <w:sz w:val="32"/>
          <w:szCs w:val="32"/>
          <w:lang w:eastAsia="zh-CN"/>
        </w:rPr>
        <w:t>农民专业合作社</w:t>
      </w:r>
      <w:r>
        <w:rPr>
          <w:rFonts w:hint="default" w:ascii="Times New Roman" w:hAnsi="Times New Roman" w:eastAsia="仿宋_GB2312" w:cs="Times New Roman"/>
          <w:color w:val="auto"/>
          <w:sz w:val="32"/>
          <w:szCs w:val="32"/>
        </w:rPr>
        <w:t>规范提升的政策体系和管理制度进一步完善，</w:t>
      </w:r>
      <w:r>
        <w:rPr>
          <w:rFonts w:hint="default" w:ascii="Times New Roman" w:hAnsi="Times New Roman" w:eastAsia="仿宋_GB2312" w:cs="Times New Roman"/>
          <w:color w:val="auto"/>
          <w:sz w:val="32"/>
          <w:szCs w:val="32"/>
          <w:lang w:eastAsia="zh-CN"/>
        </w:rPr>
        <w:t>农民专业合作社</w:t>
      </w:r>
      <w:r>
        <w:rPr>
          <w:rFonts w:hint="default" w:ascii="Times New Roman" w:hAnsi="Times New Roman" w:eastAsia="仿宋_GB2312" w:cs="Times New Roman"/>
          <w:color w:val="auto"/>
          <w:sz w:val="32"/>
          <w:szCs w:val="32"/>
        </w:rPr>
        <w:t>规范运行水平大幅提升，服务能力和带动能力显著增强。累计培育提升</w:t>
      </w:r>
      <w:r>
        <w:rPr>
          <w:rFonts w:hint="default" w:ascii="Times New Roman" w:hAnsi="Times New Roman" w:eastAsia="仿宋_GB2312" w:cs="Times New Roman"/>
          <w:color w:val="auto"/>
          <w:sz w:val="32"/>
          <w:szCs w:val="32"/>
          <w:lang w:eastAsia="zh-CN"/>
        </w:rPr>
        <w:t>农民专业合作社</w:t>
      </w:r>
      <w:r>
        <w:rPr>
          <w:rFonts w:hint="default" w:ascii="Times New Roman" w:hAnsi="Times New Roman" w:eastAsia="仿宋_GB2312" w:cs="Times New Roman"/>
          <w:color w:val="auto"/>
          <w:sz w:val="32"/>
          <w:szCs w:val="32"/>
        </w:rPr>
        <w:t>600家，入社成员和带动农户达到全县农业经营户总数55%以上；示范社创建取得重要进展，统一组织销售农产品占成员生产总量的80%以上，成员年均纯收入比非成员农户高20%以上。</w:t>
      </w:r>
    </w:p>
    <w:p>
      <w:pPr>
        <w:widowControl/>
        <w:spacing w:line="560" w:lineRule="exact"/>
        <w:ind w:firstLine="64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bCs/>
          <w:color w:val="auto"/>
          <w:kern w:val="0"/>
          <w:sz w:val="32"/>
          <w:szCs w:val="32"/>
          <w:shd w:val="clear" w:color="auto" w:fill="FFFFFF"/>
        </w:rPr>
        <w:t>3、大力发展家庭农场。</w:t>
      </w:r>
      <w:r>
        <w:rPr>
          <w:rFonts w:hint="default" w:ascii="Times New Roman" w:hAnsi="Times New Roman" w:eastAsia="仿宋_GB2312" w:cs="Times New Roman"/>
          <w:color w:val="auto"/>
          <w:kern w:val="0"/>
          <w:sz w:val="32"/>
          <w:szCs w:val="32"/>
          <w:shd w:val="clear" w:color="auto" w:fill="FFFFFF"/>
        </w:rPr>
        <w:t>深入贯彻实施农业农村部《新型农业经营主体和服务主体高质量发展规划（2020—2022年）》（农政改发〔2020〕2号）、农业农村部</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关于实施新型农业经营主体提升行动的通知</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（农经发〔2022〕1号）</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四川省农业农村厅《四川省现代农户家庭农场培育行动方案2019—2022年》（川农函〔2019〕478号）、《关于扎实做好2020年家庭农场高质量发展重点工作的通知》（川农函〔2019〕380号）、《大英县省级家庭农场示范县创建实施方案2020—2022年工作通知》，深入实施现代农户家庭农场培育行动。按照</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发展一批、规范一批、提升一批、推介一批</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的思路，不断完善土地要素、基础设施配套、专属金融保险等扶持政策体系，鼓励和支持种养大户、乡村本土能人、有返乡创业意愿的外出农民工、高校毕业生以及科技人员等人才成立家庭农场，发展农业适度规模经营。开展省级示范家庭农场示范县创建，加快培育一批规模适度、生产集约、管理先进、效益明显的家庭农场，引导其在发展适度规模经营、应用先进技术、实施标准化生产、纵向延伸农业产业链价值链以及带动小农户发展等方面发挥示范作用，为促进乡村全面振兴、实现农业农村现代化夯实基础。全面落实家庭农场辅导员制度，实现每个镇街有2名以上专职辅导员，每个家庭农场都有辅导员结对服务。探索系统推进家庭农场发展的政策体系和工作机制，促进家庭农场培育工作整县推进，整体提升家庭农场发展水平。积极开展家庭农场协会或联盟创建，根据种养品种等行业特点和不同行业、区域的需求，有序组建一批带动能力突出、示范效应明显的家庭农场协会或联盟，逐步构建家庭农场协会或联盟体系。到2025年，全县支持家庭农场发展的政策体系和</w:t>
      </w:r>
      <w:r>
        <w:rPr>
          <w:rFonts w:hint="default" w:ascii="Times New Roman" w:hAnsi="Times New Roman" w:eastAsia="仿宋_GB2312" w:cs="Times New Roman"/>
          <w:color w:val="auto"/>
          <w:sz w:val="32"/>
          <w:szCs w:val="32"/>
        </w:rPr>
        <w:t>管理制度进一步完善，家庭农场生产经营能力和带动能力得到巩固提升。累计培育壮大家庭农场1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00家以上，</w:t>
      </w:r>
      <w:r>
        <w:rPr>
          <w:rFonts w:hint="default" w:ascii="Times New Roman" w:hAnsi="Times New Roman"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rPr>
        <w:t>县级以上家庭农场示范场累计达到500家以上，市级以上家庭农场示范场累计达到200家以上（其中省级80家），</w:t>
      </w:r>
      <w:r>
        <w:rPr>
          <w:rFonts w:hint="default" w:ascii="Times New Roman" w:hAnsi="Times New Roman" w:eastAsia="仿宋_GB2312" w:cs="Times New Roman"/>
          <w:color w:val="auto"/>
          <w:sz w:val="32"/>
          <w:szCs w:val="32"/>
          <w:lang w:val="en-US" w:eastAsia="zh-CN"/>
        </w:rPr>
        <w:t>力争每个家庭农场</w:t>
      </w:r>
      <w:r>
        <w:rPr>
          <w:rFonts w:hint="default" w:ascii="Times New Roman" w:hAnsi="Times New Roman" w:eastAsia="仿宋_GB2312" w:cs="Times New Roman"/>
          <w:color w:val="auto"/>
          <w:sz w:val="32"/>
          <w:szCs w:val="32"/>
        </w:rPr>
        <w:t>有1</w:t>
      </w:r>
      <w:r>
        <w:rPr>
          <w:rFonts w:hint="default" w:ascii="Times New Roman" w:hAnsi="Times New Roman" w:eastAsia="仿宋_GB2312" w:cs="Times New Roman"/>
          <w:color w:val="auto"/>
          <w:sz w:val="32"/>
          <w:szCs w:val="32"/>
          <w:lang w:val="en-US" w:eastAsia="zh-CN"/>
        </w:rPr>
        <w:t>人参加新型</w:t>
      </w:r>
      <w:r>
        <w:rPr>
          <w:rFonts w:hint="default" w:ascii="Times New Roman" w:hAnsi="Times New Roman" w:eastAsia="仿宋_GB2312" w:cs="Times New Roman"/>
          <w:color w:val="auto"/>
          <w:sz w:val="32"/>
          <w:szCs w:val="32"/>
        </w:rPr>
        <w:t>职业农民培训。</w:t>
      </w:r>
    </w:p>
    <w:p>
      <w:pPr>
        <w:widowControl/>
        <w:spacing w:line="560" w:lineRule="exact"/>
        <w:ind w:firstLine="640"/>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8.1.2构建利益紧密联结机制</w:t>
      </w:r>
    </w:p>
    <w:p>
      <w:pPr>
        <w:widowControl/>
        <w:spacing w:line="560" w:lineRule="exact"/>
        <w:ind w:firstLine="64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bCs/>
          <w:color w:val="auto"/>
          <w:kern w:val="0"/>
          <w:sz w:val="32"/>
          <w:szCs w:val="32"/>
          <w:shd w:val="clear" w:color="auto" w:fill="FFFFFF"/>
        </w:rPr>
        <w:t>1、持续探索建立联农带农多种经营模式。</w:t>
      </w:r>
      <w:r>
        <w:rPr>
          <w:rFonts w:hint="default" w:ascii="Times New Roman" w:hAnsi="Times New Roman" w:eastAsia="仿宋_GB2312" w:cs="Times New Roman"/>
          <w:color w:val="auto"/>
          <w:kern w:val="0"/>
          <w:sz w:val="32"/>
          <w:szCs w:val="32"/>
          <w:shd w:val="clear" w:color="auto" w:fill="FFFFFF"/>
        </w:rPr>
        <w:t>探索推进</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农户+</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产业发展模式。</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农户+农户</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模式。支持小农户通过联户经营、联耕联种、组建合伙农场等方式联合开展生产，共同购置生产资料，接受统一服务，降低生产经营成本，共享市场资源，实现互补互利。引导同一区域同一产业的小农户依法组建产业协会、联合会，共同对接市场，提升市场竞争能力。</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农户+合作社</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模式。支持合作社根据小农户生产发展需要，加强农产品初加工、仓储物流、市场营销等关键环节建设，积极发展农户+合作社、农户+合作社+工厂或公司等模式。</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集体经济（合作社）+农户</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模式。支持农村集体经济组织和合作经济组织利用土地资源、整合涉农项目资金、提供社会化服务等，引领带动小农户发展现代农业。</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公司+农户</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模式。鼓励龙头企业通过公司+农户、公司+合作社+农户、公司+园区+农户等方式，延长产业链、保障供应链、完善利益链，将小农户纳入现代农业产业体系。</w:t>
      </w:r>
    </w:p>
    <w:p>
      <w:pPr>
        <w:widowControl/>
        <w:spacing w:line="560" w:lineRule="exact"/>
        <w:ind w:firstLine="64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bCs/>
          <w:color w:val="auto"/>
          <w:kern w:val="0"/>
          <w:sz w:val="32"/>
          <w:szCs w:val="32"/>
          <w:shd w:val="clear" w:color="auto" w:fill="FFFFFF"/>
        </w:rPr>
        <w:t>2、创新和健全利益联结长效机制。</w:t>
      </w:r>
      <w:r>
        <w:rPr>
          <w:rFonts w:hint="default" w:ascii="Times New Roman" w:hAnsi="Times New Roman" w:eastAsia="仿宋_GB2312" w:cs="Times New Roman"/>
          <w:color w:val="auto"/>
          <w:kern w:val="0"/>
          <w:sz w:val="32"/>
          <w:szCs w:val="32"/>
          <w:shd w:val="clear" w:color="auto" w:fill="FFFFFF"/>
        </w:rPr>
        <w:t>增强合作社</w:t>
      </w:r>
      <w:r>
        <w:rPr>
          <w:rFonts w:hint="default" w:ascii="Times New Roman" w:hAnsi="Times New Roman" w:eastAsia="仿宋_GB2312" w:cs="Times New Roman"/>
          <w:color w:val="auto"/>
          <w:sz w:val="32"/>
          <w:szCs w:val="32"/>
        </w:rPr>
        <w:t>带农能力。鼓励合作社创新利益联结机制，把联农带农成效纳入示范社创建重要依据。通过保底分红、股份合作、利润返还、服务带动等多种方式与其成员建立紧密的利益联结关系。鼓励</w:t>
      </w:r>
      <w:r>
        <w:rPr>
          <w:rFonts w:hint="default" w:ascii="Times New Roman" w:hAnsi="Times New Roman" w:eastAsia="仿宋_GB2312" w:cs="Times New Roman"/>
          <w:color w:val="auto"/>
          <w:sz w:val="32"/>
          <w:szCs w:val="32"/>
          <w:lang w:eastAsia="zh-CN"/>
        </w:rPr>
        <w:t>农民专业合作社</w:t>
      </w:r>
      <w:r>
        <w:rPr>
          <w:rFonts w:hint="default" w:ascii="Times New Roman" w:hAnsi="Times New Roman" w:eastAsia="仿宋_GB2312" w:cs="Times New Roman"/>
          <w:color w:val="auto"/>
          <w:sz w:val="32"/>
          <w:szCs w:val="32"/>
        </w:rPr>
        <w:t>与农村集体经济组织合作，依</w:t>
      </w:r>
      <w:r>
        <w:rPr>
          <w:rFonts w:hint="default" w:ascii="Times New Roman" w:hAnsi="Times New Roman" w:eastAsia="仿宋_GB2312" w:cs="Times New Roman"/>
          <w:color w:val="auto"/>
          <w:kern w:val="0"/>
          <w:sz w:val="32"/>
          <w:szCs w:val="32"/>
          <w:shd w:val="clear" w:color="auto" w:fill="FFFFFF"/>
        </w:rPr>
        <w:t>法依规盘活现有农村集体资产资源。支持家庭农场领办（创办）或加入</w:t>
      </w:r>
      <w:r>
        <w:rPr>
          <w:rFonts w:hint="default" w:ascii="Times New Roman" w:hAnsi="Times New Roman" w:eastAsia="仿宋_GB2312" w:cs="Times New Roman"/>
          <w:color w:val="auto"/>
          <w:kern w:val="0"/>
          <w:sz w:val="32"/>
          <w:szCs w:val="32"/>
          <w:shd w:val="clear" w:color="auto" w:fill="FFFFFF"/>
          <w:lang w:eastAsia="zh-CN"/>
        </w:rPr>
        <w:t>农民专业合作社</w:t>
      </w:r>
      <w:r>
        <w:rPr>
          <w:rFonts w:hint="default" w:ascii="Times New Roman" w:hAnsi="Times New Roman" w:eastAsia="仿宋_GB2312" w:cs="Times New Roman"/>
          <w:color w:val="auto"/>
          <w:kern w:val="0"/>
          <w:sz w:val="32"/>
          <w:szCs w:val="32"/>
          <w:shd w:val="clear" w:color="auto" w:fill="FFFFFF"/>
        </w:rPr>
        <w:t>。鼓励合作社吸纳低收入户自愿入社发展生产经营，依托合作社发展扶贫产业。鼓励财政资金形成资产股权量化到农村集体经济组织和农户后，以自愿出资的方式投入合作社，共享发展收益。发挥龙头企业带农作用。大力推行</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四保四分红</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等有效利益联结机制。把建立更紧密利益联结机制纳入龙头企业评定的重要指标。支持龙头企业通过订单收购、保底分红、二次返利、股份合作、吸纳就业、村企对接等多种形式带动小农户共同发展。鼓励小农户以土地经营权、林权等入股龙头企业并采取特殊保护，探索实行农民负盈不负亏的分配机制。鼓励和支持发展农业产业化联合体，通过统一生产、统一营销、信息互通、技术共享、品牌共创、融资担保等方式，与小农户形成稳定利益共同体。</w:t>
      </w:r>
    </w:p>
    <w:p>
      <w:pPr>
        <w:widowControl/>
        <w:spacing w:line="560" w:lineRule="exact"/>
        <w:ind w:firstLine="640"/>
        <w:rPr>
          <w:rFonts w:hint="default" w:ascii="Times New Roman" w:hAnsi="Times New Roman" w:eastAsia="仿宋_GB2312" w:cs="Times New Roman"/>
          <w:b/>
          <w:bCs/>
          <w:color w:val="auto"/>
          <w:kern w:val="0"/>
          <w:sz w:val="32"/>
          <w:szCs w:val="32"/>
        </w:rPr>
      </w:pPr>
      <w:bookmarkStart w:id="318" w:name="_Toc28782"/>
      <w:bookmarkStart w:id="319" w:name="_Toc31285"/>
      <w:bookmarkStart w:id="320" w:name="_Toc25008"/>
      <w:bookmarkStart w:id="321" w:name="_Toc26352"/>
      <w:bookmarkStart w:id="322" w:name="_Toc23914"/>
      <w:bookmarkStart w:id="323" w:name="_Toc21005"/>
      <w:bookmarkStart w:id="324" w:name="_Toc30525"/>
      <w:r>
        <w:rPr>
          <w:rFonts w:hint="default" w:ascii="Times New Roman" w:hAnsi="Times New Roman" w:eastAsia="仿宋_GB2312" w:cs="Times New Roman"/>
          <w:b/>
          <w:bCs/>
          <w:color w:val="auto"/>
          <w:kern w:val="0"/>
          <w:sz w:val="32"/>
          <w:szCs w:val="32"/>
        </w:rPr>
        <w:t>3、探索构建小农户与现代农业发展有机衔接机制</w:t>
      </w:r>
    </w:p>
    <w:p>
      <w:pPr>
        <w:spacing w:line="560" w:lineRule="exact"/>
        <w:ind w:firstLine="640"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围绕农村集体产权制度改革，突出农村土地经营管理制度创新和加强农村集体经济组织建设，通过试点推动，创新示范，加快推进农村土地集中高效利用破题，促进农户利益联结机制有效融入现代农业发展。坚持小农户家庭经营为基础与多种形式适度规模经营为引领相协调，深入推进供销社综合改革，培育各类专业化市场化服务组织，完善农业生产全程社会化服务机制，帮助小农户节本增效。推进多样化的联合与合作，提升小农户组织化程度。完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农户+合作社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农户+公司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利益联结机制，鼓励新型农业经营主体与小农户开展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合股联营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，帮助小农户对接大市场。建立健全针对小农户的产业技术指导和培训机制，鼓励发展生态农业、设施农业、体验农业、定制农业，提高产品档次和附加值。扶持小农户改善生产设施条件，提升抗风险能力。</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325" w:name="_Toc11125"/>
      <w:r>
        <w:rPr>
          <w:rFonts w:hint="default" w:ascii="Times New Roman" w:hAnsi="Times New Roman" w:eastAsia="仿宋_GB2312" w:cs="Times New Roman"/>
          <w:b/>
          <w:color w:val="auto"/>
          <w:sz w:val="32"/>
          <w:szCs w:val="32"/>
        </w:rPr>
        <w:t>8.2狠抓品牌建设，构建产品安全体系</w:t>
      </w:r>
      <w:bookmarkEnd w:id="318"/>
      <w:bookmarkEnd w:id="319"/>
      <w:bookmarkEnd w:id="320"/>
      <w:bookmarkEnd w:id="321"/>
      <w:bookmarkEnd w:id="322"/>
      <w:bookmarkEnd w:id="323"/>
      <w:bookmarkEnd w:id="324"/>
      <w:bookmarkEnd w:id="325"/>
    </w:p>
    <w:p>
      <w:pPr>
        <w:widowControl/>
        <w:spacing w:line="560" w:lineRule="exact"/>
        <w:ind w:firstLine="640"/>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8.2.1全力推进农业标准化生产</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把绿色、有机作为现代农业发展方向，全力推进农业标准化生产。加快制定保障农产品质量安全的生产规范和技术标准，建立和完善涵盖农业生产、农业管理和农业服务全过程标准体系，建设一批农业标准化示范基地和绿色（有机）农产品生产基地，大力开展畜禽标准化示范场（小区）、水产健康养殖示范场建设，严格执行农药安全间隔期、兽药休药期规定，推进农业生产规模化、标准化、绿色化。通过政府购买服务等方式，加大对统防统治、绿色防控、生物防治、配方施肥、健康养殖和高效低毒农药（兽药）使用等的支持。依托龙头企业、合作社、家庭农场等扩大标准化生产规模。到2025年，全县农业标准化生产面积达1</w:t>
      </w:r>
      <w:r>
        <w:rPr>
          <w:rFonts w:hint="default" w:ascii="Times New Roman" w:hAnsi="Times New Roman" w:eastAsia="仿宋_GB2312" w:cs="Times New Roman"/>
          <w:color w:val="000000"/>
          <w:sz w:val="32"/>
          <w:szCs w:val="32"/>
        </w:rPr>
        <w:t>5万亩，主要农产品标准化覆盖率达70%以上；农产品质量安全抽检合格率达</w:t>
      </w:r>
      <w:r>
        <w:rPr>
          <w:rFonts w:hint="default" w:ascii="Times New Roman" w:hAnsi="Times New Roman" w:eastAsia="仿宋_GB2312" w:cs="Times New Roman"/>
          <w:color w:val="000000"/>
          <w:sz w:val="32"/>
          <w:szCs w:val="32"/>
          <w:lang w:val="en-US" w:eastAsia="zh-CN"/>
        </w:rPr>
        <w:t>到</w:t>
      </w: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%以上。</w:t>
      </w:r>
    </w:p>
    <w:p>
      <w:pPr>
        <w:widowControl/>
        <w:spacing w:line="560" w:lineRule="exact"/>
        <w:ind w:firstLine="640"/>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bCs/>
          <w:color w:val="000000"/>
          <w:kern w:val="0"/>
          <w:sz w:val="32"/>
          <w:szCs w:val="32"/>
        </w:rPr>
        <w:t>8.2.2提高农产品质量安全监管能力</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始终坚持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四个最严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要求，落实党政同责规定，规范监管服务行为，实行网格化监管，压实各级监管职责。严格加强农业投入品监管，完善产地准出和市场准入制度，全面推行食用农产品合格证制度，加强和改善农产品质量安全监管条件，加大农产品质量安全执法力度，全面提升农产品质量安全监管执法能力和水平。</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十四五</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期间，根据省、市项目建设和投资情况，完善县级农产品质量安全</w:t>
      </w:r>
      <w:r>
        <w:rPr>
          <w:rFonts w:hint="default" w:ascii="Times New Roman" w:hAnsi="Times New Roman" w:eastAsia="仿宋_GB2312" w:cs="Times New Roman"/>
          <w:color w:val="000000"/>
          <w:sz w:val="32"/>
          <w:szCs w:val="32"/>
          <w:lang w:val="en-US" w:eastAsia="zh-CN"/>
        </w:rPr>
        <w:t>检验检测站</w:t>
      </w:r>
      <w:r>
        <w:rPr>
          <w:rFonts w:hint="default" w:ascii="Times New Roman" w:hAnsi="Times New Roman" w:eastAsia="仿宋_GB2312" w:cs="Times New Roman"/>
          <w:color w:val="000000"/>
          <w:sz w:val="32"/>
          <w:szCs w:val="32"/>
        </w:rPr>
        <w:t>建设，建设乡镇级农产品质量安全</w:t>
      </w:r>
      <w:r>
        <w:rPr>
          <w:rFonts w:hint="default" w:ascii="Times New Roman" w:hAnsi="Times New Roman" w:eastAsia="仿宋_GB2312" w:cs="Times New Roman"/>
          <w:color w:val="000000"/>
          <w:sz w:val="32"/>
          <w:szCs w:val="32"/>
          <w:lang w:val="en-US" w:eastAsia="zh-CN"/>
        </w:rPr>
        <w:t>监管服务</w:t>
      </w:r>
      <w:r>
        <w:rPr>
          <w:rFonts w:hint="default" w:ascii="Times New Roman" w:hAnsi="Times New Roman" w:eastAsia="仿宋_GB2312" w:cs="Times New Roman"/>
          <w:color w:val="000000"/>
          <w:sz w:val="32"/>
          <w:szCs w:val="32"/>
        </w:rPr>
        <w:t>站10个。切实加强县、镇街两级队伍建设，确保专人专岗。</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提高信息管理能力。深化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互联网+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思维，积极利用互联网和大数据分析技术，不断提升农产品质量安全水平和监管效能，初步建成</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一个平台、四个系统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（即农产品质</w:t>
      </w:r>
      <w:r>
        <w:rPr>
          <w:rFonts w:hint="default" w:ascii="Times New Roman" w:hAnsi="Times New Roman" w:eastAsia="仿宋_GB2312" w:cs="Times New Roman"/>
          <w:color w:val="auto"/>
          <w:sz w:val="32"/>
          <w:szCs w:val="32"/>
        </w:rPr>
        <w:t>量安全监管信息平台、网格化移动监管系统、质量安全追溯系统、农资条码销售管理系统、标准化生产信息系统），构建上下联动、全民参与、全程可追溯、互联共享的农产品质量安全监管信息体系。积极争创国家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农产品质量安全示范县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，探索制订区域特色农产品生产（种植、养殖）和加工地方标准。</w:t>
      </w:r>
    </w:p>
    <w:p>
      <w:pPr>
        <w:widowControl/>
        <w:spacing w:line="560" w:lineRule="exact"/>
        <w:ind w:firstLine="640"/>
        <w:rPr>
          <w:rFonts w:hint="default" w:ascii="Times New Roman" w:hAnsi="Times New Roman" w:eastAsia="仿宋_GB2312" w:cs="Times New Roman"/>
          <w:b/>
          <w:bCs/>
          <w:color w:val="auto"/>
          <w:kern w:val="0"/>
          <w:sz w:val="32"/>
          <w:szCs w:val="32"/>
          <w:shd w:val="clear" w:color="auto" w:fill="FFFFFF"/>
        </w:rPr>
      </w:pPr>
      <w:r>
        <w:rPr>
          <w:rFonts w:hint="default" w:ascii="Times New Roman" w:hAnsi="Times New Roman" w:eastAsia="仿宋_GB2312" w:cs="Times New Roman"/>
          <w:b/>
          <w:bCs/>
          <w:color w:val="auto"/>
          <w:kern w:val="0"/>
          <w:sz w:val="32"/>
          <w:szCs w:val="32"/>
        </w:rPr>
        <w:t>8.2.3扎实推进农产品品牌化建设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依托融入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川字号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遂宁鲜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，大力推动特色农业品牌创建。依据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绿色遂宁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品牌培育计划，强化质量意识，提高农产品及其加工品的质量安全水平，对农产品生产、加工、包装、储藏、运输、销售等进行严格的质量管理，率先实行农产品产地、质量、等级标识，建立可追溯制度，努力打造企业品牌影响力。</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积极引导农业龙头企业创建国家级、省级名牌农产品，打响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生态品牌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特色品牌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原产地品牌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，加大品牌产品的宣传力度，提高大英县品牌农产品的市场知名度，扩大农产品销售。</w:t>
      </w:r>
      <w:r>
        <w:rPr>
          <w:rFonts w:hint="default" w:ascii="Times New Roman" w:hAnsi="Times New Roman" w:eastAsia="仿宋_GB2312" w:cs="Times New Roman"/>
          <w:color w:val="auto"/>
          <w:sz w:val="32"/>
          <w:szCs w:val="32"/>
          <w:lang w:val="zh-TW"/>
        </w:rPr>
        <w:t>积极融入</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rPr>
        <w:t>川字号</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rPr>
        <w:t>遂宁鲜</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rPr>
        <w:t>，加快</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en-US" w:eastAsia="zh-CN"/>
        </w:rPr>
        <w:t>两</w:t>
      </w:r>
      <w:r>
        <w:rPr>
          <w:rFonts w:hint="default" w:ascii="Times New Roman" w:hAnsi="Times New Roman" w:eastAsia="仿宋_GB2312" w:cs="Times New Roman"/>
          <w:color w:val="auto"/>
          <w:sz w:val="32"/>
          <w:szCs w:val="32"/>
          <w:lang w:val="zh-TW"/>
        </w:rPr>
        <w:t>品一标</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rPr>
        <w:t>建设，巩固拓展河边白柠檬国家地理标志品牌效益，加快擦亮</w:t>
      </w:r>
      <w:r>
        <w:rPr>
          <w:rFonts w:hint="default" w:ascii="Times New Roman" w:hAnsi="Times New Roman" w:eastAsia="仿宋_GB2312" w:cs="Times New Roman"/>
          <w:color w:val="auto"/>
          <w:sz w:val="32"/>
          <w:szCs w:val="32"/>
          <w:lang w:val="zh-TW" w:eastAsia="zh-CN"/>
        </w:rPr>
        <w:t>天府天保米、</w:t>
      </w:r>
      <w:r>
        <w:rPr>
          <w:rFonts w:hint="default" w:ascii="Times New Roman" w:hAnsi="Times New Roman" w:eastAsia="仿宋_GB2312" w:cs="Times New Roman"/>
          <w:color w:val="auto"/>
          <w:sz w:val="32"/>
          <w:szCs w:val="32"/>
          <w:lang w:val="zh-TW"/>
        </w:rPr>
        <w:t>魁山牌</w:t>
      </w:r>
      <w:r>
        <w:rPr>
          <w:rFonts w:hint="default" w:ascii="Times New Roman" w:hAnsi="Times New Roman" w:eastAsia="仿宋_GB2312" w:cs="Times New Roman"/>
          <w:color w:val="auto"/>
          <w:sz w:val="32"/>
          <w:szCs w:val="32"/>
          <w:lang w:val="zh-TW" w:eastAsia="zh-CN"/>
        </w:rPr>
        <w:t>菜籽油</w:t>
      </w:r>
      <w:r>
        <w:rPr>
          <w:rFonts w:hint="default" w:ascii="Times New Roman" w:hAnsi="Times New Roman" w:eastAsia="仿宋_GB2312" w:cs="Times New Roman"/>
          <w:color w:val="auto"/>
          <w:sz w:val="32"/>
          <w:szCs w:val="32"/>
          <w:lang w:val="zh-TW"/>
        </w:rPr>
        <w:t>、智水香菜籽油、通仙牌九叶青花椒、海州牌醋</w:t>
      </w:r>
      <w:r>
        <w:rPr>
          <w:rFonts w:hint="default" w:ascii="Times New Roman" w:hAnsi="Times New Roman" w:eastAsia="仿宋_GB2312" w:cs="Times New Roman"/>
          <w:color w:val="auto"/>
          <w:sz w:val="32"/>
          <w:szCs w:val="32"/>
          <w:lang w:val="zh-TW" w:eastAsia="zh-CN"/>
        </w:rPr>
        <w:t>、遂宁黑鸡</w:t>
      </w:r>
      <w:r>
        <w:rPr>
          <w:rFonts w:hint="default" w:ascii="Times New Roman" w:hAnsi="Times New Roman" w:eastAsia="仿宋_GB2312" w:cs="Times New Roman"/>
          <w:color w:val="auto"/>
          <w:sz w:val="32"/>
          <w:szCs w:val="32"/>
          <w:lang w:val="zh-TW"/>
        </w:rPr>
        <w:t>等一批农产品品牌。</w:t>
      </w:r>
      <w:r>
        <w:rPr>
          <w:rFonts w:hint="default" w:ascii="Times New Roman" w:hAnsi="Times New Roman" w:eastAsia="仿宋_GB2312" w:cs="Times New Roman"/>
          <w:color w:val="auto"/>
          <w:sz w:val="32"/>
          <w:szCs w:val="32"/>
        </w:rPr>
        <w:t>通过品牌整</w:t>
      </w:r>
      <w:r>
        <w:rPr>
          <w:rFonts w:hint="default" w:ascii="Times New Roman" w:hAnsi="Times New Roman" w:eastAsia="仿宋_GB2312" w:cs="Times New Roman"/>
          <w:color w:val="000000"/>
          <w:sz w:val="32"/>
          <w:szCs w:val="32"/>
        </w:rPr>
        <w:t>合、形象设计、强化研发、宣传造势、举办节会等手段，重点扶持有基础、有提升空间的新老品牌，提升大英县农产品的整体形象，增强市场竞争力。到2025年，全县拥有国家和省市级名牌产品15个、驰名商标3个、地理标志</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个。</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按照</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突出品牌、突出重点、突出规模、突出特色、突出实效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的思路，组织农产品企业参加各类影响力大、展示推介效果明显的农业展会，发动品牌农业</w:t>
      </w:r>
      <w:r>
        <w:rPr>
          <w:rFonts w:hint="default" w:ascii="Times New Roman" w:hAnsi="Times New Roman" w:eastAsia="仿宋_GB2312" w:cs="Times New Roman"/>
          <w:color w:val="000000"/>
          <w:sz w:val="32"/>
          <w:szCs w:val="32"/>
          <w:lang w:val="en-US" w:eastAsia="zh-CN"/>
        </w:rPr>
        <w:t>品</w:t>
      </w:r>
      <w:r>
        <w:rPr>
          <w:rFonts w:hint="default" w:ascii="Times New Roman" w:hAnsi="Times New Roman" w:eastAsia="仿宋_GB2312" w:cs="Times New Roman"/>
          <w:color w:val="000000"/>
          <w:sz w:val="32"/>
          <w:szCs w:val="32"/>
        </w:rPr>
        <w:t>企业积极参加进市场、进超市、进社区、进饭店、进食堂、进餐桌</w:t>
      </w:r>
      <w:r>
        <w:rPr>
          <w:rFonts w:hint="default"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六进</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活动，鼓励品牌农产品企业积极对接阿里、京东等大型电商集团，与农业专业电商平台深度合作，利用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双11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双</w:t>
      </w:r>
      <w:r>
        <w:rPr>
          <w:rFonts w:hint="default" w:ascii="Times New Roman" w:hAnsi="Times New Roman" w:eastAsia="仿宋_GB2312" w:cs="Times New Roman"/>
          <w:color w:val="auto"/>
          <w:sz w:val="32"/>
          <w:szCs w:val="32"/>
        </w:rPr>
        <w:t>12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等电商节庆，开展促销活动，发挥农产品电商平台作用，加强农产品线上线下销售互动，促进品牌农产品上行。到2025年，全县品牌农产品营销达到</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亿元、电商平台销售</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亿元。</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326" w:name="_Toc22757"/>
      <w:bookmarkStart w:id="327" w:name="_Toc31030"/>
      <w:bookmarkStart w:id="328" w:name="_Toc20658"/>
      <w:bookmarkStart w:id="329" w:name="_Toc2742"/>
      <w:bookmarkStart w:id="330" w:name="_Toc28181"/>
      <w:bookmarkStart w:id="331" w:name="_Toc15399"/>
      <w:bookmarkStart w:id="332" w:name="_Toc28184"/>
      <w:bookmarkStart w:id="333" w:name="_Toc14494"/>
      <w:r>
        <w:rPr>
          <w:rFonts w:hint="default" w:ascii="Times New Roman" w:hAnsi="Times New Roman" w:eastAsia="仿宋_GB2312" w:cs="Times New Roman"/>
          <w:b/>
          <w:color w:val="auto"/>
          <w:sz w:val="32"/>
          <w:szCs w:val="32"/>
        </w:rPr>
        <w:t>8.3依托</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互联网+</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，引领农业产业升级</w:t>
      </w:r>
      <w:bookmarkEnd w:id="326"/>
      <w:bookmarkEnd w:id="327"/>
      <w:bookmarkEnd w:id="328"/>
      <w:bookmarkEnd w:id="329"/>
      <w:bookmarkEnd w:id="330"/>
      <w:bookmarkEnd w:id="331"/>
      <w:bookmarkEnd w:id="332"/>
      <w:bookmarkEnd w:id="333"/>
    </w:p>
    <w:p>
      <w:pPr>
        <w:widowControl/>
        <w:spacing w:line="560" w:lineRule="exact"/>
        <w:ind w:firstLine="640"/>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8.3.1加快发展农村电子商务</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推动农业电子商务发展，重点抓好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五个方面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抓主体培训，对农民专业合作社、家庭农场等新型农业经营主体进行电商技能培训；抓平台对接，组织各类新型经营主体与大中小电商平台对接；抓信息引导，加快完善农村电子商务数据信息的监测统计、分析预警、公开发布体系；抓试点示范，组织企业与农业部门开展合作，尤其要充分利用信息进村入户平台，大力推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四位一体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农村公共服务中心建设，开展产品直配城市社区和农业生产资料下乡试点；抓支撑环境，编制发布优质农产品目录，公开相关信息，加强标准制定，强化市场监管，为农村电子商务快速发展创造良好环境。确保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期间，实现农村电商网点覆盖</w:t>
      </w:r>
      <w:r>
        <w:rPr>
          <w:rFonts w:hint="default" w:ascii="Times New Roman" w:hAnsi="Times New Roman" w:eastAsia="仿宋_GB2312" w:cs="Times New Roman"/>
          <w:color w:val="auto"/>
          <w:sz w:val="32"/>
          <w:szCs w:val="32"/>
          <w:lang w:eastAsia="zh-CN"/>
        </w:rPr>
        <w:t>率</w:t>
      </w:r>
      <w:r>
        <w:rPr>
          <w:rFonts w:hint="default"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rPr>
        <w:t>，每年农业电商交易额超</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亿元。</w:t>
      </w:r>
    </w:p>
    <w:p>
      <w:pPr>
        <w:widowControl/>
        <w:spacing w:line="560" w:lineRule="exact"/>
        <w:ind w:firstLine="64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bCs/>
          <w:color w:val="auto"/>
          <w:kern w:val="0"/>
          <w:sz w:val="32"/>
          <w:szCs w:val="32"/>
        </w:rPr>
        <w:t>8.3.2深入推进农业物联网示范应用</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设施园艺方面主要用于农业物联网技术开发、农业生产环境监测、病虫防控监测、精准作业控制、视频监控等；在畜牧生产方面主要用于养殖环境视频监控、环境温度控制、自动喂料、自动除粪、自动分拣；在水产养殖方面主要用于水环境监测和生产自动控制；在农产品流通方面主要用于农产品电子商务和生鲜配送企业；在行政管理方面主要用于农产品质量监管、生猪监管、农村产权确权等工作；在农业信息服务方面主要用于测土配方施肥、农机跨区作业等。</w:t>
      </w:r>
    </w:p>
    <w:p>
      <w:pPr>
        <w:widowControl/>
        <w:spacing w:line="560" w:lineRule="exact"/>
        <w:ind w:firstLine="64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b/>
          <w:bCs/>
          <w:color w:val="auto"/>
          <w:kern w:val="0"/>
          <w:sz w:val="32"/>
          <w:szCs w:val="32"/>
        </w:rPr>
        <w:t>8.3.3抓紧实施农业大数据工程</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物联网、云计算、卫星遥感等技术，建立农业耕地、林地、水利设施、水资源、农业设施设备、新型经营主体、农业劳动力、金融资本等资源要素数据监测体系，促进农业环境、气象、生态等信息共享，构建农业资源要素数据共享平台，为各级政府、企业、农户提供农业资源数据查询服务，鼓励各类市场主体充分发掘平台数据，开展测土配方施肥、统防统治、农业保险等服务。</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立农产品生产环境、生产资料、生产过程、市场流通、加工储藏、检验检测等数据共享机制，推进数据实现自动化采集、网络化传输、标准化处理和可视化运用，提高数据的真实性、准确性、及时性和关联性，与农产品电子商务等交易平台互联共享，实现各环节信息可查询、来源可追溯、去向可跟踪、责任可追究，推进实现种子、农药、化肥等重要生产资料信息可追溯，为生产者、消费者、监管者提供农产品质量安全信息服务，促进农产品消费安全。</w:t>
      </w:r>
      <w:bookmarkStart w:id="334" w:name="_Toc17083"/>
      <w:bookmarkStart w:id="335" w:name="_Toc3859"/>
      <w:bookmarkStart w:id="336" w:name="_Toc30101"/>
      <w:bookmarkStart w:id="337" w:name="_Toc26445"/>
      <w:bookmarkStart w:id="338" w:name="_Toc20549"/>
      <w:bookmarkStart w:id="339" w:name="_Toc29018"/>
      <w:bookmarkStart w:id="340" w:name="_Toc15275"/>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jc w:val="center"/>
        <w:rPr>
          <w:rFonts w:hint="default" w:ascii="Times New Roman" w:hAnsi="Times New Roman" w:eastAsia="黑体" w:cs="Times New Roman"/>
          <w:color w:val="auto"/>
          <w:kern w:val="0"/>
          <w:sz w:val="32"/>
          <w:szCs w:val="32"/>
          <w:lang w:val="mn-Mong-CN" w:bidi="mn-Mong-CN"/>
        </w:rPr>
      </w:pPr>
      <w:r>
        <w:rPr>
          <w:rFonts w:hint="default" w:ascii="Times New Roman" w:hAnsi="Times New Roman" w:eastAsia="黑体" w:cs="Times New Roman"/>
          <w:color w:val="auto"/>
          <w:kern w:val="0"/>
          <w:sz w:val="32"/>
          <w:szCs w:val="32"/>
          <w:lang w:val="mn-Mong-CN" w:bidi="mn-Mong-CN"/>
        </w:rPr>
        <w:t>第九章  深化农村改革</w:t>
      </w:r>
      <w:bookmarkEnd w:id="334"/>
      <w:bookmarkEnd w:id="335"/>
      <w:bookmarkEnd w:id="336"/>
      <w:bookmarkEnd w:id="337"/>
      <w:bookmarkEnd w:id="338"/>
      <w:bookmarkEnd w:id="339"/>
      <w:r>
        <w:rPr>
          <w:rFonts w:hint="default" w:ascii="Times New Roman" w:hAnsi="Times New Roman" w:eastAsia="黑体" w:cs="Times New Roman"/>
          <w:color w:val="auto"/>
          <w:kern w:val="0"/>
          <w:sz w:val="32"/>
          <w:szCs w:val="32"/>
          <w:lang w:val="mn-Mong-CN" w:bidi="mn-Mong-CN"/>
        </w:rPr>
        <w:t>促进开放发展</w:t>
      </w:r>
      <w:bookmarkEnd w:id="340"/>
    </w:p>
    <w:p>
      <w:pPr>
        <w:pStyle w:val="27"/>
        <w:rPr>
          <w:rFonts w:hint="default" w:ascii="Times New Roman" w:hAnsi="Times New Roman" w:cs="Times New Roman"/>
          <w:lang w:val="mn-Mong-CN"/>
        </w:rPr>
      </w:pP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341" w:name="_Toc3488"/>
      <w:bookmarkStart w:id="342" w:name="_Toc29343"/>
      <w:bookmarkStart w:id="343" w:name="_Toc28644"/>
      <w:bookmarkStart w:id="344" w:name="_Toc26700"/>
      <w:bookmarkStart w:id="345" w:name="_Toc21632"/>
      <w:bookmarkStart w:id="346" w:name="_Toc17177"/>
      <w:bookmarkStart w:id="347" w:name="_Toc32601"/>
      <w:bookmarkStart w:id="348" w:name="_Toc10023"/>
      <w:r>
        <w:rPr>
          <w:rFonts w:hint="default" w:ascii="Times New Roman" w:hAnsi="Times New Roman" w:eastAsia="仿宋_GB2312" w:cs="Times New Roman"/>
          <w:b/>
          <w:color w:val="auto"/>
          <w:sz w:val="32"/>
          <w:szCs w:val="32"/>
        </w:rPr>
        <w:t>9.1深化改革创新，提高农村发展活力</w:t>
      </w:r>
      <w:bookmarkEnd w:id="341"/>
      <w:bookmarkEnd w:id="342"/>
      <w:bookmarkEnd w:id="343"/>
      <w:bookmarkEnd w:id="344"/>
      <w:bookmarkEnd w:id="345"/>
      <w:bookmarkEnd w:id="346"/>
      <w:bookmarkEnd w:id="347"/>
      <w:bookmarkEnd w:id="348"/>
    </w:p>
    <w:p>
      <w:pPr>
        <w:widowControl/>
        <w:spacing w:line="560" w:lineRule="exact"/>
        <w:ind w:firstLine="640"/>
        <w:rPr>
          <w:rFonts w:hint="default" w:ascii="Times New Roman" w:hAnsi="Times New Roman" w:eastAsia="仿宋_GB2312" w:cs="Times New Roman"/>
          <w:b/>
          <w:bCs/>
          <w:color w:val="auto"/>
          <w:kern w:val="0"/>
          <w:sz w:val="32"/>
          <w:szCs w:val="32"/>
          <w:shd w:val="clear" w:color="auto" w:fill="FFFFFF"/>
        </w:rPr>
      </w:pPr>
      <w:r>
        <w:rPr>
          <w:rFonts w:hint="default" w:ascii="Times New Roman" w:hAnsi="Times New Roman" w:eastAsia="仿宋_GB2312" w:cs="Times New Roman"/>
          <w:b/>
          <w:bCs/>
          <w:color w:val="auto"/>
          <w:kern w:val="0"/>
          <w:sz w:val="32"/>
          <w:szCs w:val="32"/>
        </w:rPr>
        <w:t>9.1.1巩固和完善农村基本经营制度</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坚持家庭经营基础性地位，赋予双层经营体制新的内涵。突出抓好家庭农场和</w:t>
      </w:r>
      <w:r>
        <w:rPr>
          <w:rFonts w:hint="default" w:ascii="Times New Roman" w:hAnsi="Times New Roman" w:eastAsia="仿宋_GB2312" w:cs="Times New Roman"/>
          <w:color w:val="auto"/>
          <w:sz w:val="32"/>
          <w:szCs w:val="32"/>
          <w:lang w:eastAsia="zh-CN"/>
        </w:rPr>
        <w:t>农民专业合作社</w:t>
      </w:r>
      <w:r>
        <w:rPr>
          <w:rFonts w:hint="default" w:ascii="Times New Roman" w:hAnsi="Times New Roman" w:eastAsia="仿宋_GB2312" w:cs="Times New Roman"/>
          <w:color w:val="auto"/>
          <w:sz w:val="32"/>
          <w:szCs w:val="32"/>
        </w:rPr>
        <w:t>两类新型农业经营主体发展，实施家庭农场培育计划，开展</w:t>
      </w:r>
      <w:r>
        <w:rPr>
          <w:rFonts w:hint="default" w:ascii="Times New Roman" w:hAnsi="Times New Roman" w:eastAsia="仿宋_GB2312" w:cs="Times New Roman"/>
          <w:color w:val="auto"/>
          <w:sz w:val="32"/>
          <w:szCs w:val="32"/>
          <w:lang w:eastAsia="zh-CN"/>
        </w:rPr>
        <w:t>农民专业合作社质量整县</w:t>
      </w:r>
      <w:r>
        <w:rPr>
          <w:rFonts w:hint="default" w:ascii="Times New Roman" w:hAnsi="Times New Roman" w:eastAsia="仿宋_GB2312" w:cs="Times New Roman"/>
          <w:color w:val="auto"/>
          <w:sz w:val="32"/>
          <w:szCs w:val="32"/>
        </w:rPr>
        <w:t>提升行动，深入推进示范合作社建设，</w:t>
      </w:r>
      <w:r>
        <w:rPr>
          <w:rFonts w:hint="default" w:ascii="Times New Roman" w:hAnsi="Times New Roman" w:eastAsia="仿宋_GB2312" w:cs="Times New Roman"/>
          <w:color w:val="auto"/>
          <w:sz w:val="32"/>
          <w:szCs w:val="32"/>
          <w:lang w:eastAsia="zh-CN"/>
        </w:rPr>
        <w:t>以家庭农场示范</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创建为抓手，优化提升家庭农场发展质量，</w:t>
      </w:r>
      <w:r>
        <w:rPr>
          <w:rFonts w:hint="default" w:ascii="Times New Roman" w:hAnsi="Times New Roman" w:eastAsia="仿宋_GB2312" w:cs="Times New Roman"/>
          <w:color w:val="auto"/>
          <w:sz w:val="32"/>
          <w:szCs w:val="32"/>
        </w:rPr>
        <w:t>细化完善促进家庭农场、</w:t>
      </w:r>
      <w:r>
        <w:rPr>
          <w:rFonts w:hint="default" w:ascii="Times New Roman" w:hAnsi="Times New Roman" w:eastAsia="仿宋_GB2312" w:cs="Times New Roman"/>
          <w:color w:val="auto"/>
          <w:sz w:val="32"/>
          <w:szCs w:val="32"/>
          <w:lang w:eastAsia="zh-CN"/>
        </w:rPr>
        <w:t>农民专业合作社</w:t>
      </w:r>
      <w:r>
        <w:rPr>
          <w:rFonts w:hint="default" w:ascii="Times New Roman" w:hAnsi="Times New Roman" w:eastAsia="仿宋_GB2312" w:cs="Times New Roman"/>
          <w:color w:val="auto"/>
          <w:sz w:val="32"/>
          <w:szCs w:val="32"/>
        </w:rPr>
        <w:t>发展的政策支持体系和管理服务制度。到2025年，全县新型农业经营主体累计达到1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00个以上。</w:t>
      </w:r>
    </w:p>
    <w:p>
      <w:pPr>
        <w:widowControl/>
        <w:spacing w:line="560" w:lineRule="exact"/>
        <w:ind w:firstLine="640"/>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9.1.2深化农村土地制度改革</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落实中央关于农村土地承包关系稳定并长久不变政策制度，做好第二轮土地承包到期后再延长30年政策衔接工作。深入推进农村承包地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三权分置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改革，完善落实集体所有权、稳定农户承包权、放活土地经营权的措施。全面完成农村承包土地确权登记颁证深化完善工作。完善土地流转规范管理制度，发展多种形式适度规模经营，依法依规开展承包土地的经营权担保融资；创新探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股份合作制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耕地托管制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整村成建制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的土地流转模式，力争各镇选择1—3个优势特色村或成立土地股份合作社，或实现整村耕地托管，或实现整村成建制土地流转；可借鉴成都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确权还能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改革经验，使农村土地使用权逐步获得与城市土地（国有土地）同等的市场地位，从而激活了农村土地流转和农业产业化发展。坚持农村土地集体所有、不搞私有化，坚持农地农用、防止非农化，坚持保障农民土地权益、不得以退出承包地和宅基地作为农民进城落户条件。推进农村土地征收制度改革和农村集体经营性建设用地入市改革，加快建立城乡统一的建设用地市场。探索宅基地所有权、资格权、使用权分置实现形式，落实宅基地集体所有权，保障宅基地农户资格权和农民房屋财产权，适度放活宅基地使用权，探索农村集体组织以出租、合作等方式盘活利用空闲农房及宅基地，开展全域土地综合整治试点。多渠道筹集资金，用于村集体对进城落户农民自愿退出承包地、宅基地的规定补偿。落实好国家设施农业用地等用地政策和管理办法，严格农业设施用地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满足合理需求，巩固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大棚房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问题整治成果。调整完善土地出让收入使用范围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提高农业农村投入比例（到2025年力争达到60%）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重点用于农村人居环境整治、村庄基础设施建设和高标准农田建设。</w:t>
      </w:r>
    </w:p>
    <w:p>
      <w:pPr>
        <w:widowControl/>
        <w:spacing w:line="560" w:lineRule="exact"/>
        <w:ind w:firstLine="640"/>
        <w:rPr>
          <w:rFonts w:hint="default" w:ascii="Times New Roman" w:hAnsi="Times New Roman" w:eastAsia="仿宋_GB2312" w:cs="Times New Roman"/>
          <w:b/>
          <w:bCs/>
          <w:color w:val="auto"/>
          <w:kern w:val="0"/>
          <w:sz w:val="32"/>
          <w:szCs w:val="32"/>
          <w:shd w:val="clear" w:color="auto" w:fill="FFFFFF"/>
        </w:rPr>
      </w:pPr>
      <w:r>
        <w:rPr>
          <w:rFonts w:hint="default" w:ascii="Times New Roman" w:hAnsi="Times New Roman" w:eastAsia="仿宋_GB2312" w:cs="Times New Roman"/>
          <w:b/>
          <w:bCs/>
          <w:color w:val="auto"/>
          <w:kern w:val="0"/>
          <w:sz w:val="32"/>
          <w:szCs w:val="32"/>
        </w:rPr>
        <w:t>9.1.3以农村集体经济组织建设推进产权制度改革</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巩固农村集体产权制度改革成果，围绕村建制调整改革，加强和规范农村集体经济组织，加快以土地流转合作社为重点的农村集体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监管服务平台建设，建立健全集体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项管理制度。以农村集体资产清产核资和农村集体经济组织成员身份确认工作为基础，探索农村集体经济组织成员界定办法及规范程序，保护好农村特殊人群的合法权益。积极推进农村集体经营性资产股份合作制改革。稳妥推进农村集体资产股份有偿退出、继承等权能改革试点。健全农村产权流转交易市场服务体系，充分发挥农村产权流转交易市场作用，推动农村各类产权流转交易公开规范运行，激活农村资源要素。积极探索资源变资产、资金变股金、农民变股东经验办法，不断壮大农村集体经济。</w:t>
      </w:r>
    </w:p>
    <w:p>
      <w:pPr>
        <w:pStyle w:val="31"/>
        <w:spacing w:line="560" w:lineRule="exact"/>
        <w:ind w:firstLine="642"/>
        <w:jc w:val="both"/>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rPr>
        <w:t>9.1.4</w:t>
      </w:r>
      <w:r>
        <w:rPr>
          <w:rFonts w:hint="default" w:ascii="Times New Roman" w:hAnsi="Times New Roman" w:eastAsia="仿宋_GB2312" w:cs="Times New Roman"/>
          <w:b/>
          <w:bCs/>
          <w:color w:val="auto"/>
          <w:sz w:val="32"/>
          <w:szCs w:val="32"/>
          <w:lang w:val="zh-CN"/>
        </w:rPr>
        <w:t>解除体制障碍</w:t>
      </w:r>
    </w:p>
    <w:p>
      <w:pPr>
        <w:pStyle w:val="20"/>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城乡二元结构是影响城乡协调发展的主要障碍，制约城乡要素平等交换、收益合理分配，妨碍农业综合效益和竞争力提高。在国家和省市有关体制和政策层面上，逐步探索建立城乡融合发展体制机制和政策体系。全面深化改革，清除阻碍要素下乡的各种障碍，建立健全城乡一体化的要素市场，推动城乡要素自由流动、平等交换，激发农业农村发展活力。坚持以城带乡、以工促农，用现代生产方式、信息技术改造提升农业，加快农业现代化步伐，促进农村一、二、三产业融合发展，对能促进乡村产业融合发展的龙头企业、合作社、家庭农场等市场主体给予税收、土地、金融等方面的优惠激励。促进小农户与现代农业的有机衔接，补齐小农户小规模经营短板，加快推广应用小型农业机械，积极运用卫星导航和互联网服务进行信息化田间管理，以弥补耕地规模小的局限。</w:t>
      </w:r>
    </w:p>
    <w:p>
      <w:pPr>
        <w:pStyle w:val="20"/>
        <w:spacing w:before="0" w:beforeAutospacing="0" w:after="0" w:afterAutospacing="0" w:line="560"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9.1.5落实和完善农业支持保护制度</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大财政资金整合、撬动、股份化改革力度，改进财政支农资金投入和使用方式，主要用于扶持重点区域、重点产业、重点园区、重点项目、重点企业、重点品牌发展。发挥好农业产业引导基金作用，加大对农业贷款贴息、农业担保费补贴、农业保险保费补贴支持力度。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扩面、增品、提标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的要求，完善农业保险相关措施。建立银行业金融机构服务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的激励约束机制，实现普惠性涉农贷款增速总体高于各项贷款平均增速。推动农村商业银行回归本源，为本地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服务，新增贷款主要用于乡村振兴。鼓励银行业金融机构加大对乡村振兴中长期信贷支持力度。支持重点领域特色农产品期货期权品种上市。继续推进农业项目财政补助资金股权化改革。</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349" w:name="_Toc3747"/>
      <w:bookmarkStart w:id="350" w:name="_Toc7281"/>
      <w:bookmarkStart w:id="351" w:name="_Toc3586"/>
      <w:bookmarkStart w:id="352" w:name="_Toc32551"/>
      <w:bookmarkStart w:id="353" w:name="_Toc1393"/>
      <w:bookmarkStart w:id="354" w:name="_Toc32752"/>
      <w:bookmarkStart w:id="355" w:name="_Toc10362"/>
      <w:bookmarkStart w:id="356" w:name="_Toc27716"/>
      <w:r>
        <w:rPr>
          <w:rFonts w:hint="default" w:ascii="Times New Roman" w:hAnsi="Times New Roman" w:eastAsia="仿宋_GB2312" w:cs="Times New Roman"/>
          <w:b/>
          <w:color w:val="auto"/>
          <w:sz w:val="32"/>
          <w:szCs w:val="32"/>
        </w:rPr>
        <w:t>9.2依托</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旅游+</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，助推休闲农业发展</w:t>
      </w:r>
      <w:bookmarkEnd w:id="349"/>
      <w:bookmarkEnd w:id="350"/>
      <w:bookmarkEnd w:id="351"/>
      <w:bookmarkEnd w:id="352"/>
      <w:bookmarkEnd w:id="353"/>
      <w:bookmarkEnd w:id="354"/>
      <w:bookmarkEnd w:id="355"/>
      <w:bookmarkEnd w:id="356"/>
    </w:p>
    <w:p>
      <w:pPr>
        <w:widowControl/>
        <w:spacing w:line="560" w:lineRule="exact"/>
        <w:ind w:firstLine="641"/>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9.2.1着力发展</w:t>
      </w:r>
      <w:r>
        <w:rPr>
          <w:rFonts w:hint="default" w:ascii="Times New Roman" w:hAnsi="Times New Roman" w:eastAsia="仿宋_GB2312" w:cs="Times New Roman"/>
          <w:b/>
          <w:bCs/>
          <w:color w:val="auto"/>
          <w:kern w:val="0"/>
          <w:sz w:val="32"/>
          <w:szCs w:val="32"/>
          <w:lang w:eastAsia="zh-CN"/>
        </w:rPr>
        <w:t>“</w:t>
      </w:r>
      <w:r>
        <w:rPr>
          <w:rFonts w:hint="default" w:ascii="Times New Roman" w:hAnsi="Times New Roman" w:eastAsia="仿宋_GB2312" w:cs="Times New Roman"/>
          <w:b/>
          <w:bCs/>
          <w:color w:val="auto"/>
          <w:kern w:val="0"/>
          <w:sz w:val="32"/>
          <w:szCs w:val="32"/>
        </w:rPr>
        <w:t>旅游+农业</w:t>
      </w:r>
      <w:r>
        <w:rPr>
          <w:rFonts w:hint="default" w:ascii="Times New Roman" w:hAnsi="Times New Roman" w:eastAsia="仿宋_GB2312" w:cs="Times New Roman"/>
          <w:b/>
          <w:bCs/>
          <w:color w:val="auto"/>
          <w:kern w:val="0"/>
          <w:sz w:val="32"/>
          <w:szCs w:val="32"/>
          <w:lang w:eastAsia="zh-CN"/>
        </w:rPr>
        <w:t>”</w:t>
      </w:r>
      <w:r>
        <w:rPr>
          <w:rFonts w:hint="default" w:ascii="Times New Roman" w:hAnsi="Times New Roman" w:eastAsia="仿宋_GB2312" w:cs="Times New Roman"/>
          <w:b/>
          <w:bCs/>
          <w:color w:val="auto"/>
          <w:kern w:val="0"/>
          <w:sz w:val="32"/>
          <w:szCs w:val="32"/>
        </w:rPr>
        <w:t>，发展精致休闲农业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农旅融合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的发展道路，大力发展精致农业，</w:t>
      </w:r>
      <w:r>
        <w:rPr>
          <w:rFonts w:hint="default" w:ascii="Times New Roman" w:hAnsi="Times New Roman" w:eastAsia="仿宋_GB2312" w:cs="Times New Roman"/>
          <w:color w:val="auto"/>
          <w:sz w:val="32"/>
          <w:szCs w:val="32"/>
          <w:lang w:eastAsia="zh-CN"/>
        </w:rPr>
        <w:t>打造大英休闲农业观光旅游带</w:t>
      </w:r>
      <w:r>
        <w:rPr>
          <w:rFonts w:hint="default" w:ascii="Times New Roman" w:hAnsi="Times New Roman" w:eastAsia="仿宋_GB2312" w:cs="Times New Roman"/>
          <w:color w:val="auto"/>
          <w:sz w:val="32"/>
          <w:szCs w:val="32"/>
        </w:rPr>
        <w:t>。通过整合美丽乡村建设、丘陵特色现代生态农业开发等各类项目资金，培育一批以生态果园风光、乡村田园风貌和自然生态景观等为代表的田园综合体，建成40个精致休闲农庄（民宿），把种庄稼变为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种风景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荒凉地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变成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致富宝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，实现传统农业种植由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广种薄收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向高效益的休闲农业转型，使农业资源与旅游资源深度融合，使休闲农业成为大英县实现农业转型升级、绿色崛起的有效途径。结合现代农业园区建设和</w:t>
      </w:r>
      <w:r>
        <w:rPr>
          <w:rFonts w:hint="default" w:ascii="Times New Roman" w:hAnsi="Times New Roman" w:eastAsia="仿宋_GB2312" w:cs="Times New Roman"/>
          <w:color w:val="auto"/>
          <w:sz w:val="32"/>
          <w:szCs w:val="32"/>
          <w:lang w:eastAsia="zh-CN"/>
        </w:rPr>
        <w:t>精品示范村</w:t>
      </w:r>
      <w:r>
        <w:rPr>
          <w:rFonts w:hint="default" w:ascii="Times New Roman" w:hAnsi="Times New Roman" w:eastAsia="仿宋_GB2312" w:cs="Times New Roman"/>
          <w:color w:val="auto"/>
          <w:sz w:val="32"/>
          <w:szCs w:val="32"/>
        </w:rPr>
        <w:t>建设，加快培育一批国家级、省级、市级休闲农庄，大力培育休闲观光农业。结合卓筒井考古遗址规划、军辉农场国家级休闲农庄</w:t>
      </w:r>
      <w:r>
        <w:rPr>
          <w:rFonts w:hint="default" w:ascii="Times New Roman" w:hAnsi="Times New Roman" w:eastAsia="仿宋_GB2312" w:cs="Times New Roman"/>
          <w:color w:val="auto"/>
          <w:sz w:val="32"/>
          <w:szCs w:val="32"/>
          <w:lang w:eastAsia="zh-CN"/>
        </w:rPr>
        <w:t>创建、贾岛文化挖掘</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推进“宋井桃源”“乐享土门”运营管理和“阆仙诗苑”规划建设</w:t>
      </w:r>
      <w:r>
        <w:rPr>
          <w:rFonts w:hint="default" w:ascii="Times New Roman" w:hAnsi="Times New Roman" w:eastAsia="仿宋_GB2312" w:cs="Times New Roman"/>
          <w:color w:val="auto"/>
          <w:sz w:val="32"/>
          <w:szCs w:val="32"/>
        </w:rPr>
        <w:t>。</w:t>
      </w:r>
    </w:p>
    <w:p>
      <w:pPr>
        <w:widowControl/>
        <w:spacing w:line="560" w:lineRule="exact"/>
        <w:ind w:firstLine="640"/>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9.2.2加快发展</w:t>
      </w:r>
      <w:r>
        <w:rPr>
          <w:rFonts w:hint="default" w:ascii="Times New Roman" w:hAnsi="Times New Roman" w:eastAsia="仿宋_GB2312" w:cs="Times New Roman"/>
          <w:b/>
          <w:bCs/>
          <w:color w:val="auto"/>
          <w:kern w:val="0"/>
          <w:sz w:val="32"/>
          <w:szCs w:val="32"/>
          <w:lang w:eastAsia="zh-CN"/>
        </w:rPr>
        <w:t>“</w:t>
      </w:r>
      <w:r>
        <w:rPr>
          <w:rFonts w:hint="default" w:ascii="Times New Roman" w:hAnsi="Times New Roman" w:eastAsia="仿宋_GB2312" w:cs="Times New Roman"/>
          <w:b/>
          <w:bCs/>
          <w:color w:val="auto"/>
          <w:kern w:val="0"/>
          <w:sz w:val="32"/>
          <w:szCs w:val="32"/>
        </w:rPr>
        <w:t>旅游+工业</w:t>
      </w:r>
      <w:r>
        <w:rPr>
          <w:rFonts w:hint="default" w:ascii="Times New Roman" w:hAnsi="Times New Roman" w:eastAsia="仿宋_GB2312" w:cs="Times New Roman"/>
          <w:b/>
          <w:bCs/>
          <w:color w:val="auto"/>
          <w:kern w:val="0"/>
          <w:sz w:val="32"/>
          <w:szCs w:val="32"/>
          <w:lang w:eastAsia="zh-CN"/>
        </w:rPr>
        <w:t>”</w:t>
      </w:r>
      <w:r>
        <w:rPr>
          <w:rFonts w:hint="default" w:ascii="Times New Roman" w:hAnsi="Times New Roman" w:eastAsia="仿宋_GB2312" w:cs="Times New Roman"/>
          <w:b/>
          <w:bCs/>
          <w:color w:val="auto"/>
          <w:kern w:val="0"/>
          <w:sz w:val="32"/>
          <w:szCs w:val="32"/>
        </w:rPr>
        <w:t>，开发农特商品</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天府旅游名县创建为契机，推进全域旅游发展，积极培育农业新业态、产业链，加快现代农业、工业、文旅融合发展。充分发挥龙头企业的带动力、基地产业的聚集效应，吸收外来投资和民间投资，不断做大做强旅游商品产业，使旅游商品的发展更加适应大英旅游业快速发展的需要。发挥大英旅游这一市场优势，以及大英县独特的果蔬、中药材等农产品优势，大力发展旅游商品产业，促进特色农产品向旅游商品转化，形成旅游工艺品、旅游食品、旅游用品等旅游商品体系。</w:t>
      </w:r>
      <w:r>
        <w:rPr>
          <w:rFonts w:hint="default" w:ascii="Times New Roman" w:hAnsi="Times New Roman" w:eastAsia="仿宋_GB2312" w:cs="Times New Roman"/>
          <w:color w:val="auto"/>
          <w:sz w:val="32"/>
          <w:szCs w:val="32"/>
          <w:lang w:val="zh-TW"/>
        </w:rPr>
        <w:t>持续</w:t>
      </w:r>
      <w:r>
        <w:rPr>
          <w:rFonts w:hint="default" w:ascii="Times New Roman" w:hAnsi="Times New Roman" w:eastAsia="仿宋_GB2312" w:cs="Times New Roman"/>
          <w:color w:val="auto"/>
          <w:sz w:val="32"/>
          <w:szCs w:val="32"/>
          <w:lang w:val="zh-TW" w:eastAsia="zh-TW"/>
        </w:rPr>
        <w:t>开发一批盐文化</w:t>
      </w:r>
      <w:r>
        <w:rPr>
          <w:rFonts w:hint="default" w:ascii="Times New Roman" w:hAnsi="Times New Roman" w:eastAsia="仿宋_GB2312" w:cs="Times New Roman"/>
          <w:color w:val="auto"/>
          <w:sz w:val="32"/>
          <w:szCs w:val="32"/>
          <w:lang w:val="zh-TW"/>
        </w:rPr>
        <w:t>、中药材等绿色健康农产品和</w:t>
      </w:r>
      <w:r>
        <w:rPr>
          <w:rFonts w:hint="default" w:ascii="Times New Roman" w:hAnsi="Times New Roman" w:eastAsia="仿宋_GB2312" w:cs="Times New Roman"/>
          <w:color w:val="auto"/>
          <w:sz w:val="32"/>
          <w:szCs w:val="32"/>
          <w:lang w:val="zh-TW" w:eastAsia="zh-TW"/>
        </w:rPr>
        <w:t>旅游产品</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zh-TW" w:eastAsia="zh-TW"/>
        </w:rPr>
        <w:t>推进</w:t>
      </w:r>
      <w:r>
        <w:rPr>
          <w:rFonts w:hint="default" w:ascii="Times New Roman" w:hAnsi="Times New Roman" w:eastAsia="仿宋_GB2312" w:cs="Times New Roman"/>
          <w:color w:val="auto"/>
          <w:sz w:val="32"/>
          <w:szCs w:val="32"/>
          <w:lang w:val="zh-TW" w:eastAsia="zh-CN"/>
        </w:rPr>
        <w:t>“卓筒</w:t>
      </w:r>
      <w:r>
        <w:rPr>
          <w:rFonts w:hint="default" w:ascii="Times New Roman" w:hAnsi="Times New Roman" w:eastAsia="仿宋_GB2312" w:cs="Times New Roman"/>
          <w:color w:val="auto"/>
          <w:sz w:val="32"/>
          <w:szCs w:val="32"/>
          <w:lang w:val="zh-TW" w:eastAsia="zh-TW"/>
        </w:rPr>
        <w:t>井盐</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eastAsia="zh-TW"/>
        </w:rPr>
        <w:t>卓筒井老酒</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eastAsia="zh-TW"/>
        </w:rPr>
        <w:t>河边白柠檬</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eastAsia="zh-TW"/>
        </w:rPr>
        <w:t>通仙青花椒油</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eastAsia="zh-TW"/>
        </w:rPr>
        <w:t>魁山菜籽油</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eastAsia="zh-TW"/>
        </w:rPr>
        <w:t>通仙卤牛肉</w:t>
      </w:r>
      <w:r>
        <w:rPr>
          <w:rFonts w:hint="default" w:ascii="Times New Roman" w:hAnsi="Times New Roman" w:eastAsia="仿宋_GB2312" w:cs="Times New Roman"/>
          <w:color w:val="auto"/>
          <w:sz w:val="32"/>
          <w:szCs w:val="32"/>
          <w:lang w:val="zh-TW" w:eastAsia="zh-CN"/>
        </w:rPr>
        <w:t>”“天府天保米”</w:t>
      </w:r>
      <w:r>
        <w:rPr>
          <w:rFonts w:hint="default" w:ascii="Times New Roman" w:hAnsi="Times New Roman" w:eastAsia="仿宋_GB2312" w:cs="Times New Roman"/>
          <w:color w:val="auto"/>
          <w:sz w:val="32"/>
          <w:szCs w:val="32"/>
          <w:lang w:val="zh-TW" w:eastAsia="zh-TW"/>
        </w:rPr>
        <w:t>等特色农产品的深度开发，通过艺术设计和质量控制增强商品的附加值。</w:t>
      </w:r>
    </w:p>
    <w:p>
      <w:pPr>
        <w:widowControl/>
        <w:spacing w:line="560" w:lineRule="exact"/>
        <w:ind w:firstLine="641"/>
        <w:rPr>
          <w:rFonts w:hint="default" w:ascii="Times New Roman" w:hAnsi="Times New Roman" w:eastAsia="仿宋_GB2312" w:cs="Times New Roman"/>
          <w:b/>
          <w:bCs/>
          <w:color w:val="auto"/>
          <w:kern w:val="0"/>
          <w:sz w:val="32"/>
          <w:szCs w:val="32"/>
          <w:shd w:val="clear" w:color="auto" w:fill="FFFFFF"/>
        </w:rPr>
      </w:pPr>
      <w:r>
        <w:rPr>
          <w:rFonts w:hint="default" w:ascii="Times New Roman" w:hAnsi="Times New Roman" w:eastAsia="仿宋_GB2312" w:cs="Times New Roman"/>
          <w:b/>
          <w:bCs/>
          <w:color w:val="auto"/>
          <w:kern w:val="0"/>
          <w:sz w:val="32"/>
          <w:szCs w:val="32"/>
        </w:rPr>
        <w:t>9.2.3推进</w:t>
      </w:r>
      <w:r>
        <w:rPr>
          <w:rFonts w:hint="default" w:ascii="Times New Roman" w:hAnsi="Times New Roman" w:eastAsia="仿宋_GB2312" w:cs="Times New Roman"/>
          <w:b/>
          <w:bCs/>
          <w:color w:val="auto"/>
          <w:kern w:val="0"/>
          <w:sz w:val="32"/>
          <w:szCs w:val="32"/>
          <w:lang w:eastAsia="zh-CN"/>
        </w:rPr>
        <w:t>“</w:t>
      </w:r>
      <w:r>
        <w:rPr>
          <w:rFonts w:hint="default" w:ascii="Times New Roman" w:hAnsi="Times New Roman" w:eastAsia="仿宋_GB2312" w:cs="Times New Roman"/>
          <w:b/>
          <w:bCs/>
          <w:color w:val="auto"/>
          <w:kern w:val="0"/>
          <w:sz w:val="32"/>
          <w:szCs w:val="32"/>
        </w:rPr>
        <w:t>旅游+文化</w:t>
      </w:r>
      <w:r>
        <w:rPr>
          <w:rFonts w:hint="default" w:ascii="Times New Roman" w:hAnsi="Times New Roman" w:eastAsia="仿宋_GB2312" w:cs="Times New Roman"/>
          <w:b/>
          <w:bCs/>
          <w:color w:val="auto"/>
          <w:kern w:val="0"/>
          <w:sz w:val="32"/>
          <w:szCs w:val="32"/>
          <w:lang w:eastAsia="zh-CN"/>
        </w:rPr>
        <w:t>”</w:t>
      </w:r>
      <w:r>
        <w:rPr>
          <w:rFonts w:hint="default" w:ascii="Times New Roman" w:hAnsi="Times New Roman" w:eastAsia="仿宋_GB2312" w:cs="Times New Roman"/>
          <w:b/>
          <w:bCs/>
          <w:color w:val="auto"/>
          <w:kern w:val="0"/>
          <w:sz w:val="32"/>
          <w:szCs w:val="32"/>
        </w:rPr>
        <w:t>，发掘农耕文化内涵</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深入挖掘农耕文化的精髓和内涵，进一步将多彩多姿、灿烂夺目的农耕文化资源转化成旅游资源，使文化资源特别是那些虽属无形、但具有潜在旅游价值的文化资源得到更大的开发和有效地利用。同时，通过深度开发，进一步将农耕文化的旅游资源转化成为旅游产品，实现旅游经济效益，使农耕文化的旅游资源优势转变成文化经济优势。</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TW" w:eastAsia="zh-TW"/>
        </w:rPr>
        <w:t>拓展乡村旅游文创商品，以</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eastAsia="zh-TW"/>
        </w:rPr>
        <w:t>农业+文创</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eastAsia="zh-TW"/>
        </w:rPr>
        <w:t>推动乡村传统工艺传承，实施井盐文化、蓬莱大乐、象山花锣鼓、徐氏泥彩塑、贾岛文化等传承创新工程，重点以</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eastAsia="zh-TW"/>
        </w:rPr>
        <w:t>卓筒井井盐深钻吸制技艺</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eastAsia="zh-TW"/>
        </w:rPr>
        <w:t>为核心，打造遗址公园和</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eastAsia="zh-TW"/>
        </w:rPr>
        <w:t>井盐历史文化小镇</w:t>
      </w:r>
      <w:r>
        <w:rPr>
          <w:rFonts w:hint="default" w:ascii="Times New Roman" w:hAnsi="Times New Roman" w:eastAsia="仿宋_GB2312" w:cs="Times New Roman"/>
          <w:color w:val="auto"/>
          <w:sz w:val="32"/>
          <w:szCs w:val="32"/>
          <w:lang w:val="zh-TW" w:eastAsia="zh-CN"/>
        </w:rPr>
        <w:t>”</w:t>
      </w:r>
      <w:r>
        <w:rPr>
          <w:rFonts w:hint="default" w:ascii="Times New Roman" w:hAnsi="Times New Roman" w:eastAsia="仿宋_GB2312" w:cs="Times New Roman"/>
          <w:color w:val="auto"/>
          <w:sz w:val="32"/>
          <w:szCs w:val="32"/>
          <w:lang w:val="zh-TW" w:eastAsia="zh-TW"/>
        </w:rPr>
        <w:t>，开发一批盐文化旅游产品。</w:t>
      </w:r>
      <w:r>
        <w:rPr>
          <w:rFonts w:hint="default" w:ascii="Times New Roman" w:hAnsi="Times New Roman" w:eastAsia="仿宋_GB2312" w:cs="Times New Roman"/>
          <w:color w:val="auto"/>
          <w:sz w:val="32"/>
          <w:szCs w:val="32"/>
          <w:lang w:val="zh-TW"/>
        </w:rPr>
        <w:t>支持卓筒井、河边以卓筒井遗址规划建设为契机，充分挖掘卓筒井文明内涵，传承具有当地井盐历史特色的农耕文化。</w:t>
      </w:r>
      <w:r>
        <w:rPr>
          <w:rFonts w:hint="default" w:ascii="Times New Roman" w:hAnsi="Times New Roman" w:eastAsia="仿宋_GB2312" w:cs="Times New Roman"/>
          <w:color w:val="auto"/>
          <w:sz w:val="32"/>
          <w:szCs w:val="32"/>
        </w:rPr>
        <w:t>积极深掘郪江东汉文明，传承和提炼涪江郪江流域农耕文化，</w:t>
      </w:r>
      <w:r>
        <w:rPr>
          <w:rFonts w:hint="default" w:ascii="Times New Roman" w:hAnsi="Times New Roman" w:eastAsia="仿宋_GB2312" w:cs="Times New Roman"/>
          <w:color w:val="auto"/>
          <w:sz w:val="32"/>
          <w:szCs w:val="32"/>
          <w:lang w:eastAsia="zh-CN"/>
        </w:rPr>
        <w:t>以加快规划建设“阆仙诗苑”</w:t>
      </w:r>
      <w:r>
        <w:rPr>
          <w:rFonts w:hint="default" w:ascii="Times New Roman" w:hAnsi="Times New Roman" w:eastAsia="仿宋_GB2312" w:cs="Times New Roman"/>
          <w:color w:val="auto"/>
          <w:sz w:val="32"/>
          <w:szCs w:val="32"/>
        </w:rPr>
        <w:t>探索举办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贾岛诗歌节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促进郪江涪江流域文化传承。发掘郪江流域和蓬莱古镇文史推动客馆文化与农耕文明有机融入。以传统文化和文史相结合大力挖掘郪江、涪江流域医学名人，打造具有大英特色的生态康养文化。继续</w:t>
      </w:r>
      <w:r>
        <w:rPr>
          <w:rFonts w:hint="default" w:ascii="Times New Roman" w:hAnsi="Times New Roman" w:eastAsia="仿宋_GB2312" w:cs="Times New Roman"/>
          <w:color w:val="auto"/>
          <w:sz w:val="32"/>
          <w:szCs w:val="32"/>
          <w:lang w:val="zh-TW" w:eastAsia="zh-TW"/>
        </w:rPr>
        <w:t>实施</w:t>
      </w:r>
      <w:r>
        <w:rPr>
          <w:rFonts w:hint="default" w:ascii="Times New Roman" w:hAnsi="Times New Roman" w:eastAsia="仿宋_GB2312" w:cs="Times New Roman"/>
          <w:color w:val="auto"/>
          <w:sz w:val="32"/>
          <w:szCs w:val="32"/>
          <w:lang w:eastAsia="zh-TW"/>
        </w:rPr>
        <w:t>井盐</w:t>
      </w:r>
      <w:r>
        <w:rPr>
          <w:rFonts w:hint="default" w:ascii="Times New Roman" w:hAnsi="Times New Roman" w:eastAsia="仿宋_GB2312" w:cs="Times New Roman"/>
          <w:color w:val="auto"/>
          <w:sz w:val="32"/>
          <w:szCs w:val="32"/>
          <w:lang w:val="zh-TW" w:eastAsia="zh-TW"/>
        </w:rPr>
        <w:t>文化、</w:t>
      </w:r>
      <w:r>
        <w:rPr>
          <w:rFonts w:hint="default" w:ascii="Times New Roman" w:hAnsi="Times New Roman" w:eastAsia="仿宋_GB2312" w:cs="Times New Roman"/>
          <w:color w:val="auto"/>
          <w:sz w:val="32"/>
          <w:szCs w:val="32"/>
          <w:lang w:val="zh-TW"/>
        </w:rPr>
        <w:t>红色文化、</w:t>
      </w:r>
      <w:r>
        <w:rPr>
          <w:rFonts w:hint="default" w:ascii="Times New Roman" w:hAnsi="Times New Roman" w:eastAsia="仿宋_GB2312" w:cs="Times New Roman"/>
          <w:color w:val="auto"/>
          <w:sz w:val="32"/>
          <w:szCs w:val="32"/>
          <w:lang w:val="zh-TW" w:eastAsia="zh-TW"/>
        </w:rPr>
        <w:t>蓬莱大乐</w:t>
      </w:r>
      <w:r>
        <w:rPr>
          <w:rFonts w:hint="default" w:ascii="Times New Roman" w:hAnsi="Times New Roman" w:eastAsia="仿宋_GB2312" w:cs="Times New Roman"/>
          <w:color w:val="auto"/>
          <w:sz w:val="32"/>
          <w:szCs w:val="32"/>
          <w:lang w:val="zh-TW"/>
        </w:rPr>
        <w:t>、</w:t>
      </w:r>
      <w:r>
        <w:rPr>
          <w:rFonts w:hint="default" w:ascii="Times New Roman" w:hAnsi="Times New Roman" w:eastAsia="仿宋_GB2312" w:cs="Times New Roman"/>
          <w:color w:val="auto"/>
          <w:sz w:val="32"/>
          <w:szCs w:val="32"/>
        </w:rPr>
        <w:t>卓筒井文明</w:t>
      </w:r>
      <w:r>
        <w:rPr>
          <w:rFonts w:hint="default" w:ascii="Times New Roman" w:hAnsi="Times New Roman" w:eastAsia="仿宋_GB2312" w:cs="Times New Roman"/>
          <w:color w:val="auto"/>
          <w:sz w:val="32"/>
          <w:szCs w:val="32"/>
          <w:lang w:val="zh-TW" w:eastAsia="zh-TW"/>
        </w:rPr>
        <w:t>等传承创新工程，</w:t>
      </w:r>
      <w:r>
        <w:rPr>
          <w:rFonts w:hint="default" w:ascii="Times New Roman" w:hAnsi="Times New Roman" w:eastAsia="仿宋_GB2312" w:cs="Times New Roman"/>
          <w:color w:val="auto"/>
          <w:sz w:val="32"/>
          <w:szCs w:val="32"/>
        </w:rPr>
        <w:t>推动特色优势农业和传统村落、文物古建筑保护、新村聚居点建设、非物质文化遗产项目相结合，打造一批具有大英特色的知名乡村文化品牌。</w:t>
      </w:r>
      <w:r>
        <w:rPr>
          <w:rFonts w:hint="default" w:ascii="Times New Roman" w:hAnsi="Times New Roman" w:eastAsia="仿宋_GB2312" w:cs="Times New Roman"/>
          <w:color w:val="auto"/>
          <w:sz w:val="32"/>
          <w:szCs w:val="32"/>
          <w:lang w:val="zh-TW"/>
        </w:rPr>
        <w:t>以</w:t>
      </w:r>
      <w:r>
        <w:rPr>
          <w:rFonts w:hint="default" w:ascii="Times New Roman" w:hAnsi="Times New Roman" w:eastAsia="仿宋_GB2312" w:cs="Times New Roman"/>
          <w:color w:val="auto"/>
          <w:sz w:val="32"/>
          <w:szCs w:val="32"/>
        </w:rPr>
        <w:t>办好农民丰收节为重点，形式多样办好各类乡村美食节、采摘节等乡村旅游主题活动，不断探索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模式。提升农环线大英段、遂大快捷通道、蓬乐路沿线</w:t>
      </w:r>
      <w:r>
        <w:rPr>
          <w:rFonts w:hint="default" w:ascii="Times New Roman" w:hAnsi="Times New Roman" w:eastAsia="仿宋_GB2312" w:cs="Times New Roman"/>
          <w:color w:val="auto"/>
          <w:sz w:val="32"/>
          <w:szCs w:val="32"/>
          <w:lang w:eastAsia="zh-CN"/>
        </w:rPr>
        <w:t>、罗桂路沿线</w:t>
      </w:r>
      <w:r>
        <w:rPr>
          <w:rFonts w:hint="default" w:ascii="Times New Roman" w:hAnsi="Times New Roman" w:eastAsia="仿宋_GB2312" w:cs="Times New Roman"/>
          <w:color w:val="auto"/>
          <w:sz w:val="32"/>
          <w:szCs w:val="32"/>
        </w:rPr>
        <w:t>特色优势产业带基础设施和服务功能配套，建立乡村旅游标准化、规范化体系，探索构建推动农文旅融合发展长效机制，着力打造农旅融合发展示范带</w:t>
      </w:r>
      <w:r>
        <w:rPr>
          <w:rFonts w:hint="default" w:ascii="Times New Roman" w:hAnsi="Times New Roman" w:eastAsia="仿宋_GB2312" w:cs="Times New Roman"/>
          <w:color w:val="auto"/>
          <w:sz w:val="32"/>
          <w:szCs w:val="32"/>
          <w:lang w:eastAsia="zh-CN"/>
        </w:rPr>
        <w:t>“样式”</w:t>
      </w:r>
      <w:r>
        <w:rPr>
          <w:rFonts w:hint="default" w:ascii="Times New Roman" w:hAnsi="Times New Roman" w:eastAsia="仿宋_GB2312" w:cs="Times New Roman"/>
          <w:color w:val="auto"/>
          <w:sz w:val="32"/>
          <w:szCs w:val="32"/>
        </w:rPr>
        <w:t>。</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357" w:name="_Toc24738"/>
      <w:bookmarkStart w:id="358" w:name="_Toc28355"/>
      <w:bookmarkStart w:id="359" w:name="_Toc135"/>
      <w:bookmarkStart w:id="360" w:name="_Toc2537"/>
      <w:bookmarkStart w:id="361" w:name="_Toc15279"/>
      <w:bookmarkStart w:id="362" w:name="_Toc23801"/>
      <w:bookmarkStart w:id="363" w:name="_Toc7812"/>
      <w:bookmarkStart w:id="364" w:name="_Toc6196"/>
      <w:r>
        <w:rPr>
          <w:rFonts w:hint="default" w:ascii="Times New Roman" w:hAnsi="Times New Roman" w:eastAsia="仿宋_GB2312" w:cs="Times New Roman"/>
          <w:b/>
          <w:color w:val="auto"/>
          <w:sz w:val="32"/>
          <w:szCs w:val="32"/>
        </w:rPr>
        <w:t>9.3依托</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合作+</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，助推开放农业发展</w:t>
      </w:r>
      <w:bookmarkEnd w:id="357"/>
      <w:bookmarkEnd w:id="358"/>
      <w:bookmarkEnd w:id="359"/>
      <w:bookmarkEnd w:id="360"/>
      <w:bookmarkEnd w:id="361"/>
      <w:bookmarkEnd w:id="362"/>
      <w:bookmarkEnd w:id="363"/>
      <w:bookmarkEnd w:id="364"/>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开放合作是为了取长补短、相互促进、共同发展。地处西部地区的大英县具有较强的生态环境、农业旅游资源和区位优势，资金投入不足，技术、人才缺乏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资源优势转化缓慢，经济发展尤其是现代农业的发展与国内外发达地区差距甚大，迫切需要加快现代农业发展的开放合作进程。</w:t>
      </w:r>
    </w:p>
    <w:p>
      <w:pPr>
        <w:widowControl/>
        <w:spacing w:line="560" w:lineRule="exact"/>
        <w:ind w:firstLine="64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9.3.1农业开放发展新机遇</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中共中央、国务院《关于新时代推进西部大开发形成新格局的指导意见》，明确提出要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加强农业开放合作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，对新时代推动西部地区农业高水平对外开放作出了重要部署，也为西部地区农业和农村经济发展带来了重大契机。遂宁市委也作出了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双联双拓、全域开放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内协外拓推进区域开放合作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的决策部署。</w:t>
      </w:r>
      <w:r>
        <w:rPr>
          <w:rFonts w:hint="default" w:ascii="Times New Roman" w:hAnsi="Times New Roman" w:eastAsia="仿宋_GB2312" w:cs="Times New Roman"/>
          <w:color w:val="auto"/>
          <w:sz w:val="32"/>
          <w:szCs w:val="32"/>
          <w:lang w:eastAsia="zh-CN"/>
        </w:rPr>
        <w:t>“十四五”</w:t>
      </w:r>
      <w:r>
        <w:rPr>
          <w:rFonts w:hint="default" w:ascii="Times New Roman" w:hAnsi="Times New Roman" w:eastAsia="仿宋_GB2312" w:cs="Times New Roman"/>
          <w:color w:val="auto"/>
          <w:sz w:val="32"/>
          <w:szCs w:val="32"/>
        </w:rPr>
        <w:t>期间，大英县要落实好建设成渝</w:t>
      </w:r>
      <w:r>
        <w:rPr>
          <w:rFonts w:hint="default" w:ascii="Times New Roman" w:hAnsi="Times New Roman" w:eastAsia="仿宋_GB2312" w:cs="Times New Roman"/>
          <w:color w:val="auto"/>
          <w:sz w:val="32"/>
          <w:szCs w:val="32"/>
          <w:lang w:eastAsia="zh-CN"/>
        </w:rPr>
        <w:t>地区</w:t>
      </w:r>
      <w:r>
        <w:rPr>
          <w:rFonts w:hint="default" w:ascii="Times New Roman" w:hAnsi="Times New Roman" w:eastAsia="仿宋_GB2312" w:cs="Times New Roman"/>
          <w:color w:val="auto"/>
          <w:sz w:val="32"/>
          <w:szCs w:val="32"/>
        </w:rPr>
        <w:t>双城经济圈重大战略部署，依托成渝双向辐射突出区位优势，统筹利用好县内外市场和资源，建立健全农业农村开放合作机制，搭建重要载体和支撑平台，实施好扶持政策，以外带内、以内促外，推动形成全县农业农村对外开放合作的新格局，开启现代农业开放发展新征程，积极创造良好营商环境，加大农业领域招商引资工作力度，力争引进国际国内知名农业企业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5家，以生产加工绿色有机农产品为主，重点发展大棚、温室、无土栽培等设施农业、智慧农业，适时申报创建省级农业对外开放试验区。</w:t>
      </w:r>
    </w:p>
    <w:p>
      <w:pPr>
        <w:widowControl/>
        <w:spacing w:line="560" w:lineRule="exact"/>
        <w:ind w:firstLine="64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bCs/>
          <w:color w:val="auto"/>
          <w:sz w:val="32"/>
          <w:szCs w:val="32"/>
        </w:rPr>
        <w:t>9.3.2尽快完善合作机制</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四向扩展、全域开放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总体布局，强化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热情招商、紧迫洽谈、审慎签约、全力落实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招商理念，加快构建全域开放新格局。抢抓乡村振兴、国际国内双循环等发展机遇，东南向要充分利用成渝双城经济圈建设成果，重点推动与重庆等地合作，打造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遂潼一体化发展示范区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；东向要主动融入长江经济带，重点推动与武汉、浙江、上海等地合作；北向抢抓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一带一路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重大战略机遇，重点推动与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京津冀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、西安、兰州等地合作；西向要充分利用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成遂合作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战略机遇，重点推动与成都、德阳、绵阳等地合作，打造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成遂协调发展先行区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。要树立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客商带着投资来、余下的事情我们办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的观念，着力营造亲商、安商、扶商良好环境。争取跨区域产业协作，全面开启</w:t>
      </w:r>
      <w:r>
        <w:rPr>
          <w:rFonts w:hint="default" w:ascii="Times New Roman" w:hAnsi="Times New Roman" w:eastAsia="仿宋_GB2312" w:cs="Times New Roman"/>
          <w:color w:val="auto"/>
          <w:sz w:val="32"/>
          <w:szCs w:val="32"/>
          <w:lang w:val="en-US" w:eastAsia="zh-CN"/>
        </w:rPr>
        <w:t>大英</w:t>
      </w:r>
      <w:r>
        <w:rPr>
          <w:rFonts w:hint="default" w:ascii="Times New Roman" w:hAnsi="Times New Roman" w:eastAsia="仿宋_GB2312" w:cs="Times New Roman"/>
          <w:color w:val="auto"/>
          <w:sz w:val="32"/>
          <w:szCs w:val="32"/>
        </w:rPr>
        <w:t>面向国际国内现代农业全方位、多领域的开放合作格局，大力承接发达地区产业转移，在农产品精深加工、农商文旅体融合发展、乡村旅游与休闲农业、特色村镇建设等领域，推动务实交流合作，精准对接投资、引资、贸易，实现错位发展、互补发展。</w:t>
      </w:r>
    </w:p>
    <w:p>
      <w:pPr>
        <w:pStyle w:val="20"/>
        <w:spacing w:before="0" w:beforeAutospacing="0" w:after="0" w:afterAutospacing="0" w:line="560" w:lineRule="exact"/>
        <w:ind w:firstLine="643"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bCs/>
          <w:color w:val="auto"/>
          <w:sz w:val="32"/>
          <w:szCs w:val="32"/>
        </w:rPr>
        <w:t>9.3.3提升外销供应能力</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围绕构建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现代农业高质量发展，支持开展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一乡（镇）一特色</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产品品牌创建行动，以</w:t>
      </w:r>
      <w:r>
        <w:rPr>
          <w:rFonts w:hint="default" w:ascii="Times New Roman" w:hAnsi="Times New Roman" w:eastAsia="仿宋_GB2312" w:cs="Times New Roman"/>
          <w:color w:val="auto"/>
          <w:sz w:val="32"/>
          <w:szCs w:val="32"/>
          <w:lang w:eastAsia="zh-CN"/>
        </w:rPr>
        <w:t>园区</w:t>
      </w:r>
      <w:r>
        <w:rPr>
          <w:rFonts w:hint="default" w:ascii="Times New Roman" w:hAnsi="Times New Roman" w:eastAsia="仿宋_GB2312" w:cs="Times New Roman"/>
          <w:color w:val="auto"/>
          <w:sz w:val="32"/>
          <w:szCs w:val="32"/>
        </w:rPr>
        <w:t>建设为抓手，加快推进优势特色产业成链发展，做大做强农产品供应规模。积极支持农业企业参加质量管理体系认证、环境管理体系认证和产品认证等国际认证，促进农产品按有机食品和出口农产品标准生产，创建出口质量安全示范企业。建设一批产业集中度高、关联度强、竞争优势明显、带动面广的产业集群和加工龙头企业集群。鼓励魁山油脂、滋宁药业、蜀鑫食品、润丰禽业等企业开发名优产品，加大水果、蔬菜和道地中药材等有机（绿色）农产品生产规模，加强技术改造，提高市场竞争力，实现自营出口。加快大英县外贸企业联盟的建立，促进外贸企业抱团发展。</w:t>
      </w:r>
    </w:p>
    <w:p>
      <w:pPr>
        <w:pStyle w:val="20"/>
        <w:spacing w:before="0" w:beforeAutospacing="0" w:after="0" w:afterAutospacing="0"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9.3.4切实用好合作平台</w:t>
      </w:r>
    </w:p>
    <w:p>
      <w:pPr>
        <w:pStyle w:val="35"/>
        <w:spacing w:line="560" w:lineRule="exact"/>
        <w:ind w:firstLine="640" w:firstLineChars="20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sz w:val="32"/>
          <w:szCs w:val="32"/>
        </w:rPr>
        <w:t>积</w:t>
      </w:r>
      <w:r>
        <w:rPr>
          <w:rFonts w:hint="default" w:ascii="Times New Roman" w:hAnsi="Times New Roman" w:eastAsia="仿宋_GB2312" w:cs="Times New Roman"/>
          <w:color w:val="auto"/>
          <w:kern w:val="2"/>
          <w:sz w:val="32"/>
          <w:szCs w:val="32"/>
          <w:lang w:val="en-US" w:eastAsia="zh-CN" w:bidi="ar-SA"/>
        </w:rPr>
        <w:t>极举办乡村观光采摘节、美食民俗节和办好中国死海黑泥狂欢节等大英对外合作平</w:t>
      </w:r>
      <w:r>
        <w:rPr>
          <w:rFonts w:hint="default" w:ascii="Times New Roman" w:hAnsi="Times New Roman" w:eastAsia="仿宋_GB2312" w:cs="Times New Roman"/>
          <w:color w:val="auto"/>
          <w:sz w:val="32"/>
          <w:szCs w:val="32"/>
        </w:rPr>
        <w:t>台，支持农产品生产加工企业在县外开展产销对接活动、建立营销网点、展示中心等。积极搭建</w:t>
      </w:r>
      <w:r>
        <w:rPr>
          <w:rFonts w:hint="default" w:ascii="Times New Roman" w:hAnsi="Times New Roman" w:eastAsia="仿宋_GB2312" w:cs="Times New Roman"/>
          <w:color w:val="auto"/>
          <w:sz w:val="32"/>
          <w:szCs w:val="32"/>
          <w:lang w:eastAsia="zh-CN"/>
        </w:rPr>
        <w:t>“大英造”</w:t>
      </w:r>
      <w:r>
        <w:rPr>
          <w:rFonts w:hint="default" w:ascii="Times New Roman" w:hAnsi="Times New Roman" w:eastAsia="仿宋_GB2312" w:cs="Times New Roman"/>
          <w:color w:val="auto"/>
          <w:sz w:val="32"/>
          <w:szCs w:val="32"/>
        </w:rPr>
        <w:t>产品产销对接平台，积极参与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中外知名企业四川行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惠民购物全川行动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川货全国行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万企出国门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西博会和农博会等大型区域平台，加快对外经贸交流合作和项目招引，发展壮大县级区域农产品品牌在国内国际市场的知名度和影响力。对接好遂宁高新区中国西部现代物流港、川渝农产品冷链物流配送中心、农产品电商（云计算）服务中心等交易平台，不断扩大特色农产品交易规模。</w:t>
      </w:r>
    </w:p>
    <w:p>
      <w:pPr>
        <w:pStyle w:val="20"/>
        <w:spacing w:before="0" w:beforeAutospacing="0" w:after="0" w:afterAutospacing="0" w:line="560" w:lineRule="exact"/>
        <w:ind w:firstLine="643"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bCs/>
          <w:color w:val="auto"/>
          <w:sz w:val="32"/>
          <w:szCs w:val="32"/>
        </w:rPr>
        <w:t>9.3.5积极拓展开放通道</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依托遂宁港对接重庆两路寸滩保税港区，融入长江经济带，依托中欧班列遂宁组货基地对接青白江国际铁路港。引导和鼓励农业企业拓宽国际市场，重点拓展东盟、非洲、大洋洲等新兴市场，充分利用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蓉欧快铁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发展与中亚、欧洲等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一带一路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沿线国家和地区的经贸合作与交流，让更多的生产企业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走出去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，提升产品知名度，培育新的增长点。引导电子商务企业在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一带一路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及其他经贸合作国家及重点地区开展跨境电商合作，打造完善的跨境电商产业链和生态链，主动参与到覆盖全球、开放统一的电子商务大市场。</w:t>
      </w:r>
      <w:bookmarkStart w:id="365" w:name="_Toc25756"/>
      <w:bookmarkStart w:id="366" w:name="_Toc18785"/>
      <w:bookmarkStart w:id="367" w:name="_Toc20642"/>
      <w:bookmarkStart w:id="368" w:name="_Toc2645"/>
      <w:bookmarkStart w:id="369" w:name="_Toc8861"/>
      <w:bookmarkStart w:id="370" w:name="_Toc5879"/>
      <w:bookmarkStart w:id="371" w:name="_Toc12964"/>
      <w:bookmarkStart w:id="372" w:name="_Toc11846"/>
    </w:p>
    <w:p>
      <w:pPr>
        <w:spacing w:line="560" w:lineRule="exact"/>
        <w:rPr>
          <w:rFonts w:hint="default" w:ascii="Times New Roman" w:hAnsi="Times New Roman" w:eastAsia="仿宋_GB2312" w:cs="Times New Roman"/>
          <w:color w:val="auto"/>
          <w:sz w:val="32"/>
          <w:szCs w:val="32"/>
        </w:rPr>
      </w:pPr>
    </w:p>
    <w:p>
      <w:pPr>
        <w:spacing w:line="560" w:lineRule="exact"/>
        <w:jc w:val="center"/>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第四篇  高标准建设美丽乡村</w:t>
      </w:r>
      <w:bookmarkEnd w:id="365"/>
      <w:bookmarkEnd w:id="366"/>
      <w:bookmarkEnd w:id="367"/>
      <w:bookmarkEnd w:id="368"/>
      <w:bookmarkEnd w:id="369"/>
      <w:bookmarkEnd w:id="370"/>
      <w:bookmarkEnd w:id="371"/>
      <w:bookmarkEnd w:id="372"/>
    </w:p>
    <w:p>
      <w:pPr>
        <w:pStyle w:val="27"/>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rPr>
        <w:t>美丽乡村是现代农业发展和农民美好生活的重要载体。“十四五”期间，大英县着力对标浙江省湖州市安吉县、山东省日照市莒县、绵阳江油市等地区，结合本地实际，本着“高起点规划、高标准建设、分批次实施”的原则，深入实施“美丽</w:t>
      </w:r>
      <w:r>
        <w:rPr>
          <w:rFonts w:hint="default" w:ascii="Times New Roman" w:hAnsi="Times New Roman" w:eastAsia="仿宋_GB2312" w:cs="Times New Roman"/>
          <w:color w:val="auto"/>
          <w:sz w:val="32"/>
          <w:szCs w:val="32"/>
          <w:lang w:val="zh-CN" w:eastAsia="zh-CN"/>
        </w:rPr>
        <w:t>大英</w:t>
      </w:r>
      <w:r>
        <w:rPr>
          <w:rFonts w:hint="default" w:ascii="Times New Roman" w:hAnsi="Times New Roman" w:eastAsia="仿宋_GB2312" w:cs="Times New Roman"/>
          <w:color w:val="auto"/>
          <w:sz w:val="32"/>
          <w:szCs w:val="32"/>
          <w:lang w:val="zh-CN"/>
        </w:rPr>
        <w:t>·宜居乡村”建设行动，大力推进农村设施建设，不断提升乡村服务能力，综合整治农村人居环境，加快乡村产业发展，加强乡村治理建设。乡村面貌逐步达到生态优良、村庄宜居、经济发展、服务配套、乡风文明、治理有效。到</w:t>
      </w:r>
      <w:r>
        <w:rPr>
          <w:rFonts w:hint="default" w:ascii="Times New Roman" w:hAnsi="Times New Roman" w:eastAsia="仿宋_GB2312" w:cs="Times New Roman"/>
          <w:color w:val="auto"/>
          <w:sz w:val="32"/>
          <w:szCs w:val="32"/>
        </w:rPr>
        <w:t>2025年，打造国家级</w:t>
      </w:r>
      <w:r>
        <w:rPr>
          <w:rFonts w:hint="default" w:ascii="Times New Roman" w:hAnsi="Times New Roman" w:eastAsia="仿宋_GB2312" w:cs="Times New Roman"/>
          <w:color w:val="auto"/>
          <w:sz w:val="32"/>
          <w:szCs w:val="32"/>
          <w:lang w:eastAsia="zh-CN"/>
        </w:rPr>
        <w:t>特色示范</w:t>
      </w:r>
      <w:r>
        <w:rPr>
          <w:rFonts w:hint="default" w:ascii="Times New Roman" w:hAnsi="Times New Roman" w:eastAsia="仿宋_GB2312" w:cs="Times New Roman"/>
          <w:color w:val="auto"/>
          <w:sz w:val="32"/>
          <w:szCs w:val="32"/>
        </w:rPr>
        <w:t>乡村5个以上</w:t>
      </w:r>
      <w:r>
        <w:rPr>
          <w:rFonts w:hint="default" w:ascii="Times New Roman" w:hAnsi="Times New Roman" w:eastAsia="仿宋_GB2312" w:cs="Times New Roman"/>
          <w:color w:val="auto"/>
          <w:sz w:val="32"/>
          <w:szCs w:val="32"/>
          <w:lang w:eastAsia="zh-CN"/>
        </w:rPr>
        <w:t>（其中全国乡村振兴示范村</w:t>
      </w:r>
      <w:r>
        <w:rPr>
          <w:rFonts w:hint="default" w:ascii="Times New Roman" w:hAnsi="Times New Roman" w:eastAsia="仿宋_GB2312" w:cs="Times New Roman"/>
          <w:color w:val="auto"/>
          <w:sz w:val="32"/>
          <w:szCs w:val="32"/>
          <w:lang w:val="en-US" w:eastAsia="zh-CN"/>
        </w:rPr>
        <w:t>1个、全国乡村治理示范村1个以上</w:t>
      </w:r>
      <w:r>
        <w:rPr>
          <w:rFonts w:hint="default" w:ascii="Times New Roman" w:hAnsi="Times New Roman" w:eastAsia="仿宋_GB2312" w:cs="Times New Roman"/>
          <w:color w:val="auto"/>
          <w:sz w:val="32"/>
          <w:szCs w:val="32"/>
          <w:lang w:eastAsia="zh-CN"/>
        </w:rPr>
        <w:t>）、省级乡村振兴示范村</w:t>
      </w:r>
      <w:r>
        <w:rPr>
          <w:rFonts w:hint="default" w:ascii="Times New Roman" w:hAnsi="Times New Roman" w:eastAsia="仿宋_GB2312" w:cs="Times New Roman"/>
          <w:color w:val="auto"/>
          <w:sz w:val="32"/>
          <w:szCs w:val="32"/>
          <w:lang w:val="en-US" w:eastAsia="zh-CN"/>
        </w:rPr>
        <w:t>15个以上</w:t>
      </w:r>
      <w:r>
        <w:rPr>
          <w:rFonts w:hint="default" w:ascii="Times New Roman" w:hAnsi="Times New Roman" w:eastAsia="仿宋_GB2312" w:cs="Times New Roman"/>
          <w:color w:val="auto"/>
          <w:sz w:val="32"/>
          <w:szCs w:val="32"/>
          <w:lang w:eastAsia="zh-CN"/>
        </w:rPr>
        <w:t>、市级精品示范村</w:t>
      </w:r>
      <w:r>
        <w:rPr>
          <w:rFonts w:hint="default" w:ascii="Times New Roman" w:hAnsi="Times New Roman" w:eastAsia="仿宋_GB2312" w:cs="Times New Roman"/>
          <w:color w:val="auto"/>
          <w:sz w:val="32"/>
          <w:szCs w:val="32"/>
          <w:lang w:val="en-US" w:eastAsia="zh-CN"/>
        </w:rPr>
        <w:t>7个以上。</w:t>
      </w:r>
    </w:p>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drawing>
          <wp:inline distT="0" distB="0" distL="0" distR="0">
            <wp:extent cx="5543550" cy="3857625"/>
            <wp:effectExtent l="0" t="0" r="11" b="36"/>
            <wp:docPr id="32" name="图片 16" descr="H:\合作编制规划等资料夹（20.5.27--）\大英县十四五农业规划资料\大英县美丽乡村建设规划图1.jpg"/>
            <wp:cNvGraphicFramePr/>
            <a:graphic xmlns:a="http://schemas.openxmlformats.org/drawingml/2006/main">
              <a:graphicData uri="http://schemas.openxmlformats.org/drawingml/2006/picture">
                <pic:pic xmlns:pic="http://schemas.openxmlformats.org/drawingml/2006/picture">
                  <pic:nvPicPr>
                    <pic:cNvPr id="32" name="图片 16" descr="H:\合作编制规划等资料夹（20.5.27--）\大英县十四五农业规划资料\大英县美丽乡村建设规划图1.jpg"/>
                    <pic:cNvPicPr/>
                  </pic:nvPicPr>
                  <pic:blipFill>
                    <a:blip r:embed="rId19"/>
                    <a:stretch>
                      <a:fillRect/>
                    </a:stretch>
                  </pic:blipFill>
                  <pic:spPr>
                    <a:xfrm>
                      <a:off x="0" y="0"/>
                      <a:ext cx="5543550" cy="3857625"/>
                    </a:xfrm>
                    <a:prstGeom prst="rect">
                      <a:avLst/>
                    </a:prstGeom>
                    <a:noFill/>
                    <a:ln w="9525" cap="flat" cmpd="sng">
                      <a:noFill/>
                      <a:prstDash val="solid"/>
                      <a:round/>
                    </a:ln>
                  </pic:spPr>
                </pic:pic>
              </a:graphicData>
            </a:graphic>
          </wp:inline>
        </w:drawing>
      </w:r>
    </w:p>
    <w:p>
      <w:pPr>
        <w:spacing w:line="560" w:lineRule="exact"/>
        <w:jc w:val="center"/>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美丽乡村建设规划图</w:t>
      </w:r>
    </w:p>
    <w:p>
      <w:pPr>
        <w:spacing w:line="560" w:lineRule="exact"/>
        <w:jc w:val="center"/>
        <w:rPr>
          <w:rFonts w:hint="default" w:ascii="Times New Roman" w:hAnsi="Times New Roman" w:eastAsia="黑体" w:cs="Times New Roman"/>
          <w:b w:val="0"/>
          <w:bCs w:val="0"/>
          <w:color w:val="auto"/>
          <w:sz w:val="32"/>
          <w:szCs w:val="32"/>
          <w:lang w:val="mn-Mong-CN"/>
        </w:rPr>
      </w:pPr>
      <w:bookmarkStart w:id="373" w:name="_Toc10994"/>
      <w:bookmarkStart w:id="374" w:name="_Toc8958"/>
      <w:bookmarkStart w:id="375" w:name="_Toc9898"/>
      <w:bookmarkStart w:id="376" w:name="_Toc18473"/>
      <w:bookmarkStart w:id="377" w:name="_Toc24259"/>
      <w:bookmarkStart w:id="378" w:name="_Toc20734"/>
      <w:bookmarkStart w:id="379" w:name="_Toc13001"/>
      <w:bookmarkStart w:id="380" w:name="_Toc29965"/>
    </w:p>
    <w:p>
      <w:pPr>
        <w:spacing w:line="560" w:lineRule="exact"/>
        <w:jc w:val="center"/>
        <w:rPr>
          <w:rFonts w:hint="default" w:ascii="Times New Roman" w:hAnsi="Times New Roman" w:eastAsia="黑体" w:cs="Times New Roman"/>
          <w:b w:val="0"/>
          <w:bCs w:val="0"/>
          <w:color w:val="auto"/>
          <w:sz w:val="32"/>
          <w:szCs w:val="32"/>
          <w:lang w:val="mn-Mong-CN"/>
        </w:rPr>
      </w:pPr>
      <w:r>
        <w:rPr>
          <w:rFonts w:hint="default" w:ascii="Times New Roman" w:hAnsi="Times New Roman" w:eastAsia="黑体" w:cs="Times New Roman"/>
          <w:b w:val="0"/>
          <w:bCs w:val="0"/>
          <w:color w:val="auto"/>
          <w:sz w:val="32"/>
          <w:szCs w:val="32"/>
          <w:lang w:val="mn-Mong-CN"/>
        </w:rPr>
        <w:t>第十章  加快农村基础设施建设</w:t>
      </w:r>
      <w:bookmarkEnd w:id="373"/>
      <w:bookmarkEnd w:id="374"/>
      <w:bookmarkEnd w:id="375"/>
      <w:bookmarkEnd w:id="376"/>
      <w:bookmarkEnd w:id="377"/>
      <w:bookmarkEnd w:id="378"/>
      <w:bookmarkEnd w:id="379"/>
      <w:bookmarkEnd w:id="380"/>
    </w:p>
    <w:p>
      <w:pPr>
        <w:pStyle w:val="27"/>
        <w:rPr>
          <w:rFonts w:hint="default" w:ascii="Times New Roman" w:hAnsi="Times New Roman" w:cs="Times New Roman"/>
          <w:lang w:val="mn-Mong-CN"/>
        </w:rPr>
      </w:pPr>
    </w:p>
    <w:p>
      <w:pPr>
        <w:spacing w:line="560" w:lineRule="exact"/>
        <w:ind w:firstLine="640" w:firstLineChars="200"/>
        <w:rPr>
          <w:rFonts w:hint="default" w:ascii="Times New Roman" w:hAnsi="Times New Roman" w:eastAsia="仿宋_GB2312" w:cs="Times New Roman"/>
          <w:color w:val="auto"/>
          <w:sz w:val="32"/>
          <w:szCs w:val="32"/>
          <w:lang w:val="zh-CN"/>
        </w:rPr>
      </w:pPr>
      <w:bookmarkStart w:id="381" w:name="_Toc13910"/>
      <w:bookmarkStart w:id="382" w:name="_Toc18713"/>
      <w:bookmarkStart w:id="383" w:name="_Toc26671"/>
      <w:r>
        <w:rPr>
          <w:rFonts w:hint="default" w:ascii="Times New Roman" w:hAnsi="Times New Roman" w:eastAsia="仿宋_GB2312" w:cs="Times New Roman"/>
          <w:color w:val="auto"/>
          <w:sz w:val="32"/>
          <w:szCs w:val="32"/>
          <w:lang w:val="zh-CN"/>
        </w:rPr>
        <w:t>认真做好乡镇行政区划调整和村建制调整改革后半篇文章，切实开展农村基础设施短板、弱项排查，按照乡村振兴战略目标要求，补齐农村基础设施短板，加快推进农村基础设施“五网”（水、电、气、路、通信）建设，满足老百姓生产和美好生活需求。</w:t>
      </w:r>
      <w:bookmarkEnd w:id="381"/>
      <w:bookmarkEnd w:id="382"/>
      <w:bookmarkEnd w:id="383"/>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384" w:name="_Toc19838"/>
      <w:bookmarkStart w:id="385" w:name="_Toc31514"/>
      <w:bookmarkStart w:id="386" w:name="_Toc11694"/>
      <w:bookmarkStart w:id="387" w:name="_Toc13233"/>
      <w:bookmarkStart w:id="388" w:name="_Toc16735"/>
      <w:bookmarkStart w:id="389" w:name="_Toc9086"/>
      <w:bookmarkStart w:id="390" w:name="_Toc21035"/>
      <w:bookmarkStart w:id="391" w:name="_Toc29639"/>
      <w:r>
        <w:rPr>
          <w:rFonts w:hint="default" w:ascii="Times New Roman" w:hAnsi="Times New Roman" w:eastAsia="仿宋_GB2312" w:cs="Times New Roman"/>
          <w:b/>
          <w:color w:val="auto"/>
          <w:sz w:val="32"/>
          <w:szCs w:val="32"/>
        </w:rPr>
        <w:t>10.1</w:t>
      </w:r>
      <w:r>
        <w:rPr>
          <w:rFonts w:hint="default" w:ascii="Times New Roman" w:hAnsi="Times New Roman" w:eastAsia="仿宋_GB2312" w:cs="Times New Roman"/>
          <w:b/>
          <w:color w:val="auto"/>
          <w:sz w:val="32"/>
          <w:szCs w:val="32"/>
          <w:lang w:val="zh-CN"/>
        </w:rPr>
        <w:t>加强农村公路建设</w:t>
      </w:r>
      <w:bookmarkEnd w:id="384"/>
      <w:bookmarkEnd w:id="385"/>
      <w:bookmarkEnd w:id="386"/>
      <w:bookmarkEnd w:id="387"/>
      <w:bookmarkEnd w:id="388"/>
      <w:bookmarkEnd w:id="389"/>
      <w:bookmarkEnd w:id="390"/>
      <w:bookmarkEnd w:id="391"/>
    </w:p>
    <w:p>
      <w:pPr>
        <w:spacing w:line="360" w:lineRule="auto"/>
        <w:ind w:firstLine="480"/>
        <w:rPr>
          <w:rFonts w:hint="default" w:ascii="Times New Roman" w:hAnsi="Times New Roman" w:eastAsia="仿宋_GB2312" w:cs="Times New Roman"/>
          <w:kern w:val="0"/>
          <w:sz w:val="32"/>
          <w:szCs w:val="32"/>
          <w:highlight w:val="none"/>
          <w:shd w:val="clear" w:color="auto" w:fill="FFFFFF"/>
          <w:lang w:val="zh-CN"/>
        </w:rPr>
      </w:pPr>
      <w:bookmarkStart w:id="392" w:name="_Toc17476"/>
      <w:bookmarkStart w:id="393" w:name="_Toc4642"/>
      <w:bookmarkStart w:id="394" w:name="_Toc25814"/>
      <w:r>
        <w:rPr>
          <w:rFonts w:hint="default" w:ascii="Times New Roman" w:hAnsi="Times New Roman" w:eastAsia="仿宋_GB2312" w:cs="Times New Roman"/>
          <w:color w:val="auto"/>
          <w:kern w:val="0"/>
          <w:sz w:val="32"/>
          <w:szCs w:val="32"/>
          <w:shd w:val="clear" w:color="auto" w:fill="FFFFFF"/>
          <w:lang w:val="zh-CN"/>
        </w:rPr>
        <w:t>按照“四好农村公路”标准，加快村建制调整后农村公路建设，方便村民生产生活通行。</w:t>
      </w:r>
      <w:r>
        <w:rPr>
          <w:rFonts w:hint="default" w:ascii="Times New Roman" w:hAnsi="Times New Roman" w:eastAsia="仿宋_GB2312" w:cs="Times New Roman"/>
          <w:b/>
          <w:bCs/>
          <w:color w:val="auto"/>
          <w:kern w:val="0"/>
          <w:sz w:val="32"/>
          <w:szCs w:val="32"/>
          <w:shd w:val="clear" w:color="auto" w:fill="FFFFFF"/>
          <w:lang w:val="zh-CN"/>
        </w:rPr>
        <w:t>一是</w:t>
      </w:r>
      <w:r>
        <w:rPr>
          <w:rFonts w:hint="default" w:ascii="Times New Roman" w:hAnsi="Times New Roman" w:eastAsia="仿宋_GB2312" w:cs="Times New Roman"/>
          <w:color w:val="auto"/>
          <w:kern w:val="0"/>
          <w:sz w:val="32"/>
          <w:szCs w:val="32"/>
          <w:shd w:val="clear" w:color="auto" w:fill="FFFFFF"/>
          <w:lang w:val="zh-CN"/>
        </w:rPr>
        <w:t>开展新建制村内组与组之间、新建制村与村之间断头路和未硬化组道路建设，确保村村之间、组组之间畅通，加快入户路建设；</w:t>
      </w:r>
      <w:r>
        <w:rPr>
          <w:rFonts w:hint="default" w:ascii="Times New Roman" w:hAnsi="Times New Roman" w:eastAsia="仿宋_GB2312" w:cs="Times New Roman"/>
          <w:b/>
          <w:bCs/>
          <w:color w:val="auto"/>
          <w:kern w:val="0"/>
          <w:sz w:val="32"/>
          <w:szCs w:val="32"/>
          <w:shd w:val="clear" w:color="auto" w:fill="FFFFFF"/>
          <w:lang w:val="zh-CN"/>
        </w:rPr>
        <w:t>二是</w:t>
      </w:r>
      <w:r>
        <w:rPr>
          <w:rFonts w:hint="default" w:ascii="Times New Roman" w:hAnsi="Times New Roman" w:eastAsia="仿宋_GB2312" w:cs="Times New Roman"/>
          <w:color w:val="auto"/>
          <w:kern w:val="0"/>
          <w:sz w:val="32"/>
          <w:szCs w:val="32"/>
          <w:shd w:val="clear" w:color="auto" w:fill="FFFFFF"/>
          <w:lang w:val="zh-CN"/>
        </w:rPr>
        <w:t>加大农产品基地与村主干道连接线建设，方便农产品运输；</w:t>
      </w:r>
      <w:r>
        <w:rPr>
          <w:rFonts w:hint="default" w:ascii="Times New Roman" w:hAnsi="Times New Roman" w:eastAsia="仿宋_GB2312" w:cs="Times New Roman"/>
          <w:b/>
          <w:bCs/>
          <w:color w:val="auto"/>
          <w:kern w:val="0"/>
          <w:sz w:val="32"/>
          <w:szCs w:val="32"/>
          <w:shd w:val="clear" w:color="auto" w:fill="FFFFFF"/>
          <w:lang w:val="zh-CN"/>
        </w:rPr>
        <w:t>三是</w:t>
      </w:r>
      <w:r>
        <w:rPr>
          <w:rFonts w:hint="default" w:ascii="Times New Roman" w:hAnsi="Times New Roman" w:eastAsia="仿宋_GB2312" w:cs="Times New Roman"/>
          <w:color w:val="auto"/>
          <w:kern w:val="0"/>
          <w:sz w:val="32"/>
          <w:szCs w:val="32"/>
          <w:shd w:val="clear" w:color="auto" w:fill="FFFFFF"/>
          <w:lang w:val="zh-CN"/>
        </w:rPr>
        <w:t>加大农村客运能力建设，逐步实现全部行政村通客车，健全农村客运线路、车辆和人员管理机制，方便村民出行；</w:t>
      </w:r>
      <w:r>
        <w:rPr>
          <w:rFonts w:hint="default" w:ascii="Times New Roman" w:hAnsi="Times New Roman" w:eastAsia="仿宋_GB2312" w:cs="Times New Roman"/>
          <w:b/>
          <w:bCs/>
          <w:color w:val="auto"/>
          <w:kern w:val="0"/>
          <w:sz w:val="32"/>
          <w:szCs w:val="32"/>
          <w:shd w:val="clear" w:color="auto" w:fill="FFFFFF"/>
          <w:lang w:val="zh-CN"/>
        </w:rPr>
        <w:t>四是</w:t>
      </w:r>
      <w:r>
        <w:rPr>
          <w:rFonts w:hint="default" w:ascii="Times New Roman" w:hAnsi="Times New Roman" w:eastAsia="仿宋_GB2312" w:cs="Times New Roman"/>
          <w:color w:val="auto"/>
          <w:kern w:val="0"/>
          <w:sz w:val="32"/>
          <w:szCs w:val="32"/>
          <w:shd w:val="clear" w:color="auto" w:fill="FFFFFF"/>
          <w:lang w:val="zh-CN"/>
        </w:rPr>
        <w:t>加强农村道路管护，完善护路员配备，健全护路员管护责任和薪酬机制。</w:t>
      </w:r>
      <w:r>
        <w:rPr>
          <w:rFonts w:hint="default" w:ascii="Times New Roman" w:hAnsi="Times New Roman" w:eastAsia="仿宋_GB2312" w:cs="Times New Roman"/>
          <w:b/>
          <w:bCs/>
          <w:color w:val="auto"/>
          <w:kern w:val="0"/>
          <w:sz w:val="32"/>
          <w:szCs w:val="32"/>
          <w:shd w:val="clear" w:color="auto" w:fill="FFFFFF"/>
          <w:lang w:val="zh-CN"/>
        </w:rPr>
        <w:t>五是</w:t>
      </w:r>
      <w:r>
        <w:rPr>
          <w:rFonts w:hint="default" w:ascii="Times New Roman" w:hAnsi="Times New Roman" w:eastAsia="仿宋_GB2312" w:cs="Times New Roman"/>
          <w:color w:val="auto"/>
          <w:kern w:val="0"/>
          <w:sz w:val="32"/>
          <w:szCs w:val="32"/>
          <w:shd w:val="clear" w:color="auto" w:fill="FFFFFF"/>
          <w:lang w:val="zh-CN"/>
        </w:rPr>
        <w:t>完善农村道路交通安全警示和通行路标引导标志。“十四五”期间，</w:t>
      </w:r>
      <w:bookmarkEnd w:id="392"/>
      <w:bookmarkEnd w:id="393"/>
      <w:bookmarkEnd w:id="394"/>
      <w:r>
        <w:rPr>
          <w:rFonts w:hint="default" w:ascii="Times New Roman" w:hAnsi="Times New Roman" w:eastAsia="仿宋_GB2312" w:cs="Times New Roman"/>
          <w:kern w:val="0"/>
          <w:sz w:val="32"/>
          <w:szCs w:val="32"/>
          <w:highlight w:val="none"/>
          <w:shd w:val="clear" w:color="auto" w:fill="FFFFFF"/>
          <w:lang w:val="zh-CN"/>
        </w:rPr>
        <w:t>规划</w:t>
      </w:r>
      <w:r>
        <w:rPr>
          <w:rFonts w:hint="default" w:ascii="Times New Roman" w:hAnsi="Times New Roman" w:eastAsia="仿宋_GB2312" w:cs="Times New Roman"/>
          <w:kern w:val="0"/>
          <w:sz w:val="32"/>
          <w:szCs w:val="32"/>
          <w:highlight w:val="none"/>
          <w:shd w:val="clear" w:color="auto" w:fill="FFFFFF"/>
          <w:lang w:val="zh-CN" w:eastAsia="zh-CN"/>
        </w:rPr>
        <w:t>6</w:t>
      </w:r>
      <w:r>
        <w:rPr>
          <w:rFonts w:hint="default" w:ascii="Times New Roman" w:hAnsi="Times New Roman" w:eastAsia="仿宋_GB2312" w:cs="Times New Roman"/>
          <w:kern w:val="0"/>
          <w:sz w:val="32"/>
          <w:szCs w:val="32"/>
          <w:highlight w:val="none"/>
          <w:shd w:val="clear" w:color="auto" w:fill="FFFFFF"/>
          <w:lang w:val="zh-CN"/>
        </w:rPr>
        <w:t>条县</w:t>
      </w:r>
      <w:r>
        <w:rPr>
          <w:rFonts w:hint="default" w:ascii="Times New Roman" w:hAnsi="Times New Roman" w:eastAsia="仿宋_GB2312" w:cs="Times New Roman"/>
          <w:kern w:val="0"/>
          <w:sz w:val="32"/>
          <w:szCs w:val="32"/>
          <w:highlight w:val="none"/>
          <w:shd w:val="clear" w:color="auto" w:fill="FFFFFF"/>
          <w:lang w:val="zh-CN" w:eastAsia="zh-CN"/>
        </w:rPr>
        <w:t>乡</w:t>
      </w:r>
      <w:r>
        <w:rPr>
          <w:rFonts w:hint="default" w:ascii="Times New Roman" w:hAnsi="Times New Roman" w:eastAsia="仿宋_GB2312" w:cs="Times New Roman"/>
          <w:kern w:val="0"/>
          <w:sz w:val="32"/>
          <w:szCs w:val="32"/>
          <w:highlight w:val="none"/>
          <w:shd w:val="clear" w:color="auto" w:fill="FFFFFF"/>
          <w:lang w:val="zh-CN"/>
        </w:rPr>
        <w:t>道通过升级改造提高技术等级，行政等级基本不变。规划建设总里程</w:t>
      </w:r>
      <w:r>
        <w:rPr>
          <w:rFonts w:hint="default" w:ascii="Times New Roman" w:hAnsi="Times New Roman" w:eastAsia="仿宋_GB2312" w:cs="Times New Roman"/>
          <w:kern w:val="0"/>
          <w:sz w:val="32"/>
          <w:szCs w:val="32"/>
          <w:highlight w:val="none"/>
          <w:shd w:val="clear" w:color="auto" w:fill="FFFFFF"/>
          <w:lang w:val="zh-CN" w:eastAsia="zh-CN"/>
        </w:rPr>
        <w:t>103.192</w:t>
      </w:r>
      <w:r>
        <w:rPr>
          <w:rFonts w:hint="default" w:ascii="Times New Roman" w:hAnsi="Times New Roman" w:eastAsia="仿宋_GB2312" w:cs="Times New Roman"/>
          <w:kern w:val="0"/>
          <w:sz w:val="32"/>
          <w:szCs w:val="32"/>
          <w:highlight w:val="none"/>
          <w:shd w:val="clear" w:color="auto" w:fill="FFFFFF"/>
          <w:lang w:val="zh-CN"/>
        </w:rPr>
        <w:t>km，</w:t>
      </w:r>
      <w:r>
        <w:rPr>
          <w:rFonts w:hint="default" w:ascii="Times New Roman" w:hAnsi="Times New Roman" w:eastAsia="仿宋_GB2312" w:cs="Times New Roman"/>
          <w:kern w:val="0"/>
          <w:sz w:val="32"/>
          <w:szCs w:val="32"/>
          <w:highlight w:val="none"/>
          <w:shd w:val="clear" w:color="auto" w:fill="FFFFFF"/>
          <w:lang w:val="zh-CN" w:eastAsia="zh-CN"/>
        </w:rPr>
        <w:t>均采用三级公路标准</w:t>
      </w:r>
      <w:r>
        <w:rPr>
          <w:rFonts w:hint="default" w:ascii="Times New Roman" w:hAnsi="Times New Roman" w:eastAsia="仿宋_GB2312" w:cs="Times New Roman"/>
          <w:kern w:val="0"/>
          <w:sz w:val="32"/>
          <w:szCs w:val="32"/>
          <w:highlight w:val="none"/>
          <w:shd w:val="clear" w:color="auto" w:fill="FFFFFF"/>
          <w:lang w:val="zh-CN"/>
        </w:rPr>
        <w:t>。</w:t>
      </w:r>
    </w:p>
    <w:p>
      <w:pPr>
        <w:spacing w:line="360" w:lineRule="auto"/>
        <w:ind w:firstLine="480"/>
        <w:rPr>
          <w:rFonts w:hint="default" w:ascii="Times New Roman" w:hAnsi="Times New Roman" w:eastAsia="仿宋_GB2312" w:cs="Times New Roman"/>
          <w:b/>
          <w:color w:val="auto"/>
          <w:sz w:val="32"/>
          <w:szCs w:val="32"/>
          <w:lang w:val="zh-CN"/>
        </w:rPr>
      </w:pPr>
      <w:bookmarkStart w:id="395" w:name="_Toc18168"/>
      <w:bookmarkStart w:id="396" w:name="_Toc14212"/>
      <w:bookmarkStart w:id="397" w:name="_Toc31611"/>
      <w:bookmarkStart w:id="398" w:name="_Toc32695"/>
      <w:bookmarkStart w:id="399" w:name="_Toc3953"/>
      <w:bookmarkStart w:id="400" w:name="_Toc26419"/>
      <w:bookmarkStart w:id="401" w:name="_Toc20132"/>
      <w:bookmarkStart w:id="402" w:name="_Toc5662"/>
      <w:r>
        <w:rPr>
          <w:rFonts w:hint="default" w:ascii="Times New Roman" w:hAnsi="Times New Roman" w:eastAsia="仿宋_GB2312" w:cs="Times New Roman"/>
          <w:b/>
          <w:color w:val="auto"/>
          <w:sz w:val="32"/>
          <w:szCs w:val="32"/>
        </w:rPr>
        <w:t>10</w:t>
      </w:r>
      <w:r>
        <w:rPr>
          <w:rFonts w:hint="default" w:ascii="Times New Roman" w:hAnsi="Times New Roman" w:eastAsia="仿宋_GB2312" w:cs="Times New Roman"/>
          <w:b/>
          <w:color w:val="auto"/>
          <w:sz w:val="32"/>
          <w:szCs w:val="32"/>
          <w:lang w:val="zh-CN"/>
        </w:rPr>
        <w:t>.2加快农村电网、气网和信息网络升级改造建设</w:t>
      </w:r>
      <w:bookmarkEnd w:id="395"/>
      <w:bookmarkEnd w:id="396"/>
      <w:bookmarkEnd w:id="397"/>
      <w:bookmarkEnd w:id="398"/>
      <w:bookmarkEnd w:id="399"/>
      <w:bookmarkEnd w:id="400"/>
      <w:bookmarkEnd w:id="401"/>
      <w:bookmarkEnd w:id="402"/>
    </w:p>
    <w:p>
      <w:pPr>
        <w:pStyle w:val="37"/>
        <w:spacing w:line="560" w:lineRule="exact"/>
        <w:rPr>
          <w:rFonts w:hint="default" w:ascii="Times New Roman" w:hAnsi="Times New Roman" w:eastAsia="仿宋_GB2312" w:cs="Times New Roman"/>
          <w:color w:val="auto"/>
          <w:kern w:val="2"/>
          <w:sz w:val="32"/>
          <w:szCs w:val="32"/>
          <w:lang w:val="en-US" w:eastAsia="zh-CN" w:bidi="ar-SA"/>
        </w:rPr>
      </w:pPr>
      <w:bookmarkStart w:id="403" w:name="_Toc26355"/>
      <w:bookmarkStart w:id="404" w:name="_Toc29171"/>
      <w:bookmarkStart w:id="405" w:name="_Toc23179"/>
      <w:r>
        <w:rPr>
          <w:rFonts w:hint="default" w:ascii="Times New Roman" w:hAnsi="Times New Roman" w:eastAsia="仿宋_GB2312" w:cs="Times New Roman"/>
          <w:color w:val="auto"/>
          <w:kern w:val="0"/>
          <w:sz w:val="32"/>
          <w:szCs w:val="32"/>
          <w:shd w:val="clear" w:color="auto" w:fill="FFFFFF"/>
          <w:lang w:val="zh-CN"/>
        </w:rPr>
        <w:t>根据农村电力现状，主要解决农网未升级改造村组的电网问题，解决35kV变电站单线或单变问题，解决10kV供电半径超长问题，解决配变容量不足及低电压问题。</w:t>
      </w:r>
      <w:r>
        <w:rPr>
          <w:rFonts w:hint="default" w:ascii="Times New Roman" w:hAnsi="Times New Roman" w:eastAsia="仿宋_GB2312" w:cs="Times New Roman"/>
          <w:b/>
          <w:bCs/>
          <w:color w:val="auto"/>
          <w:kern w:val="0"/>
          <w:sz w:val="32"/>
          <w:szCs w:val="32"/>
          <w:shd w:val="clear" w:color="auto" w:fill="FFFFFF"/>
          <w:lang w:val="zh-CN"/>
        </w:rPr>
        <w:t>一是</w:t>
      </w:r>
      <w:r>
        <w:rPr>
          <w:rFonts w:hint="default" w:ascii="Times New Roman" w:hAnsi="Times New Roman" w:eastAsia="仿宋_GB2312" w:cs="Times New Roman"/>
          <w:color w:val="auto"/>
          <w:kern w:val="0"/>
          <w:sz w:val="32"/>
          <w:szCs w:val="32"/>
          <w:shd w:val="clear" w:color="auto" w:fill="FFFFFF"/>
          <w:lang w:val="zh-CN"/>
        </w:rPr>
        <w:t>增加35kV变电站的布点，解决10kV线路半径超长、线路重载和安全薄弱的问题；</w:t>
      </w:r>
      <w:r>
        <w:rPr>
          <w:rFonts w:hint="default" w:ascii="Times New Roman" w:hAnsi="Times New Roman" w:eastAsia="仿宋_GB2312" w:cs="Times New Roman"/>
          <w:b/>
          <w:bCs/>
          <w:color w:val="auto"/>
          <w:kern w:val="0"/>
          <w:sz w:val="32"/>
          <w:szCs w:val="32"/>
          <w:shd w:val="clear" w:color="auto" w:fill="FFFFFF"/>
          <w:lang w:val="zh-CN"/>
        </w:rPr>
        <w:t>二是</w:t>
      </w:r>
      <w:r>
        <w:rPr>
          <w:rFonts w:hint="default" w:ascii="Times New Roman" w:hAnsi="Times New Roman" w:eastAsia="仿宋_GB2312" w:cs="Times New Roman"/>
          <w:color w:val="auto"/>
          <w:kern w:val="0"/>
          <w:sz w:val="32"/>
          <w:szCs w:val="32"/>
          <w:shd w:val="clear" w:color="auto" w:fill="FFFFFF"/>
          <w:lang w:val="zh-CN"/>
        </w:rPr>
        <w:t>扩建35kV变电站，增加变电容量，解决主变容量不足问题，新建35kV线路，确保35kV变电站能采用双电源供电方式，提高供电可靠性，解决低电压问题；</w:t>
      </w:r>
      <w:r>
        <w:rPr>
          <w:rFonts w:hint="default" w:ascii="Times New Roman" w:hAnsi="Times New Roman" w:eastAsia="仿宋_GB2312" w:cs="Times New Roman"/>
          <w:b/>
          <w:bCs/>
          <w:color w:val="auto"/>
          <w:kern w:val="0"/>
          <w:sz w:val="32"/>
          <w:szCs w:val="32"/>
          <w:shd w:val="clear" w:color="auto" w:fill="FFFFFF"/>
          <w:lang w:val="zh-CN"/>
        </w:rPr>
        <w:t>三是</w:t>
      </w:r>
      <w:r>
        <w:rPr>
          <w:rFonts w:hint="default" w:ascii="Times New Roman" w:hAnsi="Times New Roman" w:eastAsia="仿宋_GB2312" w:cs="Times New Roman"/>
          <w:color w:val="auto"/>
          <w:kern w:val="0"/>
          <w:sz w:val="32"/>
          <w:szCs w:val="32"/>
          <w:shd w:val="clear" w:color="auto" w:fill="FFFFFF"/>
          <w:lang w:val="zh-CN"/>
        </w:rPr>
        <w:t>对户均容量偏低配变进行容量提升，解决配变重过载问题；</w:t>
      </w:r>
      <w:r>
        <w:rPr>
          <w:rFonts w:hint="default" w:ascii="Times New Roman" w:hAnsi="Times New Roman" w:eastAsia="仿宋_GB2312" w:cs="Times New Roman"/>
          <w:b/>
          <w:bCs/>
          <w:color w:val="auto"/>
          <w:kern w:val="0"/>
          <w:sz w:val="32"/>
          <w:szCs w:val="32"/>
          <w:shd w:val="clear" w:color="auto" w:fill="FFFFFF"/>
          <w:lang w:val="zh-CN"/>
        </w:rPr>
        <w:t>四是</w:t>
      </w:r>
      <w:r>
        <w:rPr>
          <w:rFonts w:hint="default" w:ascii="Times New Roman" w:hAnsi="Times New Roman" w:eastAsia="仿宋_GB2312" w:cs="Times New Roman"/>
          <w:color w:val="auto"/>
          <w:kern w:val="0"/>
          <w:sz w:val="32"/>
          <w:szCs w:val="32"/>
          <w:shd w:val="clear" w:color="auto" w:fill="FFFFFF"/>
          <w:lang w:val="zh-CN"/>
        </w:rPr>
        <w:t>对农网未升级改造村组进行电网改造。建立城镇和农村新型社区管道天然气、CNG（压缩天然气）、LNG（液化天然气）、瓶装液化石油气等多元化燃气供应模式，推进天然气管网向镇（街道）、村（社区）延伸。到202</w:t>
      </w:r>
      <w:r>
        <w:rPr>
          <w:rFonts w:hint="default" w:ascii="Times New Roman" w:hAnsi="Times New Roman" w:eastAsia="仿宋_GB2312" w:cs="Times New Roman"/>
          <w:color w:val="auto"/>
          <w:kern w:val="0"/>
          <w:sz w:val="32"/>
          <w:szCs w:val="32"/>
          <w:shd w:val="clear" w:color="auto" w:fill="FFFFFF"/>
        </w:rPr>
        <w:t>5</w:t>
      </w:r>
      <w:r>
        <w:rPr>
          <w:rFonts w:hint="default" w:ascii="Times New Roman" w:hAnsi="Times New Roman" w:eastAsia="仿宋_GB2312" w:cs="Times New Roman"/>
          <w:color w:val="auto"/>
          <w:kern w:val="0"/>
          <w:sz w:val="32"/>
          <w:szCs w:val="32"/>
          <w:shd w:val="clear" w:color="auto" w:fill="FFFFFF"/>
          <w:lang w:val="zh-CN"/>
        </w:rPr>
        <w:t>年，镇（街道）建成区、农村新型社区实现天然气管网全覆盖，燃气普及率达到9</w:t>
      </w:r>
      <w:r>
        <w:rPr>
          <w:rFonts w:hint="default" w:ascii="Times New Roman" w:hAnsi="Times New Roman" w:eastAsia="仿宋_GB2312" w:cs="Times New Roman"/>
          <w:color w:val="auto"/>
          <w:kern w:val="0"/>
          <w:sz w:val="32"/>
          <w:szCs w:val="32"/>
          <w:shd w:val="clear" w:color="auto" w:fill="FFFFFF"/>
        </w:rPr>
        <w:t>0</w:t>
      </w:r>
      <w:r>
        <w:rPr>
          <w:rFonts w:hint="default" w:ascii="Times New Roman" w:hAnsi="Times New Roman" w:eastAsia="仿宋_GB2312" w:cs="Times New Roman"/>
          <w:color w:val="auto"/>
          <w:kern w:val="0"/>
          <w:sz w:val="32"/>
          <w:szCs w:val="32"/>
          <w:shd w:val="clear" w:color="auto" w:fill="FFFFFF"/>
          <w:lang w:val="zh-CN"/>
        </w:rPr>
        <w:t>%以上、其他</w:t>
      </w:r>
      <w:r>
        <w:rPr>
          <w:rFonts w:hint="default" w:ascii="Times New Roman" w:hAnsi="Times New Roman" w:eastAsia="仿宋_GB2312" w:cs="Times New Roman"/>
          <w:color w:val="auto"/>
          <w:kern w:val="2"/>
          <w:sz w:val="32"/>
          <w:szCs w:val="32"/>
          <w:lang w:val="zh-CN" w:eastAsia="zh-CN" w:bidi="ar-SA"/>
        </w:rPr>
        <w:t>村庄燃气普及率达到8</w:t>
      </w:r>
      <w:r>
        <w:rPr>
          <w:rFonts w:hint="default" w:ascii="Times New Roman" w:hAnsi="Times New Roman" w:eastAsia="仿宋_GB2312" w:cs="Times New Roman"/>
          <w:color w:val="auto"/>
          <w:kern w:val="2"/>
          <w:sz w:val="32"/>
          <w:szCs w:val="32"/>
          <w:lang w:val="en-US" w:eastAsia="zh-CN" w:bidi="ar-SA"/>
        </w:rPr>
        <w:t>0</w:t>
      </w:r>
      <w:r>
        <w:rPr>
          <w:rFonts w:hint="default" w:ascii="Times New Roman" w:hAnsi="Times New Roman" w:eastAsia="仿宋_GB2312" w:cs="Times New Roman"/>
          <w:color w:val="auto"/>
          <w:kern w:val="2"/>
          <w:sz w:val="32"/>
          <w:szCs w:val="32"/>
          <w:lang w:val="zh-CN" w:eastAsia="zh-CN" w:bidi="ar-SA"/>
        </w:rPr>
        <w:t>%以上。加快信息网络升级改造：一是在城区、</w:t>
      </w:r>
      <w:r>
        <w:rPr>
          <w:rFonts w:hint="default" w:ascii="Times New Roman" w:hAnsi="Times New Roman" w:eastAsia="仿宋_GB2312" w:cs="Times New Roman"/>
          <w:color w:val="auto"/>
          <w:kern w:val="2"/>
          <w:sz w:val="32"/>
          <w:szCs w:val="32"/>
          <w:lang w:val="en-US" w:eastAsia="zh-CN" w:bidi="ar-SA"/>
        </w:rPr>
        <w:t>厂矿以及</w:t>
      </w:r>
      <w:r>
        <w:rPr>
          <w:rFonts w:hint="default" w:ascii="Times New Roman" w:hAnsi="Times New Roman" w:eastAsia="仿宋_GB2312" w:cs="Times New Roman"/>
          <w:color w:val="auto"/>
          <w:kern w:val="2"/>
          <w:sz w:val="32"/>
          <w:szCs w:val="32"/>
          <w:lang w:val="zh-CN" w:eastAsia="zh-CN" w:bidi="ar-SA"/>
        </w:rPr>
        <w:t>农村建设</w:t>
      </w:r>
      <w:r>
        <w:rPr>
          <w:rFonts w:hint="default" w:ascii="Times New Roman" w:hAnsi="Times New Roman" w:eastAsia="仿宋_GB2312" w:cs="Times New Roman"/>
          <w:color w:val="auto"/>
          <w:kern w:val="2"/>
          <w:sz w:val="32"/>
          <w:szCs w:val="32"/>
          <w:lang w:val="en-US" w:eastAsia="zh-CN" w:bidi="ar-SA"/>
        </w:rPr>
        <w:t>5G基站，实现5G商用；二是实现县域内4G网络无盲点全覆盖；三是推进光纤向自然村（组）延伸和光纤到户建设，宽带家庭1000兆升级。</w:t>
      </w:r>
      <w:bookmarkEnd w:id="403"/>
      <w:bookmarkEnd w:id="404"/>
      <w:bookmarkEnd w:id="405"/>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406" w:name="_Toc25193"/>
      <w:bookmarkStart w:id="407" w:name="_Toc32373"/>
      <w:bookmarkStart w:id="408" w:name="_Toc30207"/>
      <w:bookmarkStart w:id="409" w:name="_Toc4924"/>
      <w:bookmarkStart w:id="410" w:name="_Toc19445"/>
      <w:bookmarkStart w:id="411" w:name="_Toc21169"/>
      <w:bookmarkStart w:id="412" w:name="_Toc24523"/>
      <w:bookmarkStart w:id="413" w:name="_Toc13786"/>
      <w:r>
        <w:rPr>
          <w:rFonts w:hint="default" w:ascii="Times New Roman" w:hAnsi="Times New Roman" w:eastAsia="仿宋_GB2312" w:cs="Times New Roman"/>
          <w:b/>
          <w:color w:val="auto"/>
          <w:sz w:val="32"/>
          <w:szCs w:val="32"/>
        </w:rPr>
        <w:t>10</w:t>
      </w:r>
      <w:r>
        <w:rPr>
          <w:rFonts w:hint="default" w:ascii="Times New Roman" w:hAnsi="Times New Roman" w:eastAsia="仿宋_GB2312" w:cs="Times New Roman"/>
          <w:b/>
          <w:color w:val="auto"/>
          <w:sz w:val="32"/>
          <w:szCs w:val="32"/>
          <w:lang w:val="zh-CN"/>
        </w:rPr>
        <w:t>.3加强农村饮用水保障能力建设</w:t>
      </w:r>
      <w:bookmarkEnd w:id="406"/>
      <w:bookmarkEnd w:id="407"/>
      <w:bookmarkEnd w:id="408"/>
      <w:bookmarkEnd w:id="409"/>
      <w:bookmarkEnd w:id="410"/>
      <w:bookmarkEnd w:id="411"/>
      <w:bookmarkEnd w:id="412"/>
      <w:bookmarkEnd w:id="413"/>
    </w:p>
    <w:p>
      <w:pPr>
        <w:spacing w:line="560" w:lineRule="exact"/>
        <w:ind w:firstLine="640" w:firstLineChars="200"/>
        <w:rPr>
          <w:rFonts w:hint="default" w:ascii="Times New Roman" w:hAnsi="Times New Roman" w:eastAsia="仿宋_GB2312" w:cs="Times New Roman"/>
          <w:color w:val="auto"/>
          <w:sz w:val="32"/>
          <w:szCs w:val="32"/>
          <w:lang w:val="zh-CN"/>
        </w:rPr>
      </w:pPr>
      <w:bookmarkStart w:id="414" w:name="_Toc24462"/>
      <w:bookmarkStart w:id="415" w:name="_Toc1314"/>
      <w:bookmarkStart w:id="416" w:name="_Toc32307"/>
      <w:r>
        <w:rPr>
          <w:rFonts w:hint="default" w:ascii="Times New Roman" w:hAnsi="Times New Roman" w:eastAsia="仿宋_GB2312" w:cs="Times New Roman"/>
          <w:color w:val="auto"/>
          <w:sz w:val="32"/>
          <w:szCs w:val="32"/>
          <w:lang w:val="zh-CN"/>
        </w:rPr>
        <w:t>根据全县水资源分布情况，水源地、现有水厂及管网情况，充分发挥城市自来水厂规划优势，统筹考虑城乡供水一体化，以工程为单元，做好新建工程、改扩建工程的结合，统筹规划，大力实施规模化供水，以大并小，进一步规范水源地保护，确保水源永续利用，实现供水智能化、自动化，供水得到保障，水质得到保障。根据《饮水安全中心关于开展“十四五”农村供水保障规划摸底工作的函》（饮水发建函〔2019〕16号）中规划目标及农村饮水标准，并结合大英县农村供水工程现状。到2025年，全县建立完善“从源头到龙头”的农村供水工程体系和管理体系；全面提升工程运行管理水平；农村集中供水率</w:t>
      </w:r>
      <w:r>
        <w:rPr>
          <w:rFonts w:hint="default" w:ascii="Times New Roman" w:hAnsi="Times New Roman" w:eastAsia="仿宋_GB2312" w:cs="Times New Roman"/>
          <w:color w:val="auto"/>
          <w:sz w:val="32"/>
          <w:szCs w:val="32"/>
          <w:lang w:val="en-US" w:eastAsia="zh-CN"/>
        </w:rPr>
        <w:t>达到</w:t>
      </w:r>
      <w:r>
        <w:rPr>
          <w:rFonts w:hint="default" w:ascii="Times New Roman" w:hAnsi="Times New Roman" w:eastAsia="仿宋_GB2312" w:cs="Times New Roman"/>
          <w:color w:val="auto"/>
          <w:sz w:val="32"/>
          <w:szCs w:val="32"/>
        </w:rPr>
        <w:t>90</w:t>
      </w:r>
      <w:r>
        <w:rPr>
          <w:rFonts w:hint="default" w:ascii="Times New Roman" w:hAnsi="Times New Roman" w:eastAsia="仿宋_GB2312" w:cs="Times New Roman"/>
          <w:color w:val="auto"/>
          <w:sz w:val="32"/>
          <w:szCs w:val="32"/>
          <w:lang w:val="zh-CN"/>
        </w:rPr>
        <w:t>%，农村自来水普及率</w:t>
      </w:r>
      <w:r>
        <w:rPr>
          <w:rFonts w:hint="default" w:ascii="Times New Roman" w:hAnsi="Times New Roman" w:eastAsia="仿宋_GB2312" w:cs="Times New Roman"/>
          <w:color w:val="auto"/>
          <w:sz w:val="32"/>
          <w:szCs w:val="32"/>
          <w:lang w:val="en-US" w:eastAsia="zh-CN"/>
        </w:rPr>
        <w:t>达到80</w:t>
      </w:r>
      <w:r>
        <w:rPr>
          <w:rFonts w:hint="default" w:ascii="Times New Roman" w:hAnsi="Times New Roman" w:eastAsia="仿宋_GB2312" w:cs="Times New Roman"/>
          <w:color w:val="auto"/>
          <w:sz w:val="32"/>
          <w:szCs w:val="32"/>
          <w:lang w:val="zh-CN"/>
        </w:rPr>
        <w:t>%以上，千人以上工程水源保护区划定率达100%，规模化工程供水人口覆盖率达</w:t>
      </w: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val="zh-CN"/>
        </w:rPr>
        <w:t>0%，自然村通水率</w:t>
      </w:r>
      <w:r>
        <w:rPr>
          <w:rFonts w:hint="default" w:ascii="Times New Roman" w:hAnsi="Times New Roman" w:eastAsia="仿宋_GB2312" w:cs="Times New Roman"/>
          <w:color w:val="auto"/>
          <w:sz w:val="32"/>
          <w:szCs w:val="32"/>
          <w:lang w:val="en-US" w:eastAsia="zh-CN"/>
        </w:rPr>
        <w:t>达到</w:t>
      </w:r>
      <w:r>
        <w:rPr>
          <w:rFonts w:hint="default" w:ascii="Times New Roman" w:hAnsi="Times New Roman" w:eastAsia="仿宋_GB2312" w:cs="Times New Roman"/>
          <w:color w:val="auto"/>
          <w:sz w:val="32"/>
          <w:szCs w:val="32"/>
        </w:rPr>
        <w:t>80</w:t>
      </w:r>
      <w:r>
        <w:rPr>
          <w:rFonts w:hint="default" w:ascii="Times New Roman" w:hAnsi="Times New Roman" w:eastAsia="仿宋_GB2312" w:cs="Times New Roman"/>
          <w:color w:val="auto"/>
          <w:sz w:val="32"/>
          <w:szCs w:val="32"/>
          <w:lang w:val="zh-CN"/>
        </w:rPr>
        <w:t>%，逐步建立水费收缴机制；全面建立完善水源地保护措施。规划工程主要为新建供水保障备用水源工程</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zh-CN"/>
        </w:rPr>
        <w:t>个，改造供水站</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zh-CN"/>
        </w:rPr>
        <w:t>个，供水保障5G智能化工程、农村分散供水保障工程、新建及扩建</w:t>
      </w: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zh-CN"/>
        </w:rPr>
        <w:t>处水源工程，覆盖</w:t>
      </w: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lang w:val="zh-CN"/>
        </w:rPr>
        <w:t>镇街</w:t>
      </w:r>
      <w:r>
        <w:rPr>
          <w:rFonts w:hint="default" w:ascii="Times New Roman" w:hAnsi="Times New Roman" w:eastAsia="仿宋_GB2312" w:cs="Times New Roman"/>
          <w:color w:val="auto"/>
          <w:sz w:val="32"/>
          <w:szCs w:val="32"/>
        </w:rPr>
        <w:t>168</w:t>
      </w:r>
      <w:r>
        <w:rPr>
          <w:rFonts w:hint="default" w:ascii="Times New Roman" w:hAnsi="Times New Roman" w:eastAsia="仿宋_GB2312" w:cs="Times New Roman"/>
          <w:color w:val="auto"/>
          <w:sz w:val="32"/>
          <w:szCs w:val="32"/>
          <w:lang w:val="zh-CN"/>
        </w:rPr>
        <w:t>个村，受益人口</w:t>
      </w:r>
      <w:r>
        <w:rPr>
          <w:rFonts w:hint="default" w:ascii="Times New Roman" w:hAnsi="Times New Roman" w:eastAsia="仿宋_GB2312" w:cs="Times New Roman"/>
          <w:color w:val="auto"/>
          <w:sz w:val="32"/>
          <w:szCs w:val="32"/>
        </w:rPr>
        <w:t>28.77</w:t>
      </w:r>
      <w:r>
        <w:rPr>
          <w:rFonts w:hint="default" w:ascii="Times New Roman" w:hAnsi="Times New Roman" w:eastAsia="仿宋_GB2312" w:cs="Times New Roman"/>
          <w:color w:val="auto"/>
          <w:sz w:val="32"/>
          <w:szCs w:val="32"/>
          <w:lang w:val="zh-CN"/>
        </w:rPr>
        <w:t>万人；</w:t>
      </w:r>
      <w:r>
        <w:rPr>
          <w:rFonts w:hint="default" w:ascii="Times New Roman" w:hAnsi="Times New Roman" w:eastAsia="仿宋_GB2312" w:cs="Times New Roman"/>
          <w:color w:val="auto"/>
          <w:sz w:val="32"/>
          <w:szCs w:val="32"/>
        </w:rPr>
        <w:t>将城市管网向蓬莱镇、盐井街道、卓筒井镇、隆盛镇等部分村延伸，逐步推进城乡供水一体化</w:t>
      </w:r>
      <w:r>
        <w:rPr>
          <w:rFonts w:hint="default" w:ascii="Times New Roman" w:hAnsi="Times New Roman" w:eastAsia="仿宋_GB2312" w:cs="Times New Roman"/>
          <w:color w:val="auto"/>
          <w:sz w:val="32"/>
          <w:szCs w:val="32"/>
          <w:lang w:val="zh-CN"/>
        </w:rPr>
        <w:t>。</w:t>
      </w:r>
      <w:bookmarkEnd w:id="414"/>
      <w:bookmarkEnd w:id="415"/>
      <w:bookmarkEnd w:id="416"/>
      <w:bookmarkStart w:id="417" w:name="_Toc10712"/>
      <w:bookmarkStart w:id="418" w:name="_Toc28770"/>
      <w:bookmarkStart w:id="419" w:name="_Toc12508"/>
      <w:bookmarkStart w:id="420" w:name="_Toc1418"/>
      <w:bookmarkStart w:id="421" w:name="_Toc20867"/>
      <w:bookmarkStart w:id="422" w:name="_Toc25472"/>
      <w:bookmarkStart w:id="423" w:name="_Toc19843"/>
    </w:p>
    <w:p>
      <w:pPr>
        <w:pStyle w:val="29"/>
        <w:rPr>
          <w:rFonts w:hint="default" w:ascii="Times New Roman" w:hAnsi="Times New Roman" w:cs="Times New Roman"/>
        </w:rPr>
      </w:pPr>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mn-Mong-CN" w:bidi="mn-Mong-CN"/>
        </w:rPr>
      </w:pPr>
      <w:bookmarkStart w:id="424" w:name="_Toc10304"/>
      <w:r>
        <w:rPr>
          <w:rFonts w:hint="default" w:ascii="Times New Roman" w:hAnsi="Times New Roman" w:eastAsia="黑体" w:cs="Times New Roman"/>
          <w:color w:val="auto"/>
          <w:kern w:val="0"/>
          <w:sz w:val="32"/>
          <w:szCs w:val="32"/>
          <w:lang w:val="mn-Mong-CN" w:bidi="mn-Mong-CN"/>
        </w:rPr>
        <w:t>第十一章  提升农村公共服务能力</w:t>
      </w:r>
      <w:bookmarkEnd w:id="417"/>
      <w:bookmarkEnd w:id="418"/>
      <w:bookmarkEnd w:id="419"/>
      <w:bookmarkEnd w:id="420"/>
      <w:bookmarkEnd w:id="421"/>
      <w:bookmarkEnd w:id="422"/>
      <w:bookmarkEnd w:id="423"/>
      <w:bookmarkEnd w:id="424"/>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促进农村公共服务投入快速增长，建立城乡统一的公共服务体系和社会保障制度，城乡基本公共服务均等化推进取得重要进展，城乡融合发展水平显著提升。到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期末，基本实现城乡基本公共服务标准统一、制度并轨。</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425" w:name="_Toc22127"/>
      <w:bookmarkStart w:id="426" w:name="_Toc20477"/>
      <w:bookmarkStart w:id="427" w:name="_Toc5386"/>
      <w:bookmarkStart w:id="428" w:name="_Toc18362"/>
      <w:bookmarkStart w:id="429" w:name="_Toc22108"/>
      <w:bookmarkStart w:id="430" w:name="_Toc13804"/>
      <w:bookmarkStart w:id="431" w:name="_Toc6716"/>
      <w:bookmarkStart w:id="432" w:name="_Toc3419"/>
      <w:r>
        <w:rPr>
          <w:rFonts w:hint="default" w:ascii="Times New Roman" w:hAnsi="Times New Roman" w:eastAsia="仿宋_GB2312" w:cs="Times New Roman"/>
          <w:b/>
          <w:color w:val="auto"/>
          <w:sz w:val="32"/>
          <w:szCs w:val="32"/>
        </w:rPr>
        <w:t>11</w:t>
      </w:r>
      <w:r>
        <w:rPr>
          <w:rFonts w:hint="default" w:ascii="Times New Roman" w:hAnsi="Times New Roman" w:eastAsia="仿宋_GB2312" w:cs="Times New Roman"/>
          <w:b/>
          <w:color w:val="auto"/>
          <w:sz w:val="32"/>
          <w:szCs w:val="32"/>
          <w:lang w:val="zh-CN"/>
        </w:rPr>
        <w:t>.1加强农村基层医疗卫生服务</w:t>
      </w:r>
      <w:bookmarkEnd w:id="425"/>
      <w:bookmarkEnd w:id="426"/>
      <w:bookmarkEnd w:id="427"/>
      <w:bookmarkEnd w:id="428"/>
      <w:bookmarkEnd w:id="429"/>
      <w:bookmarkEnd w:id="430"/>
      <w:bookmarkEnd w:id="431"/>
      <w:bookmarkEnd w:id="432"/>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以县级医疗卫生机构为龙头、乡镇卫生院为枢纽、村卫生室为基础的农村医疗卫生服务体系，承担着为广大农村居民提供公共卫生和基本医疗服务的重要职责。</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加快农村卫生设施建设。</w:t>
      </w:r>
      <w:r>
        <w:rPr>
          <w:rFonts w:hint="default" w:ascii="Times New Roman" w:hAnsi="Times New Roman" w:eastAsia="仿宋_GB2312" w:cs="Times New Roman"/>
          <w:color w:val="auto"/>
          <w:sz w:val="32"/>
          <w:szCs w:val="32"/>
          <w:lang w:val="zh-CN"/>
        </w:rPr>
        <w:t>办好县级医院，推进标准化乡镇卫生院建设，改造提升村卫生室，消除医疗服务空白点；依托中心镇、特色镇卫生院规划建设县城医疗卫生次中心</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val="zh-CN"/>
        </w:rPr>
        <w:t>；建立适度倾斜农村的财政卫生经费保障制度，</w:t>
      </w:r>
      <w:r>
        <w:rPr>
          <w:rFonts w:hint="default" w:ascii="Times New Roman" w:hAnsi="Times New Roman" w:eastAsia="仿宋_GB2312" w:cs="Times New Roman"/>
          <w:color w:val="auto"/>
          <w:sz w:val="32"/>
          <w:szCs w:val="32"/>
        </w:rPr>
        <w:t>确保农村医疗卫生基本建设经费、设备购置经费、人员经费足额列入财政预算，使卫生院也能够拥有先进的医疗设备和高素质的医护人员，逐步推进村卫生室标准化建设，不断改善乡村医疗条件</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b/>
          <w:bCs/>
          <w:color w:val="auto"/>
          <w:sz w:val="32"/>
          <w:szCs w:val="32"/>
          <w:lang w:val="zh-CN"/>
        </w:rPr>
        <w:t>二是</w:t>
      </w:r>
      <w:r>
        <w:rPr>
          <w:rFonts w:hint="default" w:ascii="Times New Roman" w:hAnsi="Times New Roman" w:eastAsia="仿宋_GB2312" w:cs="Times New Roman"/>
          <w:color w:val="auto"/>
          <w:sz w:val="32"/>
          <w:szCs w:val="32"/>
          <w:lang w:val="zh-CN"/>
        </w:rPr>
        <w:t>加强乡村医生队伍建设。适当简化本科及以上学历医学毕业生或经住院医师规范化培训合格的全科医生招聘程序；积极利用国家优惠政策（学期间学费补偿、国家助学贷款代偿），探索出台地方优惠政策，通过对医学毕业生提供更多优惠政策和适当补贴等方法吸引高层次医护人才去农村从事医疗工作。通过农村订单定向医学生免费培养一批、“县聘（</w:t>
      </w:r>
      <w:r>
        <w:rPr>
          <w:rFonts w:hint="default" w:ascii="Times New Roman" w:hAnsi="Times New Roman" w:eastAsia="仿宋_GB2312" w:cs="Times New Roman"/>
          <w:color w:val="auto"/>
          <w:sz w:val="32"/>
          <w:szCs w:val="32"/>
        </w:rPr>
        <w:t>招</w:t>
      </w:r>
      <w:r>
        <w:rPr>
          <w:rFonts w:hint="default" w:ascii="Times New Roman" w:hAnsi="Times New Roman" w:eastAsia="仿宋_GB2312" w:cs="Times New Roman"/>
          <w:color w:val="auto"/>
          <w:sz w:val="32"/>
          <w:szCs w:val="32"/>
          <w:lang w:val="zh-CN"/>
        </w:rPr>
        <w:t>）县管</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sz w:val="32"/>
          <w:szCs w:val="32"/>
          <w:lang w:val="zh-CN"/>
        </w:rPr>
        <w:t>用”和全科医生特岗计划聘用一批和从县医院选派一批等方式，解决乡镇卫生院无合格（优质）医生问题；通过“</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sz w:val="32"/>
          <w:szCs w:val="32"/>
          <w:lang w:val="zh-CN"/>
        </w:rPr>
        <w:t>聘（</w:t>
      </w:r>
      <w:r>
        <w:rPr>
          <w:rFonts w:hint="default" w:ascii="Times New Roman" w:hAnsi="Times New Roman" w:eastAsia="仿宋_GB2312" w:cs="Times New Roman"/>
          <w:color w:val="auto"/>
          <w:sz w:val="32"/>
          <w:szCs w:val="32"/>
        </w:rPr>
        <w:t>招</w:t>
      </w:r>
      <w:r>
        <w:rPr>
          <w:rFonts w:hint="default" w:ascii="Times New Roman" w:hAnsi="Times New Roman" w:eastAsia="仿宋_GB2312" w:cs="Times New Roman"/>
          <w:color w:val="auto"/>
          <w:sz w:val="32"/>
          <w:szCs w:val="32"/>
          <w:lang w:val="zh-CN"/>
        </w:rPr>
        <w:t>）村用”、从卫生院选派医生到村卫生室开展巡诊或派驻等方式，解决村卫生室无合格医生问题；盘活用好基层卫生机构现有编制资源，乡镇卫生院可优先聘用符合条件的村医；建立健全农村村医准入条件和持续发展长效机制，保证行政村医疗卫生服务全覆盖。</w:t>
      </w:r>
      <w:r>
        <w:rPr>
          <w:rFonts w:hint="default" w:ascii="Times New Roman" w:hAnsi="Times New Roman" w:eastAsia="仿宋_GB2312" w:cs="Times New Roman"/>
          <w:color w:val="auto"/>
          <w:sz w:val="32"/>
          <w:szCs w:val="32"/>
        </w:rPr>
        <w:t>面向乡村医生征集培训需求，采用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集中授课+网络授课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等多种方式，为乡村医生提供免费培训服务；鼓励有条件的乡村医生接受医学学历的再教育</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b/>
          <w:bCs/>
          <w:color w:val="auto"/>
          <w:sz w:val="32"/>
          <w:szCs w:val="32"/>
          <w:lang w:val="zh-CN"/>
        </w:rPr>
        <w:t>三是</w:t>
      </w:r>
      <w:r>
        <w:rPr>
          <w:rFonts w:hint="default" w:ascii="Times New Roman" w:hAnsi="Times New Roman" w:eastAsia="仿宋_GB2312" w:cs="Times New Roman"/>
          <w:color w:val="auto"/>
          <w:sz w:val="32"/>
          <w:szCs w:val="32"/>
          <w:lang w:val="zh-CN"/>
        </w:rPr>
        <w:t>加快构建紧密型县域医疗卫生共同体。建设多种形式医联体、医共体，优化整合县乡医疗资源，稳步推进“县</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sz w:val="32"/>
          <w:szCs w:val="32"/>
          <w:lang w:val="zh-CN"/>
        </w:rPr>
        <w:t>村一体”紧密型县域医疗卫生共同体建设。落实中心镇卫生院使用不超过45%、村卫生室不超过35%的非基本药物政策，统一紧密型县域医共体内上下级医疗机构用药目录。经济条件较好的镇街可率先打通双向转诊网络通道，构建政府主导的远程医疗系统，逐步推进城乡服务能力同质化。完善乡镇卫生院诊疗制度保障，鼓励县级以上公立医院通过在乡镇卫生院开设“周末门诊”、开展形式多样的义诊志愿服务等活动，搞好“传帮带”，提高基层医生看常见病、管慢性病、转疑难病的能力。探索建立县级人才、技术、管理等优质资源下沉到乡镇卫生院制定，推动县乡医疗机构、人才和资源“三统一”，实现财务、医保、信息“三统筹”和分级诊疗、家庭医生签约、公共卫生服务“三强化”。</w:t>
      </w:r>
      <w:r>
        <w:rPr>
          <w:rFonts w:hint="default" w:ascii="Times New Roman" w:hAnsi="Times New Roman" w:eastAsia="仿宋_GB2312" w:cs="Times New Roman"/>
          <w:b/>
          <w:bCs/>
          <w:color w:val="auto"/>
          <w:sz w:val="32"/>
          <w:szCs w:val="32"/>
          <w:lang w:val="zh-CN"/>
        </w:rPr>
        <w:t>四是</w:t>
      </w:r>
      <w:r>
        <w:rPr>
          <w:rFonts w:hint="default" w:ascii="Times New Roman" w:hAnsi="Times New Roman" w:eastAsia="仿宋_GB2312" w:cs="Times New Roman"/>
          <w:color w:val="auto"/>
          <w:sz w:val="32"/>
          <w:szCs w:val="32"/>
          <w:lang w:val="zh-CN"/>
        </w:rPr>
        <w:t>加强疾病预防和医疗救助工作。加强基层疾病预防控制队伍建设，做好重大疾病和传染病防控。将农村适龄妇女宫颈癌和乳腺癌检查纳入基本公共卫生服务范围。</w:t>
      </w:r>
      <w:r>
        <w:rPr>
          <w:rFonts w:hint="default" w:ascii="Times New Roman" w:hAnsi="Times New Roman" w:eastAsia="仿宋_GB2312" w:cs="Times New Roman"/>
          <w:color w:val="auto"/>
          <w:sz w:val="32"/>
          <w:szCs w:val="32"/>
        </w:rPr>
        <w:t>进一步加强和完善医疗救助工作，完善新农合制度，提高重大疾病保障水平和大病保险能力，全面做好农村低收入居民基本医疗救助、重特大疾病医疗救助以及农村困难家庭</w:t>
      </w:r>
      <w:r>
        <w:rPr>
          <w:rFonts w:hint="default" w:ascii="Times New Roman" w:hAnsi="Times New Roman" w:eastAsia="仿宋_GB2312" w:cs="Times New Roman"/>
          <w:color w:val="auto"/>
          <w:sz w:val="32"/>
          <w:szCs w:val="32"/>
          <w:lang w:eastAsia="zh-CN"/>
        </w:rPr>
        <w:t>严重精神障碍</w:t>
      </w:r>
      <w:r>
        <w:rPr>
          <w:rFonts w:hint="default" w:ascii="Times New Roman" w:hAnsi="Times New Roman" w:eastAsia="仿宋_GB2312" w:cs="Times New Roman"/>
          <w:color w:val="auto"/>
          <w:sz w:val="32"/>
          <w:szCs w:val="32"/>
        </w:rPr>
        <w:t>患者救治工作。到2025年，建制镇卫生院执业（助理）医师数较2020年（下同）增加20%，基层人才学历和职称结构得到明显改善；能初步识别和诊治60个以上基本病种的乡镇卫生院增加10%以上。镇村两级医疗卫生机构诊疗人次增长10%以上。门诊病人次均费用、住院次均费用增幅放缓，镇卫生院医疗服务收入增加10%以上，上级机构向基层转诊人数提高10%以上。</w:t>
      </w:r>
      <w:r>
        <w:rPr>
          <w:rFonts w:hint="default" w:ascii="Times New Roman" w:hAnsi="Times New Roman" w:eastAsia="仿宋_GB2312" w:cs="Times New Roman"/>
          <w:color w:val="auto"/>
          <w:sz w:val="32"/>
          <w:szCs w:val="32"/>
          <w:lang w:eastAsia="zh-CN"/>
        </w:rPr>
        <w:t>重点人群</w:t>
      </w:r>
      <w:r>
        <w:rPr>
          <w:rFonts w:hint="default" w:ascii="Times New Roman" w:hAnsi="Times New Roman" w:eastAsia="仿宋_GB2312" w:cs="Times New Roman"/>
          <w:color w:val="auto"/>
          <w:sz w:val="32"/>
          <w:szCs w:val="32"/>
        </w:rPr>
        <w:t>居民健康档案动态使用率达到70%以上。标准化村卫生室全覆盖行政村。</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433" w:name="_Toc10705"/>
      <w:bookmarkStart w:id="434" w:name="_Toc18722"/>
      <w:bookmarkStart w:id="435" w:name="_Toc8092"/>
      <w:bookmarkStart w:id="436" w:name="_Toc31584"/>
      <w:bookmarkStart w:id="437" w:name="_Toc30484"/>
      <w:bookmarkStart w:id="438" w:name="_Toc28654"/>
      <w:bookmarkStart w:id="439" w:name="_Toc19888"/>
      <w:bookmarkStart w:id="440" w:name="_Toc30589"/>
      <w:r>
        <w:rPr>
          <w:rFonts w:hint="default" w:ascii="Times New Roman" w:hAnsi="Times New Roman" w:eastAsia="仿宋_GB2312" w:cs="Times New Roman"/>
          <w:b/>
          <w:color w:val="auto"/>
          <w:sz w:val="32"/>
          <w:szCs w:val="32"/>
        </w:rPr>
        <w:t>11</w:t>
      </w:r>
      <w:r>
        <w:rPr>
          <w:rFonts w:hint="default" w:ascii="Times New Roman" w:hAnsi="Times New Roman" w:eastAsia="仿宋_GB2312" w:cs="Times New Roman"/>
          <w:b/>
          <w:color w:val="auto"/>
          <w:sz w:val="32"/>
          <w:szCs w:val="32"/>
          <w:lang w:val="zh-CN"/>
        </w:rPr>
        <w:t>.2提高农村社会保障水平</w:t>
      </w:r>
      <w:bookmarkEnd w:id="433"/>
      <w:bookmarkEnd w:id="434"/>
      <w:bookmarkEnd w:id="435"/>
      <w:bookmarkEnd w:id="436"/>
      <w:bookmarkEnd w:id="437"/>
      <w:bookmarkEnd w:id="438"/>
      <w:bookmarkEnd w:id="439"/>
      <w:bookmarkEnd w:id="440"/>
    </w:p>
    <w:p>
      <w:pPr>
        <w:spacing w:line="560" w:lineRule="exact"/>
        <w:ind w:firstLine="643"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lang w:val="zh-CN"/>
        </w:rPr>
        <w:t>一是</w:t>
      </w:r>
      <w:r>
        <w:rPr>
          <w:rFonts w:hint="default" w:ascii="Times New Roman" w:hAnsi="Times New Roman" w:eastAsia="仿宋_GB2312" w:cs="Times New Roman"/>
          <w:color w:val="auto"/>
          <w:sz w:val="32"/>
          <w:szCs w:val="32"/>
          <w:lang w:val="zh-CN"/>
        </w:rPr>
        <w:t>提高医疗保障水平。适当提高城乡居民基本医疗保险财政补助和个人缴费标准。提高城乡居民基本医保、大病保险、医疗救助经办服务水平，地级市域范围内实现“一站式服务、一窗口办理、一单制结算”。</w:t>
      </w:r>
      <w:r>
        <w:rPr>
          <w:rFonts w:hint="default" w:ascii="Times New Roman" w:hAnsi="Times New Roman" w:eastAsia="仿宋_GB2312" w:cs="Times New Roman"/>
          <w:b/>
          <w:bCs/>
          <w:color w:val="auto"/>
          <w:sz w:val="32"/>
          <w:szCs w:val="32"/>
          <w:lang w:val="zh-CN"/>
        </w:rPr>
        <w:t>二是</w:t>
      </w:r>
      <w:r>
        <w:rPr>
          <w:rFonts w:hint="default" w:ascii="Times New Roman" w:hAnsi="Times New Roman" w:eastAsia="仿宋_GB2312" w:cs="Times New Roman"/>
          <w:color w:val="auto"/>
          <w:sz w:val="32"/>
          <w:szCs w:val="32"/>
          <w:lang w:val="zh-CN"/>
        </w:rPr>
        <w:t>探索建立并完善农村养老保险制度。通过个人缴费、集体补助、政府补贴相结合的新农保制度，实行社会统筹与个人账户相结合，与家庭养老、土地保障、社会救助等相配套，保障农村居民老年基本生活。地方政府应当引导中青年农民积极参保，本着多缴多得、长缴长得的相关激励机制来保证农村参保人的权益。对选择较高档次标准缴费的，可给予适当鼓励。制定专门针对失地农民的养老保险基金，为其建立个人账户，从征地补偿费中一次性注入若干年的养老保险资金，有效解决其保障缺位的问题。</w:t>
      </w:r>
      <w:r>
        <w:rPr>
          <w:rFonts w:hint="default" w:ascii="Times New Roman" w:hAnsi="Times New Roman" w:eastAsia="仿宋_GB2312" w:cs="Times New Roman"/>
          <w:b/>
          <w:bCs/>
          <w:color w:val="auto"/>
          <w:sz w:val="32"/>
          <w:szCs w:val="32"/>
          <w:lang w:val="zh-CN"/>
        </w:rPr>
        <w:t>三是</w:t>
      </w:r>
      <w:r>
        <w:rPr>
          <w:rFonts w:hint="default" w:ascii="Times New Roman" w:hAnsi="Times New Roman" w:eastAsia="仿宋_GB2312" w:cs="Times New Roman"/>
          <w:color w:val="auto"/>
          <w:sz w:val="32"/>
          <w:szCs w:val="32"/>
          <w:lang w:val="zh-CN"/>
        </w:rPr>
        <w:t>完善农村最低生活保障制度。全面建立农村低保制度，拓展农村低保覆盖面，完善低保标准动态调整机制，使农村低保标准随当地生活必需品价格变化和生活水平提高适时进行调整。</w:t>
      </w:r>
      <w:r>
        <w:rPr>
          <w:rFonts w:hint="default" w:ascii="Times New Roman" w:hAnsi="Times New Roman" w:eastAsia="仿宋_GB2312" w:cs="Times New Roman"/>
          <w:b/>
          <w:bCs/>
          <w:color w:val="auto"/>
          <w:sz w:val="32"/>
          <w:szCs w:val="32"/>
          <w:lang w:val="zh-CN"/>
        </w:rPr>
        <w:t>四是</w:t>
      </w:r>
      <w:r>
        <w:rPr>
          <w:rFonts w:hint="default" w:ascii="Times New Roman" w:hAnsi="Times New Roman" w:eastAsia="仿宋_GB2312" w:cs="Times New Roman"/>
          <w:color w:val="auto"/>
          <w:sz w:val="32"/>
          <w:szCs w:val="32"/>
          <w:lang w:val="zh-CN"/>
        </w:rPr>
        <w:t>健全与经济社会发展相适应的养老育幼基本公共服务体系。</w:t>
      </w:r>
      <w:r>
        <w:rPr>
          <w:rFonts w:hint="default" w:ascii="Times New Roman" w:hAnsi="Times New Roman" w:eastAsia="仿宋_GB2312" w:cs="Times New Roman"/>
          <w:sz w:val="32"/>
          <w:szCs w:val="32"/>
          <w:lang w:val="zh-CN" w:eastAsia="zh-CN"/>
        </w:rPr>
        <w:t>完善县镇村三级养老服务和老年教育网络，构建“15分钟”养老服务圈。力争2025年建成县级失能老人养护院1所，新增护理型床位300张；对敬老院进行护理能力提升并转型升级为区域性养老服务中心，利用国有闲置资产改建社区养老服务综合体3个；推动老年助餐“1+N”二级服务网络建设，采取政府补贴形式开展特殊困难老年人家庭适老化改造，募集慈善资金助力特殊困难老年人探访关爱服务。</w:t>
      </w:r>
      <w:r>
        <w:rPr>
          <w:rFonts w:hint="default" w:ascii="Times New Roman" w:hAnsi="Times New Roman" w:eastAsia="仿宋_GB2312" w:cs="Times New Roman"/>
          <w:sz w:val="32"/>
          <w:szCs w:val="32"/>
          <w:lang w:val="zh-CN"/>
        </w:rPr>
        <w:t>儿童</w:t>
      </w:r>
      <w:r>
        <w:rPr>
          <w:rFonts w:hint="default" w:ascii="Times New Roman" w:hAnsi="Times New Roman" w:eastAsia="仿宋_GB2312" w:cs="Times New Roman"/>
          <w:color w:val="auto"/>
          <w:sz w:val="32"/>
          <w:szCs w:val="32"/>
          <w:lang w:val="zh-CN"/>
        </w:rPr>
        <w:t>之家示范点达 35个。婴幼儿健康管理率达到90%以上。镇（街道）、村（社区）志愿者服务队伍覆盖率达到100%。</w:t>
      </w:r>
      <w:r>
        <w:rPr>
          <w:rFonts w:hint="default" w:ascii="Times New Roman" w:hAnsi="Times New Roman" w:eastAsia="仿宋_GB2312" w:cs="Times New Roman"/>
          <w:b/>
          <w:bCs/>
          <w:color w:val="auto"/>
          <w:sz w:val="32"/>
          <w:szCs w:val="32"/>
        </w:rPr>
        <w:t>五</w:t>
      </w:r>
      <w:r>
        <w:rPr>
          <w:rFonts w:hint="default" w:ascii="Times New Roman" w:hAnsi="Times New Roman" w:eastAsia="仿宋_GB2312" w:cs="Times New Roman"/>
          <w:b/>
          <w:bCs/>
          <w:color w:val="auto"/>
          <w:sz w:val="32"/>
          <w:szCs w:val="32"/>
          <w:lang w:val="zh-CN"/>
        </w:rPr>
        <w:t>是</w:t>
      </w:r>
      <w:r>
        <w:rPr>
          <w:rFonts w:hint="default" w:ascii="Times New Roman" w:hAnsi="Times New Roman" w:eastAsia="仿宋_GB2312" w:cs="Times New Roman"/>
          <w:color w:val="auto"/>
          <w:sz w:val="32"/>
          <w:szCs w:val="32"/>
          <w:lang w:val="zh-CN"/>
        </w:rPr>
        <w:t>建立健全工伤保险、医疗保险、生育保险等其他农村社会保险配套体系，统筹考虑教育、住房等政府补贴政策，不同政策之间相互协调、配套，让惠农政策形成合力。</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441" w:name="_Toc29896"/>
      <w:bookmarkStart w:id="442" w:name="_Toc21630"/>
      <w:bookmarkStart w:id="443" w:name="_Toc14959"/>
      <w:bookmarkStart w:id="444" w:name="_Toc8795"/>
      <w:bookmarkStart w:id="445" w:name="_Toc13540"/>
      <w:bookmarkStart w:id="446" w:name="_Toc23022"/>
      <w:bookmarkStart w:id="447" w:name="_Toc23225"/>
      <w:bookmarkStart w:id="448" w:name="_Toc1397"/>
      <w:r>
        <w:rPr>
          <w:rFonts w:hint="default" w:ascii="Times New Roman" w:hAnsi="Times New Roman" w:eastAsia="仿宋_GB2312" w:cs="Times New Roman"/>
          <w:b/>
          <w:color w:val="auto"/>
          <w:sz w:val="32"/>
          <w:szCs w:val="32"/>
        </w:rPr>
        <w:t>11</w:t>
      </w:r>
      <w:r>
        <w:rPr>
          <w:rFonts w:hint="default" w:ascii="Times New Roman" w:hAnsi="Times New Roman" w:eastAsia="仿宋_GB2312" w:cs="Times New Roman"/>
          <w:b/>
          <w:color w:val="auto"/>
          <w:sz w:val="32"/>
          <w:szCs w:val="32"/>
          <w:lang w:val="zh-CN"/>
        </w:rPr>
        <w:t>.3改善乡村公共文化服务</w:t>
      </w:r>
      <w:bookmarkEnd w:id="441"/>
      <w:bookmarkEnd w:id="442"/>
      <w:bookmarkEnd w:id="443"/>
      <w:bookmarkEnd w:id="444"/>
      <w:bookmarkEnd w:id="445"/>
      <w:bookmarkEnd w:id="446"/>
      <w:bookmarkEnd w:id="447"/>
      <w:bookmarkEnd w:id="448"/>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加强农村文化建设不仅能满足广大农民群众多层次多方面精神文化需要，更是建设美丽乡村和构建和谐社会的重要内容。</w:t>
      </w:r>
      <w:r>
        <w:rPr>
          <w:rFonts w:hint="default" w:ascii="Times New Roman" w:hAnsi="Times New Roman" w:eastAsia="仿宋_GB2312" w:cs="Times New Roman"/>
          <w:b/>
          <w:bCs/>
          <w:color w:val="auto"/>
          <w:sz w:val="32"/>
          <w:szCs w:val="32"/>
          <w:lang w:val="zh-CN"/>
        </w:rPr>
        <w:t>一是</w:t>
      </w:r>
      <w:r>
        <w:rPr>
          <w:rFonts w:hint="default" w:ascii="Times New Roman" w:hAnsi="Times New Roman" w:eastAsia="仿宋_GB2312" w:cs="Times New Roman"/>
          <w:color w:val="auto"/>
          <w:sz w:val="32"/>
          <w:szCs w:val="32"/>
          <w:lang w:val="zh-CN"/>
        </w:rPr>
        <w:t>健全农村公共文化服务工作机制，扎实推进“文化下乡”行动。推动基本公共文化服务向乡村延伸，扩大乡村文化惠民工程覆盖面；鼓励城市文艺团体和文艺工作者定期送文化下乡。</w:t>
      </w:r>
      <w:r>
        <w:rPr>
          <w:rFonts w:hint="default" w:ascii="Times New Roman" w:hAnsi="Times New Roman" w:eastAsia="仿宋_GB2312" w:cs="Times New Roman"/>
          <w:b/>
          <w:bCs/>
          <w:color w:val="auto"/>
          <w:sz w:val="32"/>
          <w:szCs w:val="32"/>
          <w:lang w:val="zh-CN"/>
        </w:rPr>
        <w:t>二是</w:t>
      </w:r>
      <w:r>
        <w:rPr>
          <w:rFonts w:hint="default" w:ascii="Times New Roman" w:hAnsi="Times New Roman" w:eastAsia="仿宋_GB2312" w:cs="Times New Roman"/>
          <w:color w:val="auto"/>
          <w:sz w:val="32"/>
          <w:szCs w:val="32"/>
          <w:lang w:val="zh-CN"/>
        </w:rPr>
        <w:t>加大资金投入，加快改善农村公共文化设施。建立农村公共文化建设与服务专项资金，确保一定比例专门用于文化站室的设备购置更新、活动开展、人员补贴及人员培训等；鼓励企业、社会团体和个人对农村公共文化建设和服务进行资助或捐赠。加强农村文化遗址（历史文化名镇</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lang w:val="zh-CN"/>
        </w:rPr>
        <w:t>村）、传统村落、民族村寨、传统建筑、农业文化遗产、古树名木等）、非物质文化遗产的保护，促进乡村人文旅游；加强投入和扶持建设乡村图书室（馆）、文化活动中心、农家书屋。</w:t>
      </w:r>
      <w:r>
        <w:rPr>
          <w:rFonts w:hint="default" w:ascii="Times New Roman" w:hAnsi="Times New Roman" w:eastAsia="仿宋_GB2312" w:cs="Times New Roman"/>
          <w:b/>
          <w:bCs/>
          <w:color w:val="auto"/>
          <w:kern w:val="0"/>
          <w:sz w:val="32"/>
          <w:szCs w:val="32"/>
          <w:shd w:val="clear" w:color="auto" w:fill="FFFFFF"/>
          <w:lang w:val="zh-CN" w:eastAsia="zh-CN" w:bidi="ar-SA"/>
        </w:rPr>
        <w:t>三是</w:t>
      </w:r>
      <w:r>
        <w:rPr>
          <w:rFonts w:hint="default" w:ascii="Times New Roman" w:hAnsi="Times New Roman" w:eastAsia="仿宋_GB2312" w:cs="Times New Roman"/>
          <w:color w:val="auto"/>
          <w:sz w:val="32"/>
          <w:szCs w:val="32"/>
          <w:lang w:val="zh-CN"/>
        </w:rPr>
        <w:t>实施乡村文化人才培养工程。支持乡土文艺团</w:t>
      </w:r>
      <w:r>
        <w:rPr>
          <w:rFonts w:hint="default" w:ascii="Times New Roman" w:hAnsi="Times New Roman" w:eastAsia="仿宋_GB2312" w:cs="Times New Roman"/>
          <w:color w:val="auto"/>
          <w:sz w:val="32"/>
          <w:szCs w:val="32"/>
          <w:lang w:val="en-US" w:eastAsia="zh-CN"/>
        </w:rPr>
        <w:t>队</w:t>
      </w:r>
      <w:r>
        <w:rPr>
          <w:rFonts w:hint="default" w:ascii="Times New Roman" w:hAnsi="Times New Roman" w:eastAsia="仿宋_GB2312" w:cs="Times New Roman"/>
          <w:color w:val="auto"/>
          <w:sz w:val="32"/>
          <w:szCs w:val="32"/>
          <w:lang w:val="zh-CN"/>
        </w:rPr>
        <w:t>发展，扶持农村非遗传承人、民间艺人收徒传艺，发展优秀戏曲曲艺、民间文化。重视培养农村文化带头人，大力发展文化志愿者，建立农村文化骨干培训网络，加强对农村青年文化工作者的培训，提高思想水平和业务素质，吸引素质较好的年轻人到乡镇文化站工作。鼓励新乡贤加入农村公共文化服务建设。</w:t>
      </w:r>
      <w:r>
        <w:rPr>
          <w:rFonts w:hint="default" w:ascii="Times New Roman" w:hAnsi="Times New Roman" w:eastAsia="仿宋_GB2312" w:cs="Times New Roman"/>
          <w:b/>
          <w:bCs/>
          <w:color w:val="auto"/>
          <w:sz w:val="32"/>
          <w:szCs w:val="32"/>
          <w:lang w:val="zh-CN"/>
        </w:rPr>
        <w:t>四是</w:t>
      </w:r>
      <w:r>
        <w:rPr>
          <w:rFonts w:hint="default" w:ascii="Times New Roman" w:hAnsi="Times New Roman" w:eastAsia="仿宋_GB2312" w:cs="Times New Roman"/>
          <w:color w:val="auto"/>
          <w:sz w:val="32"/>
          <w:szCs w:val="32"/>
          <w:lang w:val="zh-CN"/>
        </w:rPr>
        <w:t>积极开展内容丰富的农村文化活动。充分利用农村现有的各类文化设施和资源，充分发挥贴近农民、适合农村的优势，积极开展读书征文、知识讲座、科技培训等形式多样的群众文化活动，不断丰富和拓展农村公共文化服务方面的功能和作用。鼓励更多的互联网企业参与提供公共文化服务产品。鼓励涉农出版物出版发行、广播电视节目展播和文艺作品创作，探索“公助民办、民企民办、合作联办”供给模式。整合县、镇演出资源，通过组织镇、村文艺调演、会演、巡演等方式，将地方特色演出和优秀节目送到农村基层，进一步丰富和活跃农民群众的文化生活。以“庆丰收、迎小康”为主题办好具有地方特色的中国农民丰收节。</w:t>
      </w:r>
      <w:r>
        <w:rPr>
          <w:rFonts w:hint="default" w:ascii="Times New Roman" w:hAnsi="Times New Roman" w:eastAsia="仿宋_GB2312" w:cs="Times New Roman"/>
          <w:b/>
          <w:bCs/>
          <w:color w:val="auto"/>
          <w:sz w:val="32"/>
          <w:szCs w:val="32"/>
          <w:lang w:val="zh-CN"/>
        </w:rPr>
        <w:t>五是</w:t>
      </w:r>
      <w:r>
        <w:rPr>
          <w:rFonts w:hint="default" w:ascii="Times New Roman" w:hAnsi="Times New Roman" w:eastAsia="仿宋_GB2312" w:cs="Times New Roman"/>
          <w:color w:val="auto"/>
          <w:sz w:val="32"/>
          <w:szCs w:val="32"/>
          <w:lang w:val="zh-CN"/>
        </w:rPr>
        <w:t>推进农村社区健身中心和行政村健身场所建设。</w:t>
      </w:r>
      <w:r>
        <w:rPr>
          <w:rFonts w:hint="default" w:ascii="Times New Roman" w:hAnsi="Times New Roman" w:eastAsia="仿宋_GB2312" w:cs="Times New Roman"/>
          <w:color w:val="auto"/>
          <w:sz w:val="32"/>
          <w:szCs w:val="32"/>
        </w:rPr>
        <w:t>到2025年，创建省级和市级乡村文化振兴样板镇1个和3个，创建市级和县级乡村文化振兴样板村（社）5个和10个。</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449" w:name="_Toc5422"/>
      <w:bookmarkStart w:id="450" w:name="_Toc25034"/>
      <w:bookmarkStart w:id="451" w:name="_Toc7715"/>
      <w:bookmarkStart w:id="452" w:name="_Toc18566"/>
      <w:bookmarkStart w:id="453" w:name="_Toc2548"/>
      <w:bookmarkStart w:id="454" w:name="_Toc29248"/>
      <w:bookmarkStart w:id="455" w:name="_Toc20391"/>
      <w:bookmarkStart w:id="456" w:name="_Toc7084"/>
      <w:r>
        <w:rPr>
          <w:rFonts w:hint="default" w:ascii="Times New Roman" w:hAnsi="Times New Roman" w:eastAsia="仿宋_GB2312" w:cs="Times New Roman"/>
          <w:b/>
          <w:color w:val="auto"/>
          <w:sz w:val="32"/>
          <w:szCs w:val="32"/>
        </w:rPr>
        <w:t>11</w:t>
      </w:r>
      <w:r>
        <w:rPr>
          <w:rFonts w:hint="default" w:ascii="Times New Roman" w:hAnsi="Times New Roman" w:eastAsia="仿宋_GB2312" w:cs="Times New Roman"/>
          <w:b/>
          <w:color w:val="auto"/>
          <w:sz w:val="32"/>
          <w:szCs w:val="32"/>
          <w:lang w:val="zh-CN"/>
        </w:rPr>
        <w:t>.4提升乡村行政管理服务能力</w:t>
      </w:r>
      <w:bookmarkEnd w:id="449"/>
      <w:bookmarkEnd w:id="450"/>
      <w:bookmarkEnd w:id="451"/>
      <w:bookmarkEnd w:id="452"/>
      <w:bookmarkEnd w:id="453"/>
      <w:bookmarkEnd w:id="454"/>
      <w:bookmarkEnd w:id="455"/>
      <w:bookmarkEnd w:id="456"/>
    </w:p>
    <w:p>
      <w:pPr>
        <w:pStyle w:val="31"/>
        <w:spacing w:line="560" w:lineRule="exact"/>
        <w:ind w:firstLine="642"/>
        <w:jc w:val="both"/>
        <w:rPr>
          <w:rFonts w:hint="default" w:ascii="Times New Roman" w:hAnsi="Times New Roman" w:eastAsia="仿宋_GB2312" w:cs="Times New Roman"/>
          <w:color w:val="auto"/>
          <w:sz w:val="32"/>
          <w:szCs w:val="32"/>
          <w:shd w:val="clear" w:color="auto" w:fill="FFFFFF"/>
          <w:lang w:val="zh-CN"/>
        </w:rPr>
      </w:pPr>
      <w:r>
        <w:rPr>
          <w:rFonts w:hint="default" w:ascii="Times New Roman" w:hAnsi="Times New Roman" w:eastAsia="仿宋_GB2312" w:cs="Times New Roman"/>
          <w:color w:val="auto"/>
          <w:sz w:val="32"/>
          <w:szCs w:val="32"/>
          <w:shd w:val="clear" w:color="auto" w:fill="FFFFFF"/>
          <w:lang w:val="zh-CN"/>
        </w:rPr>
        <w:t>农村社会管理和行政服务也是农村公共服务的重要组成部分。</w:t>
      </w:r>
      <w:r>
        <w:rPr>
          <w:rFonts w:hint="default" w:ascii="Times New Roman" w:hAnsi="Times New Roman" w:eastAsia="仿宋_GB2312" w:cs="Times New Roman"/>
          <w:b/>
          <w:bCs/>
          <w:color w:val="auto"/>
          <w:sz w:val="32"/>
          <w:szCs w:val="32"/>
          <w:shd w:val="clear" w:color="auto" w:fill="FFFFFF"/>
          <w:lang w:val="zh-CN"/>
        </w:rPr>
        <w:t>一是</w:t>
      </w:r>
      <w:r>
        <w:rPr>
          <w:rFonts w:hint="default" w:ascii="Times New Roman" w:hAnsi="Times New Roman" w:eastAsia="仿宋_GB2312" w:cs="Times New Roman"/>
          <w:color w:val="auto"/>
          <w:sz w:val="32"/>
          <w:szCs w:val="32"/>
          <w:shd w:val="clear" w:color="auto" w:fill="FFFFFF"/>
          <w:lang w:val="zh-CN"/>
        </w:rPr>
        <w:t>加强乡村干部队伍建设。配强乡镇党委书记是关键，选好乡镇长，明确职责分工、形成合力，书记统揽全局、主抓党务和社会工作，乡镇长主抓经济建设和发展工作。鼓励各类专业人才和大学生到乡村工作，并在职称评定、职务晋升、薪酬待遇等方面给予倾斜。建立和完善重实绩、重基层经历的干部选拔任用机制，优先招考录用和提拔使用乡村优秀干部；建立和完善干部在城乡之间、地区之间的交流制度，建立村第一书记常设制度。建立乡村干部定期培训的长效机制，不断提升为广大农村群众提供优质公共服务的本领。不断优化村干部结构，逐步提高村组干部待遇，尽快实现村干部专职化。</w:t>
      </w:r>
      <w:r>
        <w:rPr>
          <w:rFonts w:hint="default" w:ascii="Times New Roman" w:hAnsi="Times New Roman" w:eastAsia="仿宋_GB2312" w:cs="Times New Roman"/>
          <w:b/>
          <w:bCs/>
          <w:color w:val="auto"/>
          <w:sz w:val="32"/>
          <w:szCs w:val="32"/>
          <w:shd w:val="clear" w:color="auto" w:fill="FFFFFF"/>
          <w:lang w:val="zh-CN"/>
        </w:rPr>
        <w:t>二是</w:t>
      </w:r>
      <w:r>
        <w:rPr>
          <w:rFonts w:hint="default" w:ascii="Times New Roman" w:hAnsi="Times New Roman" w:eastAsia="仿宋_GB2312" w:cs="Times New Roman"/>
          <w:color w:val="auto"/>
          <w:sz w:val="32"/>
          <w:szCs w:val="32"/>
          <w:shd w:val="clear" w:color="auto" w:fill="FFFFFF"/>
          <w:lang w:val="zh-CN"/>
        </w:rPr>
        <w:t>优化公共服务平台建设。继续推进乡镇机构改革，县级延伸到乡镇的部门管理权全部移交给乡镇，县级部门仅作为业务指导；切实转变政府职能，把乡镇政府从管理型向“少、小、优”的服务型</w:t>
      </w:r>
      <w:r>
        <w:rPr>
          <w:rFonts w:hint="default" w:ascii="Times New Roman" w:hAnsi="Times New Roman" w:eastAsia="仿宋_GB2312" w:cs="Times New Roman"/>
          <w:color w:val="auto"/>
          <w:kern w:val="2"/>
          <w:sz w:val="32"/>
          <w:szCs w:val="32"/>
          <w:lang w:val="zh-CN" w:eastAsia="zh-CN" w:bidi="ar-SA"/>
        </w:rPr>
        <w:t>转变，牢固树</w:t>
      </w:r>
      <w:r>
        <w:rPr>
          <w:rFonts w:hint="default" w:ascii="Times New Roman" w:hAnsi="Times New Roman" w:eastAsia="仿宋_GB2312" w:cs="Times New Roman"/>
          <w:color w:val="auto"/>
          <w:kern w:val="2"/>
          <w:sz w:val="32"/>
          <w:szCs w:val="32"/>
          <w:lang w:val="en-US" w:eastAsia="zh-CN" w:bidi="ar-SA"/>
        </w:rPr>
        <w:t>立</w:t>
      </w:r>
      <w:r>
        <w:rPr>
          <w:rFonts w:hint="default" w:ascii="Times New Roman" w:hAnsi="Times New Roman" w:eastAsia="仿宋_GB2312" w:cs="Times New Roman"/>
          <w:color w:val="auto"/>
          <w:kern w:val="2"/>
          <w:sz w:val="32"/>
          <w:szCs w:val="32"/>
          <w:lang w:val="zh-CN" w:eastAsia="zh-CN" w:bidi="ar-SA"/>
        </w:rPr>
        <w:t>以人为本、以服务为本的管理理念。推进“放管服”改革和“最多跑一次”改革向</w:t>
      </w:r>
      <w:r>
        <w:rPr>
          <w:rFonts w:hint="default" w:ascii="Times New Roman" w:hAnsi="Times New Roman" w:eastAsia="仿宋_GB2312" w:cs="Times New Roman"/>
          <w:color w:val="auto"/>
          <w:sz w:val="32"/>
          <w:szCs w:val="32"/>
          <w:shd w:val="clear" w:color="auto" w:fill="FFFFFF"/>
          <w:lang w:val="zh-CN"/>
        </w:rPr>
        <w:t>基层延伸，整合乡镇和县级部门派驻乡镇机构承担的职能相近、职责交叉工作事项，建立集综合治理、市场监管、综合执法、公共服务等于一体的统一平台，推动乡镇便民服务中心标准化建设；推动执法审批重心下沉，下放确认乡镇政府公共服务事项，全部乡镇基本实现便民服务中心外无审批的目标。构建县乡联动、功能集成、反应灵敏、扁平高效的综合指挥体系，着力增强乡镇统筹协调能力，发挥好乡镇服务、带动乡村作用。大力推进农村社区综合服务设施建设，引导管理服务向农村基层延伸，为农民提供“一门式办理”“一站式服务”，构建线上线下相结合的乡村便民服务体系。推动全国政务服务一体化平台向基层延伸，力争到</w:t>
      </w:r>
      <w:r>
        <w:rPr>
          <w:rFonts w:hint="default" w:ascii="Times New Roman" w:hAnsi="Times New Roman" w:eastAsia="仿宋_GB2312" w:cs="Times New Roman"/>
          <w:color w:val="auto"/>
          <w:sz w:val="32"/>
          <w:szCs w:val="32"/>
          <w:shd w:val="clear" w:color="auto" w:fill="FFFFFF"/>
        </w:rPr>
        <w:t>2025年实现</w:t>
      </w:r>
      <w:r>
        <w:rPr>
          <w:rFonts w:hint="default" w:ascii="Times New Roman" w:hAnsi="Times New Roman" w:eastAsia="仿宋_GB2312" w:cs="Times New Roman"/>
          <w:color w:val="auto"/>
          <w:sz w:val="32"/>
          <w:szCs w:val="32"/>
          <w:shd w:val="clear" w:color="auto" w:fill="FFFFFF"/>
          <w:lang w:val="zh-CN"/>
        </w:rPr>
        <w:t>省、市、县、乡、村服务五级覆盖，基本形成“横到边、纵到底”的“覆盖城乡、上下联动、层级清晰”五级网上服务体系；逐步探索实现村级办事数字化，县级后台分类审批、镇村统一出件，村民办事不出村；实现“一个平台优服务”目标，建成便民服务体系，健全便民服务标准，创建一批省级、市级“示范便民服务中心”“示范便民服务室”。</w:t>
      </w:r>
      <w:r>
        <w:rPr>
          <w:rFonts w:hint="default" w:ascii="Times New Roman" w:hAnsi="Times New Roman" w:eastAsia="仿宋_GB2312" w:cs="Times New Roman"/>
          <w:b/>
          <w:bCs/>
          <w:color w:val="auto"/>
          <w:sz w:val="32"/>
          <w:szCs w:val="32"/>
          <w:shd w:val="clear" w:color="auto" w:fill="FFFFFF"/>
          <w:lang w:val="zh-CN"/>
        </w:rPr>
        <w:t>三是</w:t>
      </w:r>
      <w:r>
        <w:rPr>
          <w:rFonts w:hint="default" w:ascii="Times New Roman" w:hAnsi="Times New Roman" w:eastAsia="仿宋_GB2312" w:cs="Times New Roman"/>
          <w:color w:val="auto"/>
          <w:sz w:val="32"/>
          <w:szCs w:val="32"/>
          <w:shd w:val="clear" w:color="auto" w:fill="FFFFFF"/>
          <w:lang w:val="zh-CN"/>
        </w:rPr>
        <w:t>构建多元化公共服务保障机制。充分发挥乡镇服务农村和农民的作用，加强乡镇政府公共服务职能，加大乡镇基本公共服务投入，使乡镇成</w:t>
      </w:r>
      <w:r>
        <w:rPr>
          <w:rFonts w:hint="default" w:ascii="Times New Roman" w:hAnsi="Times New Roman" w:eastAsia="仿宋_GB2312" w:cs="Times New Roman"/>
          <w:color w:val="auto"/>
          <w:sz w:val="32"/>
          <w:szCs w:val="32"/>
          <w:highlight w:val="none"/>
          <w:shd w:val="clear" w:color="auto" w:fill="FFFFFF"/>
          <w:lang w:val="zh-CN"/>
        </w:rPr>
        <w:t>为为</w:t>
      </w:r>
      <w:r>
        <w:rPr>
          <w:rFonts w:hint="default" w:ascii="Times New Roman" w:hAnsi="Times New Roman" w:eastAsia="仿宋_GB2312" w:cs="Times New Roman"/>
          <w:color w:val="auto"/>
          <w:sz w:val="32"/>
          <w:szCs w:val="32"/>
          <w:shd w:val="clear" w:color="auto" w:fill="FFFFFF"/>
          <w:lang w:val="zh-CN"/>
        </w:rPr>
        <w:t>农服务的龙头。将农村民生和社会治理领域中属于政府职责范围且适合通过市场化方式提供的服务事项，纳入政府购买服务指导性目录；政府财政支持是农村公共服务实现稳定供给的关键，也是缩小城乡公共服务差距的重要举措，要继续争取县以上财政资金加大乡村公共服务投入，可探索设立“村级公共服务和社会管理专项资金”。可探索建立“村集体经济组织</w:t>
      </w:r>
      <w:r>
        <w:rPr>
          <w:rFonts w:hint="default" w:ascii="Times New Roman" w:hAnsi="Times New Roman" w:eastAsia="仿宋_GB2312" w:cs="Times New Roman"/>
          <w:color w:val="auto"/>
          <w:sz w:val="32"/>
          <w:szCs w:val="32"/>
          <w:shd w:val="clear" w:color="auto" w:fill="FFFFFF"/>
        </w:rPr>
        <w:t>+私营企业+民间组织（乡贤慈善会、家乡建设委员会等）+农户</w:t>
      </w:r>
      <w:r>
        <w:rPr>
          <w:rFonts w:hint="default" w:ascii="Times New Roman" w:hAnsi="Times New Roman" w:eastAsia="仿宋_GB2312" w:cs="Times New Roman"/>
          <w:color w:val="auto"/>
          <w:sz w:val="32"/>
          <w:szCs w:val="32"/>
          <w:shd w:val="clear" w:color="auto" w:fill="FFFFFF"/>
          <w:lang w:val="zh-CN"/>
        </w:rPr>
        <w:t>”共同投入，逐步提升村（社）公益设施和养老保障等公共服务能力。推动各级投放的公共服务资源以乡镇、村党组织为主渠道落实。</w:t>
      </w:r>
      <w:r>
        <w:rPr>
          <w:rFonts w:hint="default" w:ascii="Times New Roman" w:hAnsi="Times New Roman" w:eastAsia="仿宋_GB2312" w:cs="Times New Roman"/>
          <w:b/>
          <w:bCs/>
          <w:color w:val="auto"/>
          <w:sz w:val="32"/>
          <w:szCs w:val="32"/>
          <w:shd w:val="clear" w:color="auto" w:fill="FFFFFF"/>
          <w:lang w:val="zh-CN"/>
        </w:rPr>
        <w:t>四是</w:t>
      </w:r>
      <w:r>
        <w:rPr>
          <w:rFonts w:hint="default" w:ascii="Times New Roman" w:hAnsi="Times New Roman" w:eastAsia="仿宋_GB2312" w:cs="Times New Roman"/>
          <w:color w:val="auto"/>
          <w:sz w:val="32"/>
          <w:szCs w:val="32"/>
          <w:shd w:val="clear" w:color="auto" w:fill="FFFFFF"/>
          <w:lang w:val="zh-CN"/>
        </w:rPr>
        <w:t>充分吸纳农民参与乡村事务管理。农村公共服务供给需要农村居民的积极参与。各镇（街）、村（社）可根据本地实际，建立村组级党群理事会，及时调查了解群众所需所急，充分调动农民积极性，商议确定村、组内的经济社会重大事务。</w:t>
      </w:r>
    </w:p>
    <w:p>
      <w:pPr>
        <w:rPr>
          <w:rFonts w:hint="default" w:ascii="Times New Roman" w:hAnsi="Times New Roman" w:eastAsia="黑体" w:cs="Times New Roman"/>
          <w:color w:val="auto"/>
          <w:kern w:val="0"/>
          <w:sz w:val="28"/>
          <w:szCs w:val="28"/>
          <w:lang w:val="mn-Mong-CN" w:bidi="mn-Mong-CN"/>
        </w:rPr>
      </w:pPr>
      <w:bookmarkStart w:id="457" w:name="_Toc11550"/>
      <w:bookmarkStart w:id="458" w:name="_Toc5482"/>
      <w:bookmarkStart w:id="459" w:name="_Toc2122"/>
      <w:bookmarkStart w:id="460" w:name="_Toc25238"/>
      <w:bookmarkStart w:id="461" w:name="_Toc6099"/>
      <w:bookmarkStart w:id="462" w:name="_Toc5071"/>
      <w:bookmarkStart w:id="463" w:name="_Toc11868"/>
      <w:r>
        <w:rPr>
          <w:rFonts w:hint="default" w:ascii="Times New Roman" w:hAnsi="Times New Roman" w:eastAsia="黑体" w:cs="Times New Roman"/>
          <w:color w:val="auto"/>
          <w:kern w:val="0"/>
          <w:sz w:val="28"/>
          <w:szCs w:val="28"/>
          <w:lang w:val="mn-Mong-CN" w:bidi="mn-Mong-CN"/>
        </w:rPr>
        <w:br w:type="page"/>
      </w:r>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mn-Mong-CN" w:bidi="mn-Mong-CN"/>
        </w:rPr>
      </w:pPr>
      <w:bookmarkStart w:id="464" w:name="_Toc8934"/>
      <w:r>
        <w:rPr>
          <w:rFonts w:hint="default" w:ascii="Times New Roman" w:hAnsi="Times New Roman" w:eastAsia="黑体" w:cs="Times New Roman"/>
          <w:color w:val="auto"/>
          <w:kern w:val="0"/>
          <w:sz w:val="32"/>
          <w:szCs w:val="32"/>
          <w:lang w:val="mn-Mong-CN" w:bidi="mn-Mong-CN"/>
        </w:rPr>
        <w:t>第十二章  综合整治农村人居环境</w:t>
      </w:r>
      <w:bookmarkEnd w:id="457"/>
      <w:bookmarkEnd w:id="458"/>
      <w:bookmarkEnd w:id="459"/>
      <w:bookmarkEnd w:id="460"/>
      <w:bookmarkEnd w:id="461"/>
      <w:bookmarkEnd w:id="462"/>
      <w:bookmarkEnd w:id="463"/>
      <w:bookmarkEnd w:id="464"/>
    </w:p>
    <w:p>
      <w:pPr>
        <w:spacing w:line="560" w:lineRule="exact"/>
        <w:ind w:firstLine="640" w:firstLineChars="200"/>
        <w:rPr>
          <w:rFonts w:hint="default" w:ascii="Times New Roman" w:hAnsi="Times New Roman" w:eastAsia="仿宋_GB2312" w:cs="Times New Roman"/>
          <w:color w:val="auto"/>
          <w:sz w:val="32"/>
          <w:szCs w:val="32"/>
        </w:rPr>
      </w:pPr>
      <w:bookmarkStart w:id="465" w:name="_Toc481566735"/>
      <w:r>
        <w:rPr>
          <w:rFonts w:hint="default" w:ascii="Times New Roman" w:hAnsi="Times New Roman" w:eastAsia="仿宋_GB2312" w:cs="Times New Roman"/>
          <w:color w:val="auto"/>
          <w:sz w:val="32"/>
          <w:szCs w:val="32"/>
        </w:rPr>
        <w:t>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梯次推进、整村示范、全域清洁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的原则，结合乡村振兴先进示范创建，以水源保护地、景区沿线周边村、城镇村、优势特色产业带和现代农业园区覆盖村为重点优先布局，集中连片统筹推进农村生活垃圾治理、生活污水治理、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厕所革命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、畜禽粪污资源化利用、村容村貌提升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专项行动。</w:t>
      </w:r>
    </w:p>
    <w:bookmarkEnd w:id="465"/>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466" w:name="_Toc29182"/>
      <w:bookmarkStart w:id="467" w:name="_Toc128"/>
      <w:bookmarkStart w:id="468" w:name="_Toc481566736"/>
      <w:bookmarkStart w:id="469" w:name="_Toc19930"/>
      <w:bookmarkStart w:id="470" w:name="_Toc20575"/>
      <w:bookmarkStart w:id="471" w:name="_Toc28612"/>
      <w:bookmarkStart w:id="472" w:name="_Toc5501"/>
      <w:bookmarkStart w:id="473" w:name="_Toc30168"/>
      <w:bookmarkStart w:id="474" w:name="_Toc26123"/>
      <w:r>
        <w:rPr>
          <w:rFonts w:hint="default" w:ascii="Times New Roman" w:hAnsi="Times New Roman" w:eastAsia="仿宋_GB2312" w:cs="Times New Roman"/>
          <w:b/>
          <w:color w:val="auto"/>
          <w:sz w:val="32"/>
          <w:szCs w:val="32"/>
        </w:rPr>
        <w:t>12</w:t>
      </w:r>
      <w:r>
        <w:rPr>
          <w:rFonts w:hint="default" w:ascii="Times New Roman" w:hAnsi="Times New Roman" w:eastAsia="仿宋_GB2312" w:cs="Times New Roman"/>
          <w:b/>
          <w:color w:val="auto"/>
          <w:sz w:val="32"/>
          <w:szCs w:val="32"/>
          <w:lang w:val="zh-CN"/>
        </w:rPr>
        <w:t>.1推进农村生活垃圾治理</w:t>
      </w:r>
      <w:bookmarkEnd w:id="466"/>
      <w:bookmarkEnd w:id="467"/>
      <w:bookmarkEnd w:id="468"/>
      <w:bookmarkEnd w:id="469"/>
      <w:bookmarkEnd w:id="470"/>
      <w:bookmarkEnd w:id="471"/>
      <w:bookmarkEnd w:id="472"/>
      <w:bookmarkEnd w:id="473"/>
      <w:bookmarkEnd w:id="474"/>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实施新一轮垃圾处理设施建设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三年推进方案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进一步完善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户分类、村收集、乡镇转运、县处理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的农村生活垃圾收运处置体系。按照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适当集中、连片治理、区域共享</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以镇街规划建设垃圾压缩中转站，以片区规划建设采用热解气化等新技术的垃圾焚烧厂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配备能够满足转运要求的运输车辆，实现农户家家有收集容器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村村有收集箱（桶）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镇街或有垃圾压缩中转站，实现垃圾应收尽收，应处尽处，逐步实现行政村垃圾收运处理不落地、零填埋、全覆盖。</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在隆盛镇建设300t/d处理能力的高温热解汽化处理厂和90t/d餐厨垃圾处理厂，在玉峰镇、河边镇分别建设120t/d处理能力的高温热解汽化处理厂；</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在乡镇区划调整改革后的10个镇街，按照最大服务半径，规划建设15座日转运能力10吨生活垃圾中转站，配套转运车辆7辆；</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开展农村生活垃圾分类试点，按照可回收物、有害垃圾和其他垃圾进行分类，有条件的地方，果皮、枝叶、厨余等可降解有机垃圾应就近堆肥，或利用农村沼气设施与畜禽粪便以及秸秆等农业废弃物合并处理，发展生物质能源；四是鼓励通过政府购买服务、落实专业服务公司等方式，对可回收物、有害垃圾进行定价回收、集中收运。到2025年，全县推广生活垃圾分类处理措施的行政村达到50%以上，</w:t>
      </w:r>
      <w:bookmarkStart w:id="475" w:name="_Toc481566737"/>
      <w:r>
        <w:rPr>
          <w:rFonts w:hint="default" w:ascii="Times New Roman" w:hAnsi="Times New Roman" w:eastAsia="仿宋_GB2312" w:cs="Times New Roman"/>
          <w:color w:val="auto"/>
          <w:sz w:val="32"/>
          <w:szCs w:val="32"/>
        </w:rPr>
        <w:t>100%的行政村生活垃圾得到有效治理。</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476" w:name="_Toc27592"/>
      <w:bookmarkStart w:id="477" w:name="_Toc7806"/>
      <w:bookmarkStart w:id="478" w:name="_Toc5494"/>
      <w:bookmarkStart w:id="479" w:name="_Toc26469"/>
      <w:bookmarkStart w:id="480" w:name="_Toc24522"/>
      <w:bookmarkStart w:id="481" w:name="_Toc18120"/>
      <w:bookmarkStart w:id="482" w:name="_Toc9169"/>
      <w:bookmarkStart w:id="483" w:name="_Toc24319"/>
      <w:r>
        <w:rPr>
          <w:rFonts w:hint="default" w:ascii="Times New Roman" w:hAnsi="Times New Roman" w:eastAsia="仿宋_GB2312" w:cs="Times New Roman"/>
          <w:b/>
          <w:color w:val="auto"/>
          <w:sz w:val="32"/>
          <w:szCs w:val="32"/>
        </w:rPr>
        <w:t>12</w:t>
      </w:r>
      <w:r>
        <w:rPr>
          <w:rFonts w:hint="default" w:ascii="Times New Roman" w:hAnsi="Times New Roman" w:eastAsia="仿宋_GB2312" w:cs="Times New Roman"/>
          <w:b/>
          <w:color w:val="auto"/>
          <w:sz w:val="32"/>
          <w:szCs w:val="32"/>
          <w:lang w:val="zh-CN"/>
        </w:rPr>
        <w:t>.2推进农村生活污水治理</w:t>
      </w:r>
      <w:bookmarkEnd w:id="475"/>
      <w:bookmarkEnd w:id="476"/>
      <w:bookmarkEnd w:id="477"/>
      <w:bookmarkEnd w:id="478"/>
      <w:bookmarkEnd w:id="479"/>
      <w:bookmarkEnd w:id="480"/>
      <w:bookmarkEnd w:id="481"/>
      <w:bookmarkEnd w:id="482"/>
      <w:bookmarkEnd w:id="483"/>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因地制宜、尊重习惯，应治尽治、利用为先、先易后难、先点后面，梯次推进、效果长远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的基本思路，选择符合大英特点的农村生活污水治理模式。</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结合《大英县农村生活污水治理专项规划》，优先实施聚居度高、环境质量要求高的区域污水治理，统筹推进乡镇人民政府所在地集镇的污水治理，同步实施饮用水水源地、主要支流、重要景区及乡村旅游等重点区域的农村生活污水治理。</w:t>
      </w:r>
      <w:r>
        <w:rPr>
          <w:rFonts w:hint="default" w:ascii="Times New Roman" w:hAnsi="Times New Roman" w:eastAsia="仿宋_GB2312" w:cs="Times New Roman"/>
          <w:b/>
          <w:bCs/>
          <w:color w:val="auto"/>
          <w:kern w:val="0"/>
          <w:sz w:val="32"/>
          <w:szCs w:val="32"/>
          <w:shd w:val="clear" w:color="auto" w:fill="FFFFFF"/>
          <w:lang w:val="en-US" w:eastAsia="zh-CN" w:bidi="ar-SA"/>
        </w:rPr>
        <w:t>二是</w:t>
      </w:r>
      <w:r>
        <w:rPr>
          <w:rFonts w:hint="default" w:ascii="Times New Roman" w:hAnsi="Times New Roman" w:eastAsia="仿宋_GB2312" w:cs="Times New Roman"/>
          <w:color w:val="auto"/>
          <w:sz w:val="32"/>
          <w:szCs w:val="32"/>
        </w:rPr>
        <w:t>按照四川省《农村生活污水处理设施水污染物排放标准》（DB51/ 2626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2019）要求，合理选用生活污水处理技术，实现达标排放。对城镇周边的行政村，生活污水就近接入城镇生活污水管网；离城镇较远、人口密集的聚居点可建设微动力或无动力集中处理设施，实现达标排放；在人口较少且居住分散的行政村，采用三格式化粪池、户用沼气池等无动力技术分散处理，就地还田</w:t>
      </w:r>
      <w:r>
        <w:rPr>
          <w:rFonts w:hint="default" w:ascii="Times New Roman" w:hAnsi="Times New Roman" w:eastAsia="仿宋_GB2312" w:cs="Times New Roman"/>
          <w:color w:val="auto"/>
          <w:sz w:val="32"/>
          <w:szCs w:val="32"/>
          <w:lang w:val="en-US" w:eastAsia="zh-CN"/>
        </w:rPr>
        <w:t>用于</w:t>
      </w:r>
      <w:r>
        <w:rPr>
          <w:rFonts w:hint="default" w:ascii="Times New Roman" w:hAnsi="Times New Roman" w:eastAsia="仿宋_GB2312" w:cs="Times New Roman"/>
          <w:color w:val="auto"/>
          <w:sz w:val="32"/>
          <w:szCs w:val="32"/>
        </w:rPr>
        <w:t>林灌农灌，实现资源化利用。</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推进农村生活污水资源化利用与农田灌溉、渔业用水、生态保护修复、环境景观建设等有机衔接，按照尾水利用要满足国家和地方相应的水质要求，探索将高标准农田建设、农田水利建设与农村生活污水治理相结合，鼓励有条件的农村建设小微生态湿地和植物隔离带、栽植水生植物，对农田沟渠、塘堰等灌排系统进行生态化改造，鼓励农户利用房前屋后菜园、果园、花园等实现就地消纳利用。到2025年，农村生活污水得到全面有效治理，全县农村生活污水得到有效治理的行政村</w:t>
      </w:r>
      <w:r>
        <w:rPr>
          <w:rFonts w:hint="default" w:ascii="Times New Roman" w:hAnsi="Times New Roman" w:eastAsia="仿宋_GB2312" w:cs="Times New Roman"/>
          <w:color w:val="auto"/>
          <w:sz w:val="32"/>
          <w:szCs w:val="32"/>
          <w:lang w:eastAsia="zh-CN"/>
        </w:rPr>
        <w:t>比例达到8</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484" w:name="_Toc12253"/>
      <w:bookmarkStart w:id="485" w:name="_Toc5170"/>
      <w:bookmarkStart w:id="486" w:name="_Toc18686"/>
      <w:bookmarkStart w:id="487" w:name="_Toc2933"/>
      <w:bookmarkStart w:id="488" w:name="_Toc7478"/>
      <w:bookmarkStart w:id="489" w:name="_Toc21586"/>
      <w:bookmarkStart w:id="490" w:name="_Toc28269"/>
      <w:bookmarkStart w:id="491" w:name="_Toc19798"/>
      <w:r>
        <w:rPr>
          <w:rFonts w:hint="default" w:ascii="Times New Roman" w:hAnsi="Times New Roman" w:eastAsia="仿宋_GB2312" w:cs="Times New Roman"/>
          <w:b/>
          <w:color w:val="auto"/>
          <w:sz w:val="32"/>
          <w:szCs w:val="32"/>
        </w:rPr>
        <w:t>12</w:t>
      </w:r>
      <w:r>
        <w:rPr>
          <w:rFonts w:hint="default" w:ascii="Times New Roman" w:hAnsi="Times New Roman" w:eastAsia="仿宋_GB2312" w:cs="Times New Roman"/>
          <w:b/>
          <w:color w:val="auto"/>
          <w:sz w:val="32"/>
          <w:szCs w:val="32"/>
          <w:lang w:val="zh-CN"/>
        </w:rPr>
        <w:t>.3推进农村“厕所革命</w:t>
      </w:r>
      <w:bookmarkEnd w:id="484"/>
      <w:bookmarkEnd w:id="485"/>
      <w:bookmarkEnd w:id="486"/>
      <w:bookmarkEnd w:id="487"/>
      <w:bookmarkEnd w:id="488"/>
      <w:bookmarkEnd w:id="489"/>
      <w:bookmarkEnd w:id="490"/>
      <w:r>
        <w:rPr>
          <w:rFonts w:hint="default" w:ascii="Times New Roman" w:hAnsi="Times New Roman" w:eastAsia="仿宋_GB2312" w:cs="Times New Roman"/>
          <w:b/>
          <w:color w:val="auto"/>
          <w:sz w:val="32"/>
          <w:szCs w:val="32"/>
          <w:lang w:val="zh-CN"/>
        </w:rPr>
        <w:t>”</w:t>
      </w:r>
      <w:bookmarkEnd w:id="491"/>
    </w:p>
    <w:p>
      <w:pPr>
        <w:spacing w:line="560" w:lineRule="exact"/>
        <w:ind w:firstLine="640" w:firstLineChars="200"/>
        <w:rPr>
          <w:rFonts w:hint="default" w:ascii="Times New Roman" w:hAnsi="Times New Roman" w:eastAsia="仿宋_GB2312" w:cs="Times New Roman"/>
          <w:color w:val="000000"/>
          <w:sz w:val="32"/>
          <w:szCs w:val="32"/>
          <w:lang w:val="zh-CN"/>
        </w:rPr>
      </w:pPr>
      <w:bookmarkStart w:id="492" w:name="_Toc5553"/>
      <w:bookmarkStart w:id="493" w:name="_Toc29133"/>
      <w:bookmarkStart w:id="494" w:name="_Toc30751"/>
      <w:r>
        <w:rPr>
          <w:rFonts w:hint="default" w:ascii="Times New Roman" w:hAnsi="Times New Roman" w:eastAsia="仿宋_GB2312" w:cs="Times New Roman"/>
          <w:color w:val="auto"/>
          <w:sz w:val="32"/>
          <w:szCs w:val="32"/>
          <w:lang w:val="zh-CN"/>
        </w:rPr>
        <w:t>坚持政府引导、农户主体、社会参与的原则，持续加大政府投入，根据农户居住形态，充分尊重群众意愿，因地制宜，选择适宜且农户接受的改厕技术模式，按照“统一规划、统一标准、统一验收”要求，</w:t>
      </w:r>
      <w:r>
        <w:rPr>
          <w:rFonts w:hint="default" w:ascii="Times New Roman" w:hAnsi="Times New Roman" w:eastAsia="仿宋_GB2312" w:cs="Times New Roman"/>
          <w:color w:val="auto"/>
          <w:sz w:val="32"/>
          <w:szCs w:val="32"/>
        </w:rPr>
        <w:t>整村连片</w:t>
      </w:r>
      <w:r>
        <w:rPr>
          <w:rFonts w:hint="default" w:ascii="Times New Roman" w:hAnsi="Times New Roman" w:eastAsia="仿宋_GB2312" w:cs="Times New Roman"/>
          <w:color w:val="auto"/>
          <w:sz w:val="32"/>
          <w:szCs w:val="32"/>
          <w:lang w:val="zh-CN"/>
        </w:rPr>
        <w:t>推进农村户用</w:t>
      </w:r>
      <w:r>
        <w:rPr>
          <w:rFonts w:hint="default" w:ascii="Times New Roman" w:hAnsi="Times New Roman" w:eastAsia="仿宋_GB2312" w:cs="Times New Roman"/>
          <w:color w:val="auto"/>
          <w:sz w:val="32"/>
          <w:szCs w:val="32"/>
        </w:rPr>
        <w:t>卫生</w:t>
      </w:r>
      <w:r>
        <w:rPr>
          <w:rFonts w:hint="default" w:ascii="Times New Roman" w:hAnsi="Times New Roman" w:eastAsia="仿宋_GB2312" w:cs="Times New Roman"/>
          <w:color w:val="auto"/>
          <w:sz w:val="32"/>
          <w:szCs w:val="32"/>
          <w:lang w:val="zh-CN"/>
        </w:rPr>
        <w:t>厕所改（建）工程，争取全面消除露天粪坑，积极探索厕所粪污和生活污水共治技术模式，实现厕所粪污无害化处理还田或同生活污水一道有效治理；按照新的建制村的管辖区域和县全域旅游发展规划，本着</w:t>
      </w:r>
      <w:r>
        <w:rPr>
          <w:rFonts w:hint="default" w:ascii="Times New Roman" w:hAnsi="Times New Roman" w:eastAsia="仿宋_GB2312" w:cs="Times New Roman"/>
          <w:color w:val="auto"/>
          <w:sz w:val="32"/>
          <w:szCs w:val="32"/>
        </w:rPr>
        <w:t>方便村民和游客如厕的原则，同步开展</w:t>
      </w:r>
      <w:r>
        <w:rPr>
          <w:rFonts w:hint="default" w:ascii="Times New Roman" w:hAnsi="Times New Roman" w:eastAsia="仿宋_GB2312" w:cs="Times New Roman"/>
          <w:color w:val="auto"/>
          <w:sz w:val="32"/>
          <w:szCs w:val="32"/>
          <w:lang w:val="zh-CN"/>
        </w:rPr>
        <w:t>农村公共</w:t>
      </w:r>
      <w:r>
        <w:rPr>
          <w:rFonts w:hint="default" w:ascii="Times New Roman" w:hAnsi="Times New Roman" w:eastAsia="仿宋_GB2312" w:cs="Times New Roman"/>
          <w:color w:val="auto"/>
          <w:sz w:val="32"/>
          <w:szCs w:val="32"/>
          <w:lang w:val="en-US" w:eastAsia="zh-CN"/>
        </w:rPr>
        <w:t>厕</w:t>
      </w:r>
      <w:r>
        <w:rPr>
          <w:rFonts w:hint="default" w:ascii="Times New Roman" w:hAnsi="Times New Roman" w:eastAsia="仿宋_GB2312" w:cs="Times New Roman"/>
          <w:color w:val="000000"/>
          <w:sz w:val="32"/>
          <w:szCs w:val="32"/>
          <w:lang w:val="en-US" w:eastAsia="zh-CN"/>
        </w:rPr>
        <w:t>所</w:t>
      </w:r>
      <w:r>
        <w:rPr>
          <w:rFonts w:hint="default" w:ascii="Times New Roman" w:hAnsi="Times New Roman" w:eastAsia="仿宋_GB2312" w:cs="Times New Roman"/>
          <w:color w:val="000000"/>
          <w:sz w:val="32"/>
          <w:szCs w:val="32"/>
          <w:lang w:val="zh-CN"/>
        </w:rPr>
        <w:t>和旅游景区景点、农村公路沿线、客运站点配套公共厕所的规划建设；加强教育和引导，培育和提升公众的厕所文明意识，提升村民主动参与农村“厕所革命”工作的积极性。到2025年，全县农村无害化卫生厕所普及率达到9</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zh-CN"/>
        </w:rPr>
        <w:t>%，实现行政村达标公共厕所全覆盖，旅游景区景点、农村公路沿线、客运站点配套的达标公共厕所满足广大消费者如厕需求。</w:t>
      </w:r>
      <w:bookmarkEnd w:id="492"/>
      <w:bookmarkEnd w:id="493"/>
      <w:bookmarkEnd w:id="494"/>
    </w:p>
    <w:p>
      <w:pPr>
        <w:spacing w:line="560" w:lineRule="exact"/>
        <w:ind w:firstLine="643" w:firstLineChars="200"/>
        <w:jc w:val="left"/>
        <w:outlineLvl w:val="2"/>
        <w:rPr>
          <w:rFonts w:hint="default" w:ascii="Times New Roman" w:hAnsi="Times New Roman" w:eastAsia="仿宋_GB2312" w:cs="Times New Roman"/>
          <w:b/>
          <w:color w:val="000000"/>
          <w:sz w:val="32"/>
          <w:szCs w:val="32"/>
          <w:lang w:val="zh-CN"/>
        </w:rPr>
      </w:pPr>
      <w:bookmarkStart w:id="495" w:name="_Toc5674"/>
      <w:bookmarkStart w:id="496" w:name="_Toc19806"/>
      <w:bookmarkStart w:id="497" w:name="_Toc29724"/>
      <w:bookmarkStart w:id="498" w:name="_Toc26401"/>
      <w:bookmarkStart w:id="499" w:name="_Toc23268"/>
      <w:bookmarkStart w:id="500" w:name="_Toc16170"/>
      <w:bookmarkStart w:id="501" w:name="_Toc31752"/>
      <w:bookmarkStart w:id="502" w:name="_Toc2432"/>
      <w:r>
        <w:rPr>
          <w:rFonts w:hint="default" w:ascii="Times New Roman" w:hAnsi="Times New Roman" w:eastAsia="仿宋_GB2312" w:cs="Times New Roman"/>
          <w:b/>
          <w:color w:val="000000"/>
          <w:sz w:val="32"/>
          <w:szCs w:val="32"/>
        </w:rPr>
        <w:t>12</w:t>
      </w:r>
      <w:r>
        <w:rPr>
          <w:rFonts w:hint="default" w:ascii="Times New Roman" w:hAnsi="Times New Roman" w:eastAsia="仿宋_GB2312" w:cs="Times New Roman"/>
          <w:b/>
          <w:color w:val="000000"/>
          <w:sz w:val="32"/>
          <w:szCs w:val="32"/>
          <w:lang w:val="zh-CN"/>
        </w:rPr>
        <w:t>.4推进农村畜禽粪污资源化利用</w:t>
      </w:r>
      <w:bookmarkEnd w:id="495"/>
      <w:bookmarkEnd w:id="496"/>
      <w:bookmarkEnd w:id="497"/>
      <w:bookmarkEnd w:id="498"/>
      <w:bookmarkEnd w:id="499"/>
      <w:bookmarkEnd w:id="500"/>
      <w:bookmarkEnd w:id="501"/>
      <w:bookmarkEnd w:id="502"/>
    </w:p>
    <w:p>
      <w:pPr>
        <w:spacing w:line="56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坚持源头减量、过程控制、末端利用的治理途径，整县推进畜禽养殖粪污资源化利用，提升规模养殖场粪污处理设施装备水平。大力推广畜禽标准化、适度规模化养殖；积极推广清洁养殖工艺，改水冲清粪为干式清粪，改无限用水为控制用水，改明沟排污为暗道排污；全面推行干清粪工艺、干湿分离技术和雨污分流，从养殖源头减少养殖废弃物排放；严格监督规模养殖场完善干粪堆积设施、沼气池、氧化塘、沼液储存池等粪污资源化利用设施配套建设，加快县域内年产3万吨有机肥厂建设；大力推进种养循环，实现种植用地和养殖用地的均衡化配置，建立健全畜禽粪污资源化利用社会化服务机制，采取分散收集、集中处理或就近直接还田利用等方式，全面推进畜禽养殖废弃物资源化利用，提升资源化利用率。到2025年，全县畜禽粪污综合利用率保持在9</w:t>
      </w: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val="zh-CN"/>
        </w:rPr>
        <w:t>%以上，规模养殖场粪污处理设施装备配套率达到100%。</w:t>
      </w:r>
      <w:bookmarkStart w:id="503" w:name="_Toc9430"/>
      <w:bookmarkStart w:id="504" w:name="_Toc2204"/>
      <w:bookmarkStart w:id="505" w:name="_Toc30292"/>
      <w:bookmarkStart w:id="506" w:name="_Toc12978"/>
      <w:bookmarkStart w:id="507" w:name="_Toc1704"/>
      <w:bookmarkStart w:id="508" w:name="_Toc4473"/>
      <w:bookmarkStart w:id="509" w:name="_Toc18016"/>
    </w:p>
    <w:p>
      <w:pPr>
        <w:spacing w:line="560" w:lineRule="exact"/>
        <w:ind w:firstLine="643" w:firstLineChars="200"/>
        <w:jc w:val="left"/>
        <w:outlineLvl w:val="2"/>
        <w:rPr>
          <w:rFonts w:hint="default" w:ascii="Times New Roman" w:hAnsi="Times New Roman" w:eastAsia="仿宋_GB2312" w:cs="Times New Roman"/>
          <w:b/>
          <w:color w:val="000000"/>
          <w:sz w:val="32"/>
          <w:szCs w:val="32"/>
          <w:lang w:val="zh-CN"/>
        </w:rPr>
      </w:pPr>
      <w:bookmarkStart w:id="510" w:name="_Toc29106"/>
      <w:r>
        <w:rPr>
          <w:rFonts w:hint="default" w:ascii="Times New Roman" w:hAnsi="Times New Roman" w:eastAsia="仿宋_GB2312" w:cs="Times New Roman"/>
          <w:b/>
          <w:color w:val="000000"/>
          <w:sz w:val="32"/>
          <w:szCs w:val="32"/>
        </w:rPr>
        <w:t>12</w:t>
      </w:r>
      <w:r>
        <w:rPr>
          <w:rFonts w:hint="default" w:ascii="Times New Roman" w:hAnsi="Times New Roman" w:eastAsia="仿宋_GB2312" w:cs="Times New Roman"/>
          <w:b/>
          <w:color w:val="000000"/>
          <w:sz w:val="32"/>
          <w:szCs w:val="32"/>
          <w:lang w:val="zh-CN"/>
        </w:rPr>
        <w:t>.5推进村容村貌提升</w:t>
      </w:r>
      <w:bookmarkEnd w:id="503"/>
      <w:bookmarkEnd w:id="504"/>
      <w:bookmarkEnd w:id="505"/>
      <w:bookmarkEnd w:id="506"/>
      <w:bookmarkEnd w:id="507"/>
      <w:bookmarkEnd w:id="508"/>
      <w:bookmarkEnd w:id="509"/>
      <w:bookmarkEnd w:id="510"/>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000000"/>
          <w:sz w:val="32"/>
          <w:szCs w:val="32"/>
          <w:lang w:val="zh-CN"/>
        </w:rPr>
        <w:t>坚持把旧村风貌改造与环境整治相结合，深入实施以家园美化、道路硬化、村庄绿化、色泽彩化、气味香化、照明亮化、环境净化、保护利用乡土文化为主要内容的村容村貌提升“八化”工程，巩固提升村庄清洁行动成果。</w:t>
      </w:r>
      <w:r>
        <w:rPr>
          <w:rFonts w:hint="default" w:ascii="Times New Roman" w:hAnsi="Times New Roman" w:eastAsia="仿宋_GB2312" w:cs="Times New Roman"/>
          <w:b/>
          <w:bCs/>
          <w:color w:val="000000"/>
          <w:sz w:val="32"/>
          <w:szCs w:val="32"/>
          <w:lang w:val="zh-CN"/>
        </w:rPr>
        <w:t>一是</w:t>
      </w:r>
      <w:r>
        <w:rPr>
          <w:rFonts w:hint="default" w:ascii="Times New Roman" w:hAnsi="Times New Roman" w:eastAsia="仿宋_GB2312" w:cs="Times New Roman"/>
          <w:color w:val="000000"/>
          <w:sz w:val="32"/>
          <w:szCs w:val="32"/>
          <w:lang w:val="zh-CN"/>
        </w:rPr>
        <w:t>盘活乡村文化资源，挖掘乡村特色文化符号，保护好历史文化环境，把保护优秀的乡土建筑作为城乡融合发展的重要内容，把历史名城、名镇、名村保护纳入城乡规划，把优秀民间文化元素融入乡村建设，打造文化价值突出、</w:t>
      </w:r>
      <w:r>
        <w:rPr>
          <w:rFonts w:hint="default" w:ascii="Times New Roman" w:hAnsi="Times New Roman" w:eastAsia="仿宋_GB2312" w:cs="Times New Roman"/>
          <w:color w:val="auto"/>
          <w:sz w:val="32"/>
          <w:szCs w:val="32"/>
          <w:lang w:val="zh-CN"/>
        </w:rPr>
        <w:t>地域特色明显的传统村庄院落。</w:t>
      </w:r>
      <w:r>
        <w:rPr>
          <w:rFonts w:hint="default" w:ascii="Times New Roman" w:hAnsi="Times New Roman" w:eastAsia="仿宋_GB2312" w:cs="Times New Roman"/>
          <w:b/>
          <w:bCs/>
          <w:color w:val="auto"/>
          <w:sz w:val="32"/>
          <w:szCs w:val="32"/>
          <w:lang w:val="zh-CN"/>
        </w:rPr>
        <w:t>二是</w:t>
      </w:r>
      <w:r>
        <w:rPr>
          <w:rFonts w:hint="default" w:ascii="Times New Roman" w:hAnsi="Times New Roman" w:eastAsia="仿宋_GB2312" w:cs="Times New Roman"/>
          <w:color w:val="auto"/>
          <w:sz w:val="32"/>
          <w:szCs w:val="32"/>
          <w:lang w:val="zh-CN"/>
        </w:rPr>
        <w:t>大力推动村庄绿化、美化、香化，坚持与庭院经济、经济林果、“微田园”建设相结合，开展“增彩添香”廊道建设和森林村庄创建活动，常态化开展村庄清洁行动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zh-CN"/>
        </w:rPr>
        <w:t>整治村庄公共空间和庭院环境，集中清理私搭乱建、乱堆乱放、电气线路私拉乱接等现象， 拆除废弃不用且濒临坍塌的杂物房、牛栏猪圈和残垣断壁，彻底消除垃圾乱丢乱倒现象。</w:t>
      </w:r>
      <w:r>
        <w:rPr>
          <w:rFonts w:hint="default" w:ascii="Times New Roman" w:hAnsi="Times New Roman" w:eastAsia="仿宋_GB2312" w:cs="Times New Roman"/>
          <w:b/>
          <w:bCs/>
          <w:color w:val="auto"/>
          <w:sz w:val="32"/>
          <w:szCs w:val="32"/>
          <w:lang w:val="zh-CN"/>
        </w:rPr>
        <w:t>三是</w:t>
      </w:r>
      <w:r>
        <w:rPr>
          <w:rFonts w:hint="default" w:ascii="Times New Roman" w:hAnsi="Times New Roman" w:eastAsia="仿宋_GB2312" w:cs="Times New Roman"/>
          <w:color w:val="auto"/>
          <w:sz w:val="32"/>
          <w:szCs w:val="32"/>
          <w:lang w:val="zh-CN"/>
        </w:rPr>
        <w:t>实施农耕文化保护传承行动，推动优秀农耕文化遗产合理适度利用，保护传承各具特色的民居、民宿原生形态，走特色化、差异化发展之路，创新发展主题农庄、民宿酒店等乡村旅游模式和创意农业、农耕体验、乡村手工艺等，促进农村繁荣、农民富裕、环境秀美，彰显大英地域农耕文明。到</w:t>
      </w:r>
      <w:r>
        <w:rPr>
          <w:rFonts w:hint="default" w:ascii="Times New Roman" w:hAnsi="Times New Roman" w:eastAsia="仿宋_GB2312" w:cs="Times New Roman"/>
          <w:color w:val="auto"/>
          <w:sz w:val="32"/>
          <w:szCs w:val="32"/>
        </w:rPr>
        <w:t>2025年，</w:t>
      </w:r>
      <w:r>
        <w:rPr>
          <w:rFonts w:hint="default" w:ascii="Times New Roman" w:hAnsi="Times New Roman" w:eastAsia="仿宋_GB2312" w:cs="Times New Roman"/>
          <w:color w:val="auto"/>
          <w:sz w:val="32"/>
          <w:szCs w:val="32"/>
          <w:lang w:val="zh-CN"/>
        </w:rPr>
        <w:t>力争创建省级传统村落</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zh-CN"/>
        </w:rPr>
        <w:t>个，“四川最美古村落”1个，新建“增彩添香”示范村</w:t>
      </w: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lang w:val="zh-CN"/>
        </w:rPr>
        <w:t>个，建特色民宿酒店</w:t>
      </w:r>
      <w:r>
        <w:rPr>
          <w:rFonts w:hint="default" w:ascii="Times New Roman" w:hAnsi="Times New Roman" w:eastAsia="仿宋_GB2312" w:cs="Times New Roman"/>
          <w:color w:val="auto"/>
          <w:sz w:val="32"/>
          <w:szCs w:val="32"/>
        </w:rPr>
        <w:t>5家，建休闲农业目的地15处。</w:t>
      </w:r>
    </w:p>
    <w:p>
      <w:pPr>
        <w:pStyle w:val="31"/>
        <w:spacing w:line="560" w:lineRule="exact"/>
        <w:ind w:firstLine="643" w:firstLineChars="200"/>
        <w:outlineLvl w:val="2"/>
        <w:rPr>
          <w:rFonts w:hint="default" w:ascii="Times New Roman" w:hAnsi="Times New Roman" w:eastAsia="仿宋_GB2312" w:cs="Times New Roman"/>
          <w:b/>
          <w:color w:val="auto"/>
          <w:kern w:val="2"/>
          <w:sz w:val="32"/>
          <w:szCs w:val="32"/>
          <w:lang w:val="zh-CN"/>
        </w:rPr>
      </w:pPr>
      <w:bookmarkStart w:id="511" w:name="_Toc16208"/>
      <w:bookmarkStart w:id="512" w:name="_Toc4104"/>
      <w:bookmarkStart w:id="513" w:name="_Toc32378"/>
      <w:bookmarkStart w:id="514" w:name="_Toc3009"/>
      <w:bookmarkStart w:id="515" w:name="_Toc18482"/>
      <w:bookmarkStart w:id="516" w:name="_Toc8605"/>
      <w:bookmarkStart w:id="517" w:name="_Toc9363"/>
      <w:bookmarkStart w:id="518" w:name="_Toc24094"/>
      <w:r>
        <w:rPr>
          <w:rFonts w:hint="default" w:ascii="Times New Roman" w:hAnsi="Times New Roman" w:eastAsia="仿宋_GB2312" w:cs="Times New Roman"/>
          <w:b/>
          <w:color w:val="auto"/>
          <w:kern w:val="2"/>
          <w:sz w:val="32"/>
          <w:szCs w:val="32"/>
        </w:rPr>
        <w:t>12</w:t>
      </w:r>
      <w:r>
        <w:rPr>
          <w:rFonts w:hint="default" w:ascii="Times New Roman" w:hAnsi="Times New Roman" w:eastAsia="仿宋_GB2312" w:cs="Times New Roman"/>
          <w:b/>
          <w:color w:val="auto"/>
          <w:kern w:val="2"/>
          <w:sz w:val="32"/>
          <w:szCs w:val="32"/>
          <w:lang w:val="zh-CN"/>
        </w:rPr>
        <w:t>.6建立美丽宜居乡村建设长效机制</w:t>
      </w:r>
      <w:bookmarkEnd w:id="511"/>
      <w:bookmarkEnd w:id="512"/>
      <w:bookmarkEnd w:id="513"/>
      <w:bookmarkEnd w:id="514"/>
      <w:bookmarkEnd w:id="515"/>
      <w:bookmarkEnd w:id="516"/>
      <w:bookmarkEnd w:id="517"/>
      <w:bookmarkEnd w:id="518"/>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美丽宜居乡村建设要坚持规划引领，全县一盘棋，科学规划，依规实施。</w:t>
      </w:r>
      <w:r>
        <w:rPr>
          <w:rFonts w:hint="default" w:ascii="Times New Roman" w:hAnsi="Times New Roman" w:eastAsia="仿宋_GB2312" w:cs="Times New Roman"/>
          <w:b/>
          <w:bCs/>
          <w:color w:val="auto"/>
          <w:sz w:val="32"/>
          <w:szCs w:val="32"/>
          <w:lang w:val="zh-CN"/>
        </w:rPr>
        <w:t>一是</w:t>
      </w:r>
      <w:r>
        <w:rPr>
          <w:rFonts w:hint="default" w:ascii="Times New Roman" w:hAnsi="Times New Roman" w:eastAsia="仿宋_GB2312" w:cs="Times New Roman"/>
          <w:color w:val="auto"/>
          <w:sz w:val="32"/>
          <w:szCs w:val="32"/>
          <w:lang w:val="zh-CN"/>
        </w:rPr>
        <w:t>村民充分参与、县村镇规划委员会审查、县级人民政府审批、省自然资源厅备案的乡村规划审批制度。</w:t>
      </w:r>
      <w:r>
        <w:rPr>
          <w:rFonts w:hint="default" w:ascii="Times New Roman" w:hAnsi="Times New Roman" w:eastAsia="仿宋_GB2312" w:cs="Times New Roman"/>
          <w:b/>
          <w:bCs/>
          <w:color w:val="auto"/>
          <w:sz w:val="32"/>
          <w:szCs w:val="32"/>
          <w:lang w:val="zh-CN"/>
        </w:rPr>
        <w:t>二是</w:t>
      </w:r>
      <w:r>
        <w:rPr>
          <w:rFonts w:hint="default" w:ascii="Times New Roman" w:hAnsi="Times New Roman" w:eastAsia="仿宋_GB2312" w:cs="Times New Roman"/>
          <w:color w:val="auto"/>
          <w:sz w:val="32"/>
          <w:szCs w:val="32"/>
          <w:lang w:val="zh-CN"/>
        </w:rPr>
        <w:t>因地制宜，突出乡村特色，优化乡村生产、生活和生态空间布局，编制多规合一的实用性乡村规划。</w:t>
      </w:r>
      <w:r>
        <w:rPr>
          <w:rFonts w:hint="default" w:ascii="Times New Roman" w:hAnsi="Times New Roman" w:eastAsia="仿宋_GB2312" w:cs="Times New Roman"/>
          <w:b/>
          <w:bCs/>
          <w:color w:val="auto"/>
          <w:sz w:val="32"/>
          <w:szCs w:val="32"/>
          <w:lang w:val="zh-CN"/>
        </w:rPr>
        <w:t>三是</w:t>
      </w:r>
      <w:r>
        <w:rPr>
          <w:rFonts w:hint="default" w:ascii="Times New Roman" w:hAnsi="Times New Roman" w:eastAsia="仿宋_GB2312" w:cs="Times New Roman"/>
          <w:color w:val="auto"/>
          <w:sz w:val="32"/>
          <w:szCs w:val="32"/>
          <w:lang w:val="zh-CN"/>
        </w:rPr>
        <w:t>建立完善村庄常态化保洁制度，逐步实现村民小组保洁员全覆盖，推行“政府补贴+每人每月一元付费+村集体经济适当补充”的乡村清洁经费多元化保障机制，建立政府支持、市场化运营的“厕污共治”长效利用和管护机制，鼓励社会组织组建粪污综合利用专业合作社和社会资本参与乡村污水处理设施项目建设和运营管护。</w:t>
      </w:r>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mn-Mong-CN" w:bidi="mn-Mong-CN"/>
        </w:rPr>
      </w:pPr>
      <w:bookmarkStart w:id="519" w:name="_Toc18943"/>
      <w:bookmarkStart w:id="520" w:name="_Toc6341"/>
      <w:bookmarkStart w:id="521" w:name="_Toc9031"/>
      <w:bookmarkStart w:id="522" w:name="_Toc31633"/>
      <w:bookmarkStart w:id="523" w:name="_Toc5109"/>
      <w:bookmarkStart w:id="524" w:name="_Toc25179"/>
      <w:bookmarkStart w:id="525" w:name="_Toc1637"/>
      <w:bookmarkStart w:id="526" w:name="_Toc30132"/>
      <w:r>
        <w:rPr>
          <w:rFonts w:hint="default" w:ascii="Times New Roman" w:hAnsi="Times New Roman" w:eastAsia="黑体" w:cs="Times New Roman"/>
          <w:color w:val="auto"/>
          <w:kern w:val="0"/>
          <w:sz w:val="32"/>
          <w:szCs w:val="32"/>
          <w:lang w:val="mn-Mong-CN" w:bidi="mn-Mong-CN"/>
        </w:rPr>
        <w:t xml:space="preserve">第十三章  </w:t>
      </w:r>
      <w:bookmarkEnd w:id="519"/>
      <w:bookmarkEnd w:id="520"/>
      <w:bookmarkEnd w:id="521"/>
      <w:bookmarkEnd w:id="522"/>
      <w:bookmarkEnd w:id="523"/>
      <w:bookmarkEnd w:id="524"/>
      <w:bookmarkEnd w:id="525"/>
      <w:r>
        <w:rPr>
          <w:rFonts w:hint="default" w:ascii="Times New Roman" w:hAnsi="Times New Roman" w:eastAsia="黑体" w:cs="Times New Roman"/>
          <w:color w:val="auto"/>
          <w:kern w:val="0"/>
          <w:sz w:val="32"/>
          <w:szCs w:val="32"/>
          <w:lang w:val="mn-Mong-CN" w:bidi="mn-Mong-CN"/>
        </w:rPr>
        <w:t>着力培育乡村特色产业</w:t>
      </w:r>
      <w:bookmarkEnd w:id="526"/>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高标准建设美丽乡村，产业发展是关键更是重点。把改善人居环境与发展生产、富裕农民结合起来，积极探索产村融合发展的有效路径，努力形成村美民富的良好局面。以县级行政区为基础，以重点镇和特色小镇为支点，搭建农村一、二、三产业融合发展服务平台，推进农业供给侧结构性改革，形成结构合理、保障有力的农产品有效供给，加快发展农产品精深加工业、物流业和休闲观光农业，推进农业与旅游、教育、文化、健康养老等产业深度融合，大力发展农业新型业态，推进大农业大食品的第六产业发展，不断提高农村产业发展水平。</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527" w:name="_Toc27717"/>
      <w:bookmarkStart w:id="528" w:name="_Toc30946"/>
      <w:bookmarkStart w:id="529" w:name="_Toc9400"/>
      <w:bookmarkStart w:id="530" w:name="_Toc29366"/>
      <w:bookmarkStart w:id="531" w:name="_Toc4063"/>
      <w:bookmarkStart w:id="532" w:name="_Toc14714"/>
      <w:bookmarkStart w:id="533" w:name="_Toc29117"/>
      <w:bookmarkStart w:id="534" w:name="_Toc11844"/>
      <w:r>
        <w:rPr>
          <w:rFonts w:hint="default" w:ascii="Times New Roman" w:hAnsi="Times New Roman" w:eastAsia="仿宋_GB2312" w:cs="Times New Roman"/>
          <w:b/>
          <w:color w:val="auto"/>
          <w:sz w:val="32"/>
          <w:szCs w:val="32"/>
          <w:lang w:val="zh-CN"/>
        </w:rPr>
        <w:t>1</w:t>
      </w:r>
      <w:r>
        <w:rPr>
          <w:rFonts w:hint="default" w:ascii="Times New Roman" w:hAnsi="Times New Roman" w:eastAsia="仿宋_GB2312" w:cs="Times New Roman"/>
          <w:b/>
          <w:color w:val="auto"/>
          <w:sz w:val="32"/>
          <w:szCs w:val="32"/>
        </w:rPr>
        <w:t>3</w:t>
      </w:r>
      <w:r>
        <w:rPr>
          <w:rFonts w:hint="default" w:ascii="Times New Roman" w:hAnsi="Times New Roman" w:eastAsia="仿宋_GB2312" w:cs="Times New Roman"/>
          <w:b/>
          <w:color w:val="auto"/>
          <w:sz w:val="32"/>
          <w:szCs w:val="32"/>
          <w:lang w:val="zh-CN"/>
        </w:rPr>
        <w:t>.1</w:t>
      </w:r>
      <w:bookmarkEnd w:id="527"/>
      <w:bookmarkEnd w:id="528"/>
      <w:bookmarkEnd w:id="529"/>
      <w:bookmarkEnd w:id="530"/>
      <w:bookmarkEnd w:id="531"/>
      <w:bookmarkEnd w:id="532"/>
      <w:bookmarkEnd w:id="533"/>
      <w:r>
        <w:rPr>
          <w:rFonts w:hint="default" w:ascii="Times New Roman" w:hAnsi="Times New Roman" w:eastAsia="仿宋_GB2312" w:cs="Times New Roman"/>
          <w:b/>
          <w:color w:val="auto"/>
          <w:sz w:val="32"/>
          <w:szCs w:val="32"/>
          <w:lang w:val="zh-CN"/>
        </w:rPr>
        <w:t>统筹推进乡村产业发展</w:t>
      </w:r>
      <w:bookmarkEnd w:id="534"/>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科学做好乡村产业发展规划是提高农村产业发展水平的前提。大英县（丘陵地区）通过撤乡并村后的镇（街）辖区面积在</w:t>
      </w:r>
      <w:r>
        <w:rPr>
          <w:rFonts w:hint="default" w:ascii="Times New Roman" w:hAnsi="Times New Roman" w:eastAsia="仿宋_GB2312" w:cs="Times New Roman"/>
          <w:color w:val="auto"/>
          <w:sz w:val="32"/>
          <w:szCs w:val="32"/>
        </w:rPr>
        <w:t>50-100平方公里、人口在3万-8万人左右，经济社会发展的空间变大了、内涵变丰富了，迫切需要科学编制各镇街的《乡村产业发展规划》。</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摸清乡情村情。亚热带季风气候地区物种丰富，意味着绝大多数动植物均可种养。各镇（街）要根据区域内气候、土壤、基础设施等具体生产条件选择最适合本地发展的优势种养业品种，水稻、小麦、玉米、油菜、大豆等大宗粮油品种在不同的区域品质也存在较大差异，也要根据各地的生态优势发展具有地方特色的优质品牌。与农业相关的二（加工业）、三产业（冷链物流、乡村旅游等），也与各地的区位交通、生态环境等密切相关。</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搞好可行性研究。各镇（街）要对农业、加工业、乡村旅游业等方面分行业和产品品种做好可行性研究，包括资源区位特色、市场需求、科技攻关、发展方向（分绿色、有机和微量元素添加[像富硒产品]等产品层次）、发展模式选择（扩大规模化、标准化种养份额）、品牌创建和经济社会生态效益等方面。</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乡村产业规划原则。规划要有前瞻性和特色性，本着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人无我有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人有我优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原则，根据农产品市场细化，寻找适合本地发展的新产品和最适合本地的大路产品，并在科技创新和品牌创建上大做文章；要着眼规划发展高端农产品和精深加工，像食用菌等大棚有机蔬菜、有机中药材、药材提取液等。允许根据不同乡村的经济基础、自然环境、资源禀赋差异，编制不同类型的乡村产业发展规划，走特色各异、形态多样、差异化产业兴旺之路。</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规划布局的确定性和延续性。规划的时期一般要在5--10年左右，本着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一乡一业、一村一品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则，相对集中连片规划布局，以便于技术指导和规模经营管理；需发展的种养品种和延伸的二、三产业要因地制宜规划到相应村庄，并依法执行规划，确保已规划的多数品种和特色产业长期持续发展。五是要切实做好本地产业规划（包括各行政村的村庄规划）与国家、省市和县相关规划的衔接，要吸收各方面专家认真做好规划的评审。</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535" w:name="_Toc11708"/>
      <w:bookmarkStart w:id="536" w:name="_Toc29050"/>
      <w:bookmarkStart w:id="537" w:name="_Toc10128"/>
      <w:bookmarkStart w:id="538" w:name="_Toc32033"/>
      <w:bookmarkStart w:id="539" w:name="_Toc22064"/>
      <w:bookmarkStart w:id="540" w:name="_Toc23742"/>
      <w:bookmarkStart w:id="541" w:name="_Toc2066"/>
      <w:bookmarkStart w:id="542" w:name="_Toc22732"/>
      <w:r>
        <w:rPr>
          <w:rFonts w:hint="default" w:ascii="Times New Roman" w:hAnsi="Times New Roman" w:eastAsia="仿宋_GB2312" w:cs="Times New Roman"/>
          <w:b/>
          <w:color w:val="auto"/>
          <w:sz w:val="32"/>
          <w:szCs w:val="32"/>
          <w:lang w:val="zh-CN"/>
        </w:rPr>
        <w:t>1</w:t>
      </w:r>
      <w:r>
        <w:rPr>
          <w:rFonts w:hint="default" w:ascii="Times New Roman" w:hAnsi="Times New Roman" w:eastAsia="仿宋_GB2312" w:cs="Times New Roman"/>
          <w:b/>
          <w:color w:val="auto"/>
          <w:sz w:val="32"/>
          <w:szCs w:val="32"/>
        </w:rPr>
        <w:t>3</w:t>
      </w:r>
      <w:r>
        <w:rPr>
          <w:rFonts w:hint="default" w:ascii="Times New Roman" w:hAnsi="Times New Roman" w:eastAsia="仿宋_GB2312" w:cs="Times New Roman"/>
          <w:b/>
          <w:color w:val="auto"/>
          <w:sz w:val="32"/>
          <w:szCs w:val="32"/>
          <w:lang w:val="zh-CN"/>
        </w:rPr>
        <w:t>.2加快构建乡村产业体系</w:t>
      </w:r>
      <w:bookmarkEnd w:id="535"/>
      <w:bookmarkEnd w:id="536"/>
      <w:bookmarkEnd w:id="537"/>
      <w:bookmarkEnd w:id="538"/>
      <w:bookmarkEnd w:id="539"/>
      <w:bookmarkEnd w:id="540"/>
      <w:bookmarkEnd w:id="541"/>
      <w:bookmarkEnd w:id="542"/>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振兴乡村产业，就是要充分发挥农业多功能性、农村巨大承载力及农民主体作用，以农业农村资源为依托，以农民为主体，以三产融合发展为路径，壮大乡村集体经济和产业，优化产业空间布局，建立完善乡村服务体系、平台和机制，加快构建地域特色鲜明、承载乡村价值、创新创业活跃、利益联结紧密的产业体系。</w:t>
      </w:r>
    </w:p>
    <w:p>
      <w:pPr>
        <w:pStyle w:val="31"/>
        <w:spacing w:line="560" w:lineRule="exact"/>
        <w:ind w:firstLine="642"/>
        <w:jc w:val="both"/>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color w:val="auto"/>
          <w:kern w:val="2"/>
          <w:sz w:val="32"/>
          <w:szCs w:val="32"/>
          <w:lang w:val="zh-CN"/>
        </w:rPr>
        <w:t>1</w:t>
      </w:r>
      <w:r>
        <w:rPr>
          <w:rFonts w:hint="default" w:ascii="Times New Roman" w:hAnsi="Times New Roman" w:eastAsia="仿宋_GB2312" w:cs="Times New Roman"/>
          <w:b/>
          <w:color w:val="auto"/>
          <w:kern w:val="2"/>
          <w:sz w:val="32"/>
          <w:szCs w:val="32"/>
        </w:rPr>
        <w:t>3</w:t>
      </w:r>
      <w:r>
        <w:rPr>
          <w:rFonts w:hint="default" w:ascii="Times New Roman" w:hAnsi="Times New Roman" w:eastAsia="仿宋_GB2312" w:cs="Times New Roman"/>
          <w:b/>
          <w:bCs/>
          <w:color w:val="auto"/>
          <w:sz w:val="32"/>
          <w:szCs w:val="32"/>
          <w:lang w:val="zh-CN"/>
        </w:rPr>
        <w:t>.2.1构建全产业链</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以特色资源增强竞争力，发展特色种养。根据种质资源、地理成分、物候特点等独特资源禀赋，在最适宜的地区培植最适宜的产业。开发特色食品，重点开发乡土卤制品、豆制品、菜籽油、榨菜等传统食品。</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以加工流通延伸产业链，做强产品加工。鼓励大型龙头企业建设标准化、清洁化、智能化加工厂，引导农户、家庭农场建设一批家庭工场、手工作坊、乡村车间，用标准化技术改造提升豆制品、榨菜、泥彩塑等乡土产品。做活商贸物流，在特色农产品优势区布局产地批发市场、物流配送中心、商品采购中心、大型特产超市，支持新型经营主体、农产品批发市场等建设产地仓储保鲜设施，发展网上商店、连锁门店。</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以信息技术打造供应链，实施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互联网+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产品出村进城工程。完善适应农产品网络销售的供应链体系、运营服务体系和支撑保障体系。创新营销模式，健全绿色智能农产品供应链，培育农商直供、直播直销、会员制、个人定制等模式，推进农商互联、产销衔接，再造业务流程、降低交易成本。</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以业态丰富提升价值链，推进品种和技术创新。提升特色产品的内在品质和外在品相，以品质赢得市场、实现增值。提升生态价值，开发绿色生态、养生保健等新功能新价值，增强对消费者的吸附力。提升人文价值，更多融入科技、人文元素，发掘民俗风情、历史传说和民间戏剧等文化价值，赋予乡土特色产品文化标识。</w:t>
      </w:r>
    </w:p>
    <w:p>
      <w:pPr>
        <w:pStyle w:val="31"/>
        <w:spacing w:line="560" w:lineRule="exact"/>
        <w:ind w:firstLine="642"/>
        <w:jc w:val="both"/>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color w:val="auto"/>
          <w:kern w:val="2"/>
          <w:sz w:val="32"/>
          <w:szCs w:val="32"/>
          <w:lang w:val="zh-CN"/>
        </w:rPr>
        <w:t>1</w:t>
      </w:r>
      <w:r>
        <w:rPr>
          <w:rFonts w:hint="default" w:ascii="Times New Roman" w:hAnsi="Times New Roman" w:eastAsia="仿宋_GB2312" w:cs="Times New Roman"/>
          <w:b/>
          <w:color w:val="auto"/>
          <w:kern w:val="2"/>
          <w:sz w:val="32"/>
          <w:szCs w:val="32"/>
        </w:rPr>
        <w:t>3</w:t>
      </w:r>
      <w:r>
        <w:rPr>
          <w:rFonts w:hint="default" w:ascii="Times New Roman" w:hAnsi="Times New Roman" w:eastAsia="仿宋_GB2312" w:cs="Times New Roman"/>
          <w:b/>
          <w:bCs/>
          <w:color w:val="auto"/>
          <w:sz w:val="32"/>
          <w:szCs w:val="32"/>
          <w:lang w:val="zh-CN"/>
        </w:rPr>
        <w:t>.2.2适度规模发展乡村产业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集聚资源、集中力量，建设富有特色、规模适中、带动力强的特色产业集聚区，构建乡村产业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状发展格局。建设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一村一品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示范村。依托资源优势，选择主导产业，建设一批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小而精、特而美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一村一品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示范村，形成一村带数村、多村连成片的发展格局。到2025年，培育产值0.5亿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1亿元的特色产业专业村3个。根据特色资源优势，聚焦1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2个主导产业，吸引资本聚镇、能人入镇、技术进镇，建设一批标准原料基地、集约加工转化、区域主导产业、紧密利益联结于一体的农业产业强镇。到2025年，培育产值5亿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10亿元的农业产业强镇2个以上。通过科技集成、主体集合、产业集群，统筹布局生产、加工、物流、研发、示范、服务等功能，延长产业链、提升价值链，促进产业格局由分散向集中、发展方式由粗放向集约、产业链条由单一向复合转变，发挥要素集聚和融合平台作用，支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一县一业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发展。</w:t>
      </w:r>
    </w:p>
    <w:p>
      <w:pPr>
        <w:pStyle w:val="31"/>
        <w:spacing w:line="560" w:lineRule="exact"/>
        <w:ind w:firstLine="642"/>
        <w:jc w:val="both"/>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color w:val="auto"/>
          <w:kern w:val="2"/>
          <w:sz w:val="32"/>
          <w:szCs w:val="32"/>
          <w:lang w:val="zh-CN"/>
        </w:rPr>
        <w:t>1</w:t>
      </w:r>
      <w:r>
        <w:rPr>
          <w:rFonts w:hint="default" w:ascii="Times New Roman" w:hAnsi="Times New Roman" w:eastAsia="仿宋_GB2312" w:cs="Times New Roman"/>
          <w:b/>
          <w:color w:val="auto"/>
          <w:kern w:val="2"/>
          <w:sz w:val="32"/>
          <w:szCs w:val="32"/>
        </w:rPr>
        <w:t>3</w:t>
      </w:r>
      <w:r>
        <w:rPr>
          <w:rFonts w:hint="default" w:ascii="Times New Roman" w:hAnsi="Times New Roman" w:eastAsia="仿宋_GB2312" w:cs="Times New Roman"/>
          <w:b/>
          <w:bCs/>
          <w:color w:val="auto"/>
          <w:sz w:val="32"/>
          <w:szCs w:val="32"/>
          <w:lang w:val="zh-CN"/>
        </w:rPr>
        <w:t>.2.3</w:t>
      </w:r>
      <w:r>
        <w:rPr>
          <w:rFonts w:hint="default" w:ascii="Times New Roman" w:hAnsi="Times New Roman" w:eastAsia="仿宋_GB2312" w:cs="Times New Roman"/>
          <w:b/>
          <w:bCs/>
          <w:color w:val="auto"/>
          <w:sz w:val="32"/>
          <w:szCs w:val="32"/>
        </w:rPr>
        <w:t>培育</w:t>
      </w:r>
      <w:r>
        <w:rPr>
          <w:rFonts w:hint="default" w:ascii="Times New Roman" w:hAnsi="Times New Roman" w:eastAsia="仿宋_GB2312" w:cs="Times New Roman"/>
          <w:b/>
          <w:bCs/>
          <w:color w:val="auto"/>
          <w:sz w:val="32"/>
          <w:szCs w:val="32"/>
          <w:lang w:val="zh-CN"/>
        </w:rPr>
        <w:t>创新创业联盟</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工商资本积极参与乡村产业发展，通过引进资金、技术、人才和先进管理经验，推进农业品牌化、市场化和专业化建设，通过给予信贷、用地、税收等优惠政策，促进农产品加工业做精做专、做大做强，不断优化乡村投资和营商环境，破除政策壁垒。同时，坚持市场化导向，推动各类新型农业经营主体、基层农技推广机构、农业科研院所和高校建立创新创业联盟，促进科技成果快速转化，实现农产品多层次、多环节转化增值。</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543" w:name="_Toc24905"/>
      <w:bookmarkStart w:id="544" w:name="_Toc18411"/>
      <w:bookmarkStart w:id="545" w:name="_Toc13427"/>
      <w:bookmarkStart w:id="546" w:name="_Toc31910"/>
      <w:bookmarkStart w:id="547" w:name="_Toc3065"/>
      <w:bookmarkStart w:id="548" w:name="_Toc14062"/>
      <w:bookmarkStart w:id="549" w:name="_Toc8926"/>
      <w:bookmarkStart w:id="550" w:name="_Toc19093"/>
      <w:r>
        <w:rPr>
          <w:rFonts w:hint="default" w:ascii="Times New Roman" w:hAnsi="Times New Roman" w:eastAsia="仿宋_GB2312" w:cs="Times New Roman"/>
          <w:b/>
          <w:color w:val="auto"/>
          <w:sz w:val="32"/>
          <w:szCs w:val="32"/>
          <w:lang w:val="zh-CN"/>
        </w:rPr>
        <w:t>1</w:t>
      </w:r>
      <w:r>
        <w:rPr>
          <w:rFonts w:hint="default" w:ascii="Times New Roman" w:hAnsi="Times New Roman" w:eastAsia="仿宋_GB2312" w:cs="Times New Roman"/>
          <w:b/>
          <w:color w:val="auto"/>
          <w:sz w:val="32"/>
          <w:szCs w:val="32"/>
        </w:rPr>
        <w:t>3</w:t>
      </w:r>
      <w:r>
        <w:rPr>
          <w:rFonts w:hint="default" w:ascii="Times New Roman" w:hAnsi="Times New Roman" w:eastAsia="仿宋_GB2312" w:cs="Times New Roman"/>
          <w:b/>
          <w:color w:val="auto"/>
          <w:sz w:val="32"/>
          <w:szCs w:val="32"/>
          <w:lang w:val="zh-CN"/>
        </w:rPr>
        <w:t>.3促进乡村产业融合发展</w:t>
      </w:r>
      <w:bookmarkEnd w:id="543"/>
      <w:bookmarkEnd w:id="544"/>
      <w:bookmarkEnd w:id="545"/>
      <w:bookmarkEnd w:id="546"/>
      <w:bookmarkEnd w:id="547"/>
      <w:bookmarkEnd w:id="548"/>
      <w:bookmarkEnd w:id="549"/>
      <w:bookmarkEnd w:id="550"/>
    </w:p>
    <w:p>
      <w:pPr>
        <w:pStyle w:val="31"/>
        <w:spacing w:line="560" w:lineRule="exact"/>
        <w:ind w:firstLine="641"/>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一二三产融合发展是乡村产业发展的现实选择和重要方向，重点是跨界配置农业和现代产业要素，促进不同产业、行业相互渗透、交叉和重组，形成融合发展新机制。</w:t>
      </w:r>
    </w:p>
    <w:p>
      <w:pPr>
        <w:pStyle w:val="31"/>
        <w:spacing w:line="560" w:lineRule="exact"/>
        <w:ind w:firstLine="642"/>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color w:val="auto"/>
          <w:kern w:val="2"/>
          <w:sz w:val="32"/>
          <w:szCs w:val="32"/>
          <w:lang w:val="zh-CN"/>
        </w:rPr>
        <w:t>1</w:t>
      </w:r>
      <w:r>
        <w:rPr>
          <w:rFonts w:hint="default" w:ascii="Times New Roman" w:hAnsi="Times New Roman" w:eastAsia="仿宋_GB2312" w:cs="Times New Roman"/>
          <w:b/>
          <w:color w:val="auto"/>
          <w:kern w:val="2"/>
          <w:sz w:val="32"/>
          <w:szCs w:val="32"/>
        </w:rPr>
        <w:t>3</w:t>
      </w:r>
      <w:r>
        <w:rPr>
          <w:rFonts w:hint="default" w:ascii="Times New Roman" w:hAnsi="Times New Roman" w:eastAsia="仿宋_GB2312" w:cs="Times New Roman"/>
          <w:b/>
          <w:bCs/>
          <w:color w:val="auto"/>
          <w:sz w:val="32"/>
          <w:szCs w:val="32"/>
        </w:rPr>
        <w:t>.3.1建立和完善融合发展新机制</w:t>
      </w:r>
    </w:p>
    <w:p>
      <w:pPr>
        <w:pStyle w:val="31"/>
        <w:spacing w:line="560" w:lineRule="exact"/>
        <w:ind w:firstLine="641"/>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bCs/>
          <w:color w:val="auto"/>
          <w:sz w:val="32"/>
          <w:szCs w:val="32"/>
          <w:shd w:val="clear" w:color="auto" w:fill="FFFFFF"/>
          <w:lang w:val="zh-CN"/>
        </w:rPr>
        <w:t>一是</w:t>
      </w:r>
      <w:r>
        <w:rPr>
          <w:rFonts w:hint="default" w:ascii="Times New Roman" w:hAnsi="Times New Roman" w:eastAsia="仿宋_GB2312" w:cs="Times New Roman"/>
          <w:color w:val="auto"/>
          <w:sz w:val="32"/>
          <w:szCs w:val="32"/>
          <w:shd w:val="clear" w:color="auto" w:fill="FFFFFF"/>
          <w:lang w:val="zh-CN"/>
        </w:rPr>
        <w:t>培育多元融合主体。</w:t>
      </w:r>
      <w:r>
        <w:rPr>
          <w:rFonts w:hint="default" w:ascii="Times New Roman" w:hAnsi="Times New Roman" w:eastAsia="仿宋_GB2312" w:cs="Times New Roman"/>
          <w:color w:val="auto"/>
          <w:sz w:val="32"/>
          <w:szCs w:val="32"/>
          <w:shd w:val="clear" w:color="auto" w:fill="FFFFFF"/>
        </w:rPr>
        <w:t>探索发展行政区域范围内</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政产学研推用银</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多主体参与、产业关联度高、辐射带动力强的大型产业化联合体，构建政府引导、农民主体、企业引领、科研协同、金融助力的发展格局。积极发展以产业园区为单元，园区内龙头企业与基地</w:t>
      </w:r>
      <w:r>
        <w:rPr>
          <w:rFonts w:hint="default" w:ascii="Times New Roman" w:hAnsi="Times New Roman" w:eastAsia="仿宋_GB2312" w:cs="Times New Roman"/>
          <w:color w:val="auto"/>
          <w:sz w:val="32"/>
          <w:szCs w:val="32"/>
          <w:shd w:val="clear" w:color="auto" w:fill="FFFFFF"/>
          <w:lang w:eastAsia="zh-CN"/>
        </w:rPr>
        <w:t>农民专业合作社</w:t>
      </w:r>
      <w:r>
        <w:rPr>
          <w:rFonts w:hint="default" w:ascii="Times New Roman" w:hAnsi="Times New Roman" w:eastAsia="仿宋_GB2312" w:cs="Times New Roman"/>
          <w:color w:val="auto"/>
          <w:sz w:val="32"/>
          <w:szCs w:val="32"/>
          <w:shd w:val="clear" w:color="auto" w:fill="FFFFFF"/>
        </w:rPr>
        <w:t>和农户分工明确、优势互补、风险共担、利益共享的中型产业化联合体。大力发展以龙头企业为引领，</w:t>
      </w:r>
      <w:r>
        <w:rPr>
          <w:rFonts w:hint="default" w:ascii="Times New Roman" w:hAnsi="Times New Roman" w:eastAsia="仿宋_GB2312" w:cs="Times New Roman"/>
          <w:color w:val="auto"/>
          <w:sz w:val="32"/>
          <w:szCs w:val="32"/>
          <w:shd w:val="clear" w:color="auto" w:fill="FFFFFF"/>
          <w:lang w:eastAsia="zh-CN"/>
        </w:rPr>
        <w:t>农民专业合作社</w:t>
      </w:r>
      <w:r>
        <w:rPr>
          <w:rFonts w:hint="default" w:ascii="Times New Roman" w:hAnsi="Times New Roman" w:eastAsia="仿宋_GB2312" w:cs="Times New Roman"/>
          <w:color w:val="auto"/>
          <w:sz w:val="32"/>
          <w:szCs w:val="32"/>
          <w:shd w:val="clear" w:color="auto" w:fill="FFFFFF"/>
        </w:rPr>
        <w:t>和家庭农场跟进，广大小农户参与，采取订单生产、股份合作的小型产业化联合体。</w:t>
      </w:r>
      <w:r>
        <w:rPr>
          <w:rFonts w:hint="default" w:ascii="Times New Roman" w:hAnsi="Times New Roman" w:eastAsia="仿宋_GB2312" w:cs="Times New Roman"/>
          <w:b/>
          <w:bCs/>
          <w:color w:val="auto"/>
          <w:sz w:val="32"/>
          <w:szCs w:val="32"/>
          <w:shd w:val="clear" w:color="auto" w:fill="FFFFFF"/>
        </w:rPr>
        <w:t>二是</w:t>
      </w:r>
      <w:r>
        <w:rPr>
          <w:rFonts w:hint="default" w:ascii="Times New Roman" w:hAnsi="Times New Roman" w:eastAsia="仿宋_GB2312" w:cs="Times New Roman"/>
          <w:color w:val="auto"/>
          <w:sz w:val="32"/>
          <w:szCs w:val="32"/>
          <w:shd w:val="clear" w:color="auto" w:fill="FFFFFF"/>
          <w:lang w:val="zh-CN"/>
        </w:rPr>
        <w:t>发展多类型融合业态。</w:t>
      </w:r>
      <w:r>
        <w:rPr>
          <w:rFonts w:hint="default" w:ascii="Times New Roman" w:hAnsi="Times New Roman" w:eastAsia="仿宋_GB2312" w:cs="Times New Roman"/>
          <w:color w:val="auto"/>
          <w:sz w:val="32"/>
          <w:szCs w:val="32"/>
          <w:shd w:val="clear" w:color="auto" w:fill="FFFFFF"/>
        </w:rPr>
        <w:t>跨界配置农业与现代产业要素深度交叉融合，形成</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农业+</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多业态发展态势。以加工流通带动业态融合，引导发展中央厨房、直供直销、会员农业等业态。以功能拓展带动业态融合，促进农业与文化、旅游、教育、康养、服务等现代产业高位嫁接、交叉重组、渗透融合，积极发展创意农业、亲子体验、功能农业等业态。以信息技术带动业态融合，促进互联网、物联网、区块链、人工智能、5G、生物技术等新一代信息技术与农业融合，发展数字农业、智慧农业、信任农业、认养农业、可视农业等业态。</w:t>
      </w:r>
      <w:r>
        <w:rPr>
          <w:rFonts w:hint="default" w:ascii="Times New Roman" w:hAnsi="Times New Roman" w:eastAsia="仿宋_GB2312" w:cs="Times New Roman"/>
          <w:b/>
          <w:bCs/>
          <w:color w:val="auto"/>
          <w:sz w:val="32"/>
          <w:szCs w:val="32"/>
          <w:shd w:val="clear" w:color="auto" w:fill="FFFFFF"/>
        </w:rPr>
        <w:t>三是</w:t>
      </w:r>
      <w:r>
        <w:rPr>
          <w:rFonts w:hint="default" w:ascii="Times New Roman" w:hAnsi="Times New Roman" w:eastAsia="仿宋_GB2312" w:cs="Times New Roman"/>
          <w:color w:val="auto"/>
          <w:sz w:val="32"/>
          <w:szCs w:val="32"/>
          <w:shd w:val="clear" w:color="auto" w:fill="FFFFFF"/>
          <w:lang w:val="zh-CN"/>
        </w:rPr>
        <w:t>打造产业融合载体。</w:t>
      </w:r>
      <w:r>
        <w:rPr>
          <w:rFonts w:hint="default" w:ascii="Times New Roman" w:hAnsi="Times New Roman" w:eastAsia="仿宋_GB2312" w:cs="Times New Roman"/>
          <w:color w:val="auto"/>
          <w:sz w:val="32"/>
          <w:szCs w:val="32"/>
          <w:shd w:val="clear" w:color="auto" w:fill="FFFFFF"/>
        </w:rPr>
        <w:t>推进政策集成、要素集聚、功能集合、企业集中，建设产业集聚区。依托镇域资源优势，聚集资源要素，健全利益联结机制，建设一批基础条件好、主导产业突出、带动效果显著的农业产业强镇，培育乡村产业</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增长极</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建设乡村产业集群。以资源集聚区和物流节点为重点，促进产业前延后伸、横向配套、上承市场、下接要素，构建紧密关联、高度依存的全产业链，培育生产、加工、流通、物流、体验、品牌、电商于一体的产业集群，打造乡村产业发展高地。</w:t>
      </w:r>
    </w:p>
    <w:p>
      <w:pPr>
        <w:pStyle w:val="31"/>
        <w:spacing w:line="560" w:lineRule="exact"/>
        <w:jc w:val="center"/>
        <w:rPr>
          <w:rFonts w:hint="default" w:ascii="Times New Roman" w:hAnsi="Times New Roman" w:eastAsia="宋体" w:cs="Times New Roman"/>
          <w:b/>
          <w:bCs/>
          <w:color w:val="auto"/>
          <w:kern w:val="2"/>
          <w:sz w:val="28"/>
          <w:szCs w:val="28"/>
        </w:rPr>
      </w:pPr>
      <w:r>
        <w:rPr>
          <w:rFonts w:hint="default" w:ascii="Times New Roman" w:hAnsi="Times New Roman" w:eastAsia="宋体" w:cs="Times New Roman"/>
          <w:b/>
          <w:bCs/>
          <w:color w:val="auto"/>
          <w:sz w:val="28"/>
          <w:szCs w:val="28"/>
        </w:rPr>
        <w:drawing>
          <wp:anchor distT="0" distB="0" distL="114300" distR="114300" simplePos="0" relativeHeight="251659264" behindDoc="0" locked="0" layoutInCell="1" allowOverlap="1">
            <wp:simplePos x="0" y="0"/>
            <wp:positionH relativeFrom="column">
              <wp:posOffset>62230</wp:posOffset>
            </wp:positionH>
            <wp:positionV relativeFrom="paragraph">
              <wp:posOffset>55880</wp:posOffset>
            </wp:positionV>
            <wp:extent cx="5257165" cy="2039620"/>
            <wp:effectExtent l="0" t="0" r="635" b="17780"/>
            <wp:wrapSquare wrapText="bothSides"/>
            <wp:docPr id="35" name="图片 6" descr="IMG_261"/>
            <wp:cNvGraphicFramePr/>
            <a:graphic xmlns:a="http://schemas.openxmlformats.org/drawingml/2006/main">
              <a:graphicData uri="http://schemas.openxmlformats.org/drawingml/2006/picture">
                <pic:pic xmlns:pic="http://schemas.openxmlformats.org/drawingml/2006/picture">
                  <pic:nvPicPr>
                    <pic:cNvPr id="35" name="图片 6" descr="IMG_261"/>
                    <pic:cNvPicPr/>
                  </pic:nvPicPr>
                  <pic:blipFill>
                    <a:blip r:embed="rId20"/>
                    <a:stretch>
                      <a:fillRect/>
                    </a:stretch>
                  </pic:blipFill>
                  <pic:spPr>
                    <a:xfrm>
                      <a:off x="0" y="0"/>
                      <a:ext cx="5257165" cy="2039620"/>
                    </a:xfrm>
                    <a:prstGeom prst="rect">
                      <a:avLst/>
                    </a:prstGeom>
                    <a:noFill/>
                    <a:ln w="9525" cap="flat" cmpd="sng">
                      <a:noFill/>
                      <a:prstDash val="solid"/>
                      <a:round/>
                    </a:ln>
                  </pic:spPr>
                </pic:pic>
              </a:graphicData>
            </a:graphic>
          </wp:anchor>
        </w:drawing>
      </w:r>
      <w:r>
        <w:rPr>
          <w:rStyle w:val="24"/>
          <w:rFonts w:hint="default" w:ascii="Times New Roman" w:hAnsi="Times New Roman" w:eastAsia="宋体" w:cs="Times New Roman"/>
          <w:bCs/>
          <w:color w:val="auto"/>
          <w:sz w:val="28"/>
          <w:szCs w:val="28"/>
        </w:rPr>
        <w:t>生态适宜性乡村产业体系框架图</w:t>
      </w:r>
    </w:p>
    <w:p>
      <w:pPr>
        <w:pStyle w:val="31"/>
        <w:spacing w:line="560" w:lineRule="exact"/>
        <w:ind w:firstLine="642"/>
        <w:jc w:val="both"/>
        <w:rPr>
          <w:rFonts w:hint="default" w:ascii="Times New Roman" w:hAnsi="Times New Roman" w:eastAsia="仿宋" w:cs="Times New Roman"/>
          <w:b/>
          <w:color w:val="auto"/>
          <w:kern w:val="2"/>
          <w:sz w:val="28"/>
          <w:szCs w:val="28"/>
          <w:lang w:val="zh-CN"/>
        </w:rPr>
      </w:pPr>
    </w:p>
    <w:p>
      <w:pPr>
        <w:pStyle w:val="31"/>
        <w:spacing w:line="560" w:lineRule="exact"/>
        <w:ind w:firstLine="642"/>
        <w:jc w:val="both"/>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color w:val="auto"/>
          <w:kern w:val="2"/>
          <w:sz w:val="32"/>
          <w:szCs w:val="32"/>
          <w:lang w:val="zh-CN"/>
        </w:rPr>
        <w:t>1</w:t>
      </w:r>
      <w:r>
        <w:rPr>
          <w:rFonts w:hint="default" w:ascii="Times New Roman" w:hAnsi="Times New Roman" w:eastAsia="仿宋_GB2312" w:cs="Times New Roman"/>
          <w:b/>
          <w:color w:val="auto"/>
          <w:kern w:val="2"/>
          <w:sz w:val="32"/>
          <w:szCs w:val="32"/>
        </w:rPr>
        <w:t>3</w:t>
      </w:r>
      <w:r>
        <w:rPr>
          <w:rFonts w:hint="default" w:ascii="Times New Roman" w:hAnsi="Times New Roman" w:eastAsia="仿宋_GB2312" w:cs="Times New Roman"/>
          <w:b/>
          <w:bCs/>
          <w:color w:val="auto"/>
          <w:sz w:val="32"/>
          <w:szCs w:val="32"/>
        </w:rPr>
        <w:t>.3.2拓展产业融合发展新途径</w:t>
      </w:r>
    </w:p>
    <w:p>
      <w:pPr>
        <w:pStyle w:val="31"/>
        <w:spacing w:line="540" w:lineRule="exact"/>
        <w:ind w:firstLine="641"/>
        <w:jc w:val="both"/>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bCs/>
          <w:color w:val="auto"/>
          <w:sz w:val="32"/>
          <w:szCs w:val="32"/>
          <w:shd w:val="clear" w:color="auto" w:fill="FFFFFF"/>
        </w:rPr>
        <w:t>一是</w:t>
      </w:r>
      <w:r>
        <w:rPr>
          <w:rFonts w:hint="default" w:ascii="Times New Roman" w:hAnsi="Times New Roman" w:eastAsia="仿宋_GB2312" w:cs="Times New Roman"/>
          <w:color w:val="auto"/>
          <w:sz w:val="32"/>
          <w:szCs w:val="32"/>
          <w:shd w:val="clear" w:color="auto" w:fill="FFFFFF"/>
        </w:rPr>
        <w:t>努力促进粮经饲种养融合发展。推进农业内部种养融合，有利于种养殖业物质循环、能量循环和生态循环。坚持以种定养、以养定种，调整种植业内部结构，推广</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生态养殖+沼气工程+绿色种植</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、林下种养、稻渔种养等发展模式，加快建成一批粮经饲统筹、农牧渔结合的种养循环基地和鱼米之乡，加快推进现代农业生态循环示范县、示范区建设，争创成渝双城经济圈现代农业种养循环绿色发展先行区。</w:t>
      </w:r>
      <w:r>
        <w:rPr>
          <w:rFonts w:hint="default" w:ascii="Times New Roman" w:hAnsi="Times New Roman" w:eastAsia="仿宋_GB2312" w:cs="Times New Roman"/>
          <w:b/>
          <w:bCs/>
          <w:color w:val="auto"/>
          <w:sz w:val="32"/>
          <w:szCs w:val="32"/>
          <w:shd w:val="clear" w:color="auto" w:fill="FFFFFF"/>
        </w:rPr>
        <w:t>二是</w:t>
      </w:r>
      <w:r>
        <w:rPr>
          <w:rFonts w:hint="default" w:ascii="Times New Roman" w:hAnsi="Times New Roman" w:eastAsia="仿宋_GB2312" w:cs="Times New Roman"/>
          <w:color w:val="auto"/>
          <w:sz w:val="32"/>
          <w:szCs w:val="32"/>
          <w:shd w:val="clear" w:color="auto" w:fill="FFFFFF"/>
        </w:rPr>
        <w:t>努力促进原产地农工贸融合发展。围绕优质粮油、生态畜禽、绿色有机果蔬、道地中药材等6大优势特色产业，在农业园区基地大力支持龙头企业、家庭农场、农民专业合作社建设一批产地初加工设施，开展清洁、挑选、榨汁、烘干、保鲜、包装、贴牌、储藏等商品化处理，提高农产品附加值，改变过去在田头路边</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披头散发</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卖的现象，尽可能把农产品增值收益留在乡村、留给农民。在县域内积极发展品种专用、生产定制、产销对路的精深加工和主食加工新模式，推动传统加工技艺与现代食品工艺、现代消费方式有机融合。支持各类主体加快建设新型烘干冷链基础设施，建立完善集农产品烘干冷藏、流通加工、集散批发、线上线下销售等功能于一体的现代农产品贸易服务体系。</w:t>
      </w:r>
      <w:r>
        <w:rPr>
          <w:rFonts w:hint="default" w:ascii="Times New Roman" w:hAnsi="Times New Roman" w:eastAsia="仿宋_GB2312" w:cs="Times New Roman"/>
          <w:b/>
          <w:bCs/>
          <w:color w:val="auto"/>
          <w:sz w:val="32"/>
          <w:szCs w:val="32"/>
          <w:shd w:val="clear" w:color="auto" w:fill="FFFFFF"/>
        </w:rPr>
        <w:t>三是</w:t>
      </w:r>
      <w:r>
        <w:rPr>
          <w:rFonts w:hint="default" w:ascii="Times New Roman" w:hAnsi="Times New Roman" w:eastAsia="仿宋_GB2312" w:cs="Times New Roman"/>
          <w:color w:val="auto"/>
          <w:sz w:val="32"/>
          <w:szCs w:val="32"/>
          <w:shd w:val="clear" w:color="auto" w:fill="FFFFFF"/>
        </w:rPr>
        <w:t>努力促进农文旅体养融合发展。建立健全乡村聚</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人气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、聚</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财气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的体制机制，让资本、人才流向乡村、留在乡村。探索建立新型职业农民制度，引导农民工、大学生、退伍军人和工商资本返乡下乡，与村集体经济组织、</w:t>
      </w:r>
      <w:r>
        <w:rPr>
          <w:rFonts w:hint="default" w:ascii="Times New Roman" w:hAnsi="Times New Roman" w:eastAsia="仿宋_GB2312" w:cs="Times New Roman"/>
          <w:color w:val="auto"/>
          <w:sz w:val="32"/>
          <w:szCs w:val="32"/>
          <w:shd w:val="clear" w:color="auto" w:fill="FFFFFF"/>
          <w:lang w:eastAsia="zh-CN"/>
        </w:rPr>
        <w:t>农民专业合作社</w:t>
      </w:r>
      <w:r>
        <w:rPr>
          <w:rFonts w:hint="default" w:ascii="Times New Roman" w:hAnsi="Times New Roman" w:eastAsia="仿宋_GB2312" w:cs="Times New Roman"/>
          <w:color w:val="auto"/>
          <w:sz w:val="32"/>
          <w:szCs w:val="32"/>
          <w:shd w:val="clear" w:color="auto" w:fill="FFFFFF"/>
        </w:rPr>
        <w:t>、农户开展联合合作，共同发展农文旅体养跨界融合的新产业、新业态。大力发展休闲农业，开展省级农业主题公园创建、休闲农业重点村建设。大力发展康养农业，充分利用森林、中药、花卉等资源，发展森林康养、田园养生、运动康养等大健康产业。大力发展创意农业，依托农业文化遗产资源，建设以农耕文化、特色农产品为主题的农业文创小镇、特色村落，发展家庭工场、手工作坊，实现园区变景区、田园变公园、家园变花园、农房变客房、产品变商品。坚持统筹城乡发展，率先把沿线、沿江、沿界区域</w:t>
      </w:r>
      <w:r>
        <w:rPr>
          <w:rFonts w:hint="default" w:ascii="Times New Roman" w:hAnsi="Times New Roman" w:eastAsia="仿宋_GB2312" w:cs="Times New Roman"/>
          <w:color w:val="auto"/>
          <w:kern w:val="2"/>
          <w:sz w:val="32"/>
          <w:szCs w:val="32"/>
          <w:lang w:val="en-US" w:eastAsia="zh-CN" w:bidi="ar-SA"/>
        </w:rPr>
        <w:t>建设成为</w:t>
      </w:r>
      <w:r>
        <w:rPr>
          <w:rFonts w:hint="default" w:ascii="Times New Roman" w:hAnsi="Times New Roman" w:eastAsia="仿宋_GB2312" w:cs="Times New Roman"/>
          <w:color w:val="auto"/>
          <w:sz w:val="32"/>
          <w:szCs w:val="32"/>
          <w:shd w:val="clear" w:color="auto" w:fill="FFFFFF"/>
        </w:rPr>
        <w:t>农业高质高效、乡村美丽宜居示范带。</w:t>
      </w:r>
      <w:r>
        <w:rPr>
          <w:rFonts w:hint="default" w:ascii="Times New Roman" w:hAnsi="Times New Roman" w:eastAsia="仿宋_GB2312" w:cs="Times New Roman"/>
          <w:b/>
          <w:bCs/>
          <w:color w:val="auto"/>
          <w:sz w:val="32"/>
          <w:szCs w:val="32"/>
          <w:shd w:val="clear" w:color="auto" w:fill="FFFFFF"/>
        </w:rPr>
        <w:t>四是</w:t>
      </w:r>
      <w:r>
        <w:rPr>
          <w:rFonts w:hint="default" w:ascii="Times New Roman" w:hAnsi="Times New Roman" w:eastAsia="仿宋_GB2312" w:cs="Times New Roman"/>
          <w:color w:val="auto"/>
          <w:sz w:val="32"/>
          <w:szCs w:val="32"/>
          <w:shd w:val="clear" w:color="auto" w:fill="FFFFFF"/>
        </w:rPr>
        <w:t>努力促进农艺农机融合</w:t>
      </w:r>
      <w:r>
        <w:rPr>
          <w:rFonts w:hint="default" w:ascii="Times New Roman" w:hAnsi="Times New Roman" w:eastAsia="仿宋_GB2312" w:cs="Times New Roman"/>
          <w:color w:val="auto"/>
          <w:kern w:val="2"/>
          <w:sz w:val="32"/>
          <w:szCs w:val="32"/>
          <w:lang w:val="en-US" w:eastAsia="zh-CN" w:bidi="ar-SA"/>
        </w:rPr>
        <w:t>发展。“五良”融合是</w:t>
      </w:r>
      <w:r>
        <w:rPr>
          <w:rFonts w:hint="default" w:ascii="Times New Roman" w:hAnsi="Times New Roman" w:eastAsia="仿宋_GB2312" w:cs="Times New Roman"/>
          <w:color w:val="auto"/>
          <w:sz w:val="32"/>
          <w:szCs w:val="32"/>
          <w:shd w:val="clear" w:color="auto" w:fill="FFFFFF"/>
        </w:rPr>
        <w:t>农艺农机融合发展的基本要求，在丘区农业机械化上求突破，推进高标准农田建设，开展田型调整、小田并大田，解决耕地</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碎片化</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，真正达到</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旱涝保收、宜机作业</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的标准。积极推广使用丘陵地区家庭农场和小农户作业的小型农机以及适应特色作物生产、特产养殖需要的高效专用农机，探索建立</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企业+科研院所+合作社+基地+农户</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的产学研推用模式，促进种养加、粮经饲全程全面机械化、数字化、智能化。到2025年，创建国家或省级农村产业融合发展示范园1—3个。</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551" w:name="_Toc18775"/>
      <w:bookmarkStart w:id="552" w:name="_Toc22951"/>
      <w:bookmarkStart w:id="553" w:name="_Toc8753"/>
      <w:bookmarkStart w:id="554" w:name="_Toc6148"/>
      <w:bookmarkStart w:id="555" w:name="_Toc15115"/>
      <w:bookmarkStart w:id="556" w:name="_Toc1921"/>
      <w:bookmarkStart w:id="557" w:name="_Toc371"/>
      <w:bookmarkStart w:id="558" w:name="_Toc24500"/>
      <w:r>
        <w:rPr>
          <w:rFonts w:hint="default" w:ascii="Times New Roman" w:hAnsi="Times New Roman" w:eastAsia="仿宋_GB2312" w:cs="Times New Roman"/>
          <w:b/>
          <w:color w:val="auto"/>
          <w:sz w:val="32"/>
          <w:szCs w:val="32"/>
          <w:lang w:val="zh-CN"/>
        </w:rPr>
        <w:t>1</w:t>
      </w:r>
      <w:r>
        <w:rPr>
          <w:rFonts w:hint="default" w:ascii="Times New Roman" w:hAnsi="Times New Roman" w:eastAsia="仿宋_GB2312" w:cs="Times New Roman"/>
          <w:b/>
          <w:color w:val="auto"/>
          <w:sz w:val="32"/>
          <w:szCs w:val="32"/>
        </w:rPr>
        <w:t>3</w:t>
      </w:r>
      <w:r>
        <w:rPr>
          <w:rFonts w:hint="default" w:ascii="Times New Roman" w:hAnsi="Times New Roman" w:eastAsia="仿宋_GB2312" w:cs="Times New Roman"/>
          <w:b/>
          <w:color w:val="auto"/>
          <w:sz w:val="32"/>
          <w:szCs w:val="32"/>
          <w:lang w:val="zh-CN"/>
        </w:rPr>
        <w:t>.4重点推进富民强村产业</w:t>
      </w:r>
      <w:bookmarkEnd w:id="551"/>
      <w:bookmarkEnd w:id="552"/>
      <w:bookmarkEnd w:id="553"/>
      <w:bookmarkEnd w:id="554"/>
      <w:bookmarkEnd w:id="555"/>
      <w:bookmarkEnd w:id="556"/>
      <w:bookmarkEnd w:id="557"/>
      <w:bookmarkEnd w:id="558"/>
    </w:p>
    <w:p>
      <w:pPr>
        <w:pStyle w:val="31"/>
        <w:spacing w:line="560" w:lineRule="exact"/>
        <w:ind w:firstLine="643" w:firstLineChars="200"/>
        <w:jc w:val="both"/>
        <w:rPr>
          <w:rFonts w:hint="default" w:ascii="Times New Roman" w:hAnsi="Times New Roman" w:eastAsia="仿宋_GB2312" w:cs="Times New Roman"/>
          <w:color w:val="auto"/>
          <w:sz w:val="32"/>
          <w:szCs w:val="32"/>
          <w:shd w:val="clear" w:color="auto" w:fill="FFFFFF"/>
          <w:lang w:val="zh-CN"/>
        </w:rPr>
      </w:pPr>
      <w:r>
        <w:rPr>
          <w:rFonts w:hint="default" w:ascii="Times New Roman" w:hAnsi="Times New Roman" w:eastAsia="仿宋_GB2312" w:cs="Times New Roman"/>
          <w:b/>
          <w:color w:val="auto"/>
          <w:kern w:val="2"/>
          <w:sz w:val="32"/>
          <w:szCs w:val="32"/>
          <w:lang w:val="zh-CN"/>
        </w:rPr>
        <w:t>1</w:t>
      </w:r>
      <w:r>
        <w:rPr>
          <w:rFonts w:hint="default" w:ascii="Times New Roman" w:hAnsi="Times New Roman" w:eastAsia="仿宋_GB2312" w:cs="Times New Roman"/>
          <w:b/>
          <w:color w:val="auto"/>
          <w:kern w:val="2"/>
          <w:sz w:val="32"/>
          <w:szCs w:val="32"/>
        </w:rPr>
        <w:t>3</w:t>
      </w:r>
      <w:r>
        <w:rPr>
          <w:rFonts w:hint="default" w:ascii="Times New Roman" w:hAnsi="Times New Roman" w:eastAsia="仿宋_GB2312" w:cs="Times New Roman"/>
          <w:b/>
          <w:bCs/>
          <w:color w:val="auto"/>
          <w:sz w:val="32"/>
          <w:szCs w:val="32"/>
        </w:rPr>
        <w:t>.4.1</w:t>
      </w:r>
      <w:r>
        <w:rPr>
          <w:rFonts w:hint="default" w:ascii="Times New Roman" w:hAnsi="Times New Roman" w:eastAsia="仿宋_GB2312" w:cs="Times New Roman"/>
          <w:b/>
          <w:bCs/>
          <w:color w:val="auto"/>
          <w:sz w:val="32"/>
          <w:szCs w:val="32"/>
          <w:lang w:val="zh-CN"/>
        </w:rPr>
        <w:t>加快发展村镇特色产业</w:t>
      </w:r>
    </w:p>
    <w:p>
      <w:pPr>
        <w:pStyle w:val="31"/>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zh-CN"/>
        </w:rPr>
      </w:pPr>
      <w:r>
        <w:rPr>
          <w:rFonts w:hint="default" w:ascii="Times New Roman" w:hAnsi="Times New Roman" w:eastAsia="仿宋_GB2312" w:cs="Times New Roman"/>
          <w:color w:val="auto"/>
          <w:sz w:val="32"/>
          <w:szCs w:val="32"/>
          <w:shd w:val="clear" w:color="auto" w:fill="FFFFFF"/>
          <w:lang w:val="zh-CN"/>
        </w:rPr>
        <w:t>以现代农业示范区为平台，大力开展现代生态农业产业化示范创建，着力扩大“一村一品”“一乡一业”专业村镇覆盖面，推动特色农产品规模化经营、标准化生产、品牌化营销，着力提高产业竞争力和效益。引导农业产业化龙头企业向优势产区、特色产区集聚，加快发展农产品产地初加工。推动返乡创业集聚发展</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zh-CN"/>
        </w:rPr>
        <w:t>依托存量资源整合发展农民工返乡创业园</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zh-CN"/>
        </w:rPr>
        <w:t>完善返乡创业公共服务</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zh-CN"/>
        </w:rPr>
        <w:t>引导返乡创业与万众创新对接</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zh-CN"/>
        </w:rPr>
        <w:t>落实相关支持政策。发展现代农业流通服务新业态</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zh-CN"/>
        </w:rPr>
        <w:t>实现农村电子商务向村级延伸和“快递下乡”全覆盖，推进农产品进城、农业生产资料下乡。</w:t>
      </w:r>
      <w:r>
        <w:rPr>
          <w:rFonts w:hint="default" w:ascii="Times New Roman" w:hAnsi="Times New Roman" w:eastAsia="仿宋_GB2312" w:cs="Times New Roman"/>
          <w:color w:val="auto"/>
          <w:sz w:val="32"/>
          <w:szCs w:val="32"/>
          <w:shd w:val="clear" w:color="auto" w:fill="FFFFFF"/>
        </w:rPr>
        <w:t>到2025年，创建国家或省级产业强镇2个以上、市级以上特色产业强村5个。</w:t>
      </w:r>
    </w:p>
    <w:p>
      <w:pPr>
        <w:pStyle w:val="31"/>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color w:val="auto"/>
          <w:kern w:val="2"/>
          <w:sz w:val="32"/>
          <w:szCs w:val="32"/>
          <w:lang w:val="zh-CN"/>
        </w:rPr>
        <w:t>1</w:t>
      </w:r>
      <w:r>
        <w:rPr>
          <w:rFonts w:hint="default" w:ascii="Times New Roman" w:hAnsi="Times New Roman" w:eastAsia="仿宋_GB2312" w:cs="Times New Roman"/>
          <w:b/>
          <w:color w:val="auto"/>
          <w:kern w:val="2"/>
          <w:sz w:val="32"/>
          <w:szCs w:val="32"/>
        </w:rPr>
        <w:t>3</w:t>
      </w:r>
      <w:r>
        <w:rPr>
          <w:rFonts w:hint="default" w:ascii="Times New Roman" w:hAnsi="Times New Roman" w:eastAsia="仿宋_GB2312" w:cs="Times New Roman"/>
          <w:b/>
          <w:bCs/>
          <w:color w:val="auto"/>
          <w:sz w:val="32"/>
          <w:szCs w:val="32"/>
        </w:rPr>
        <w:t>.4.2</w:t>
      </w:r>
      <w:r>
        <w:rPr>
          <w:rFonts w:hint="default" w:ascii="Times New Roman" w:hAnsi="Times New Roman" w:eastAsia="仿宋_GB2312" w:cs="Times New Roman"/>
          <w:b/>
          <w:bCs/>
          <w:color w:val="auto"/>
          <w:sz w:val="32"/>
          <w:szCs w:val="32"/>
          <w:lang w:val="zh-CN"/>
        </w:rPr>
        <w:t>大力实施乡村旅游富民工程</w:t>
      </w:r>
    </w:p>
    <w:p>
      <w:pPr>
        <w:pStyle w:val="31"/>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default" w:ascii="Times New Roman" w:hAnsi="Times New Roman" w:eastAsia="仿宋_GB2312" w:cs="Times New Roman"/>
          <w:color w:val="auto"/>
          <w:sz w:val="32"/>
          <w:szCs w:val="32"/>
          <w:shd w:val="clear" w:color="auto" w:fill="FFFFFF"/>
          <w:lang w:val="zh-CN"/>
        </w:rPr>
      </w:pPr>
      <w:r>
        <w:rPr>
          <w:rFonts w:hint="default" w:ascii="Times New Roman" w:hAnsi="Times New Roman" w:eastAsia="仿宋_GB2312" w:cs="Times New Roman"/>
          <w:color w:val="auto"/>
          <w:sz w:val="32"/>
          <w:szCs w:val="32"/>
          <w:shd w:val="clear" w:color="auto" w:fill="FFFFFF"/>
          <w:lang w:val="zh-CN"/>
        </w:rPr>
        <w:t>以中心村为节点，围绕现有乡村旅游景点、名胜古迹，以发展休闲农业、乡村旅游为纽带，打造丘陵、水网等各具特色和魅力的美丽乡村示范带、示范片，形成以乡村旅游为主体的全域旅游发展示范区，</w:t>
      </w:r>
      <w:r>
        <w:rPr>
          <w:rFonts w:hint="default" w:ascii="Times New Roman" w:hAnsi="Times New Roman" w:eastAsia="仿宋_GB2312" w:cs="Times New Roman"/>
          <w:color w:val="auto"/>
          <w:sz w:val="32"/>
          <w:szCs w:val="32"/>
          <w:shd w:val="clear" w:color="auto" w:fill="FFFFFF"/>
        </w:rPr>
        <w:t>重点打造一批市级以上乡村旅游重点村</w:t>
      </w:r>
      <w:r>
        <w:rPr>
          <w:rFonts w:hint="default" w:ascii="Times New Roman" w:hAnsi="Times New Roman" w:eastAsia="仿宋_GB2312" w:cs="Times New Roman"/>
          <w:color w:val="auto"/>
          <w:sz w:val="32"/>
          <w:szCs w:val="32"/>
          <w:shd w:val="clear" w:color="auto" w:fill="FFFFFF"/>
          <w:lang w:val="zh-CN"/>
        </w:rPr>
        <w:t>。开发建设特色民宿等乡村旅游产品，加强休闲农业和乡村旅游特色村的基础设施和公共服务设施建设，推进美丽乡村与乡村旅游业相互促进、共同发展，带动农民增收致富。扶持困难群众开展旅游创业就业，建立景区与周边落后村、低收入户的利益联结机制，让低收入户从旅游业发展中获得稳定收益。</w:t>
      </w:r>
      <w:r>
        <w:rPr>
          <w:rFonts w:hint="default" w:ascii="Times New Roman" w:hAnsi="Times New Roman" w:eastAsia="仿宋_GB2312" w:cs="Times New Roman"/>
          <w:color w:val="auto"/>
          <w:sz w:val="32"/>
          <w:szCs w:val="32"/>
          <w:shd w:val="clear" w:color="auto" w:fill="FFFFFF"/>
        </w:rPr>
        <w:t>到2025年，村旅游收入（基本包括除货物运输、教育、医疗以外全部第三产业收入）超过1亿元的行政村1个，村旅游收入超过5000万元的行政村3个，村旅游收入超过1000万元的行政村10个，村旅游收入超过500万元的行政村20个；全县农村居民从乡村旅游中获取的纯收入人均超过2000元（按户籍人口计算）。</w:t>
      </w:r>
    </w:p>
    <w:p>
      <w:pPr>
        <w:pStyle w:val="31"/>
        <w:spacing w:line="560" w:lineRule="exact"/>
        <w:ind w:firstLine="641"/>
        <w:jc w:val="both"/>
        <w:rPr>
          <w:rFonts w:hint="default" w:ascii="Times New Roman" w:hAnsi="Times New Roman" w:eastAsia="仿宋_GB2312" w:cs="Times New Roman"/>
          <w:color w:val="auto"/>
          <w:sz w:val="32"/>
          <w:szCs w:val="32"/>
          <w:shd w:val="clear" w:color="auto" w:fill="FFFFFF"/>
          <w:lang w:val="zh-CN"/>
        </w:rPr>
      </w:pPr>
      <w:r>
        <w:rPr>
          <w:rFonts w:hint="default" w:ascii="Times New Roman" w:hAnsi="Times New Roman" w:eastAsia="仿宋_GB2312" w:cs="Times New Roman"/>
          <w:b/>
          <w:color w:val="auto"/>
          <w:kern w:val="2"/>
          <w:sz w:val="32"/>
          <w:szCs w:val="32"/>
          <w:lang w:val="zh-CN"/>
        </w:rPr>
        <w:t>1</w:t>
      </w:r>
      <w:r>
        <w:rPr>
          <w:rFonts w:hint="default" w:ascii="Times New Roman" w:hAnsi="Times New Roman" w:eastAsia="仿宋_GB2312" w:cs="Times New Roman"/>
          <w:b/>
          <w:color w:val="auto"/>
          <w:kern w:val="2"/>
          <w:sz w:val="32"/>
          <w:szCs w:val="32"/>
        </w:rPr>
        <w:t>3</w:t>
      </w:r>
      <w:r>
        <w:rPr>
          <w:rFonts w:hint="default" w:ascii="Times New Roman" w:hAnsi="Times New Roman" w:eastAsia="仿宋_GB2312" w:cs="Times New Roman"/>
          <w:b/>
          <w:bCs/>
          <w:color w:val="auto"/>
          <w:sz w:val="32"/>
          <w:szCs w:val="32"/>
        </w:rPr>
        <w:t>.4.3发展新型农村集体经济</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积极探索乡村集体经济发展的实现形式、有效途径和运行机制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zh-CN"/>
        </w:rPr>
        <w:t>不断解放和发展农村社会生产力。</w:t>
      </w:r>
      <w:r>
        <w:rPr>
          <w:rFonts w:hint="default" w:ascii="Times New Roman" w:hAnsi="Times New Roman" w:eastAsia="仿宋_GB2312" w:cs="Times New Roman"/>
          <w:color w:val="auto"/>
          <w:sz w:val="32"/>
          <w:szCs w:val="32"/>
        </w:rPr>
        <w:t>探索构建村集体经济组织、供销合作社、农民专合社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融合机制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有序推进村集体经济融合发展。</w:t>
      </w:r>
      <w:r>
        <w:rPr>
          <w:rFonts w:hint="default" w:ascii="Times New Roman" w:hAnsi="Times New Roman" w:eastAsia="仿宋_GB2312" w:cs="Times New Roman"/>
          <w:color w:val="auto"/>
          <w:sz w:val="32"/>
          <w:szCs w:val="32"/>
          <w:lang w:val="zh-CN"/>
        </w:rPr>
        <w:t>支持村级集体经济组织大力发展物业经济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zh-CN"/>
        </w:rPr>
        <w:t>扎实推进农村“资源变资产、资金变股金、农民变股东”改革试点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zh-CN"/>
        </w:rPr>
        <w:t>探索财政投入到设施农业、光伏发电、乡村旅游等项目资金直接转为村集体股金或以形成的经营性资产折股量化为村集体股金，以入股分红、固定回报等方式，增加村集体收入，补助中心村建设、环境整治和长效管护，努力走出一条既有投入又有产出的美丽乡村建设可持续发展之路。</w:t>
      </w:r>
      <w:r>
        <w:rPr>
          <w:rFonts w:hint="default" w:ascii="Times New Roman" w:hAnsi="Times New Roman" w:eastAsia="仿宋_GB2312" w:cs="Times New Roman"/>
          <w:color w:val="auto"/>
          <w:sz w:val="32"/>
          <w:szCs w:val="32"/>
        </w:rPr>
        <w:t>到2025年，村集体经营性收入超过100万元的行政村1个，村集体经营性收入超过50万元的行政村3个，村集体经营性收入超过20万元的行政村10个（原则上每个镇街1个），村集体经营性收入超过15万元的行政村20个（原则上每个镇街2个），村集体经营性收入超过10万元的行政村50个以上（原则上每个镇街5个）。</w:t>
      </w:r>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mn-Mong-CN" w:bidi="mn-Mong-CN"/>
        </w:rPr>
      </w:pPr>
      <w:bookmarkStart w:id="559" w:name="_Toc29552"/>
      <w:bookmarkStart w:id="560" w:name="_Toc17436"/>
      <w:bookmarkStart w:id="561" w:name="_Toc27886"/>
      <w:bookmarkStart w:id="562" w:name="_Toc15088"/>
      <w:bookmarkStart w:id="563" w:name="_Toc17821"/>
      <w:bookmarkStart w:id="564" w:name="_Toc28744"/>
      <w:bookmarkStart w:id="565" w:name="_Toc15927"/>
      <w:bookmarkStart w:id="566" w:name="_Toc14101"/>
      <w:r>
        <w:rPr>
          <w:rFonts w:hint="default" w:ascii="Times New Roman" w:hAnsi="Times New Roman" w:eastAsia="黑体" w:cs="Times New Roman"/>
          <w:color w:val="auto"/>
          <w:kern w:val="0"/>
          <w:sz w:val="32"/>
          <w:szCs w:val="32"/>
          <w:lang w:val="mn-Mong-CN" w:bidi="mn-Mong-CN"/>
        </w:rPr>
        <w:t>第十四章  推进乡村治理现代化建设</w:t>
      </w:r>
      <w:bookmarkEnd w:id="559"/>
      <w:bookmarkEnd w:id="560"/>
      <w:bookmarkEnd w:id="561"/>
      <w:bookmarkEnd w:id="562"/>
      <w:bookmarkEnd w:id="563"/>
      <w:bookmarkEnd w:id="564"/>
      <w:bookmarkEnd w:id="565"/>
      <w:bookmarkEnd w:id="566"/>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567" w:name="_Toc26079"/>
      <w:bookmarkStart w:id="568" w:name="_Toc21889"/>
      <w:bookmarkStart w:id="569" w:name="_Toc1102"/>
      <w:bookmarkStart w:id="570" w:name="_Toc12014"/>
      <w:bookmarkStart w:id="571" w:name="_Toc10327"/>
      <w:bookmarkStart w:id="572" w:name="_Toc29747"/>
      <w:bookmarkStart w:id="573" w:name="_Toc4890"/>
      <w:bookmarkStart w:id="574" w:name="_Toc15538"/>
      <w:r>
        <w:rPr>
          <w:rFonts w:hint="default" w:ascii="Times New Roman" w:hAnsi="Times New Roman" w:eastAsia="仿宋_GB2312" w:cs="Times New Roman"/>
          <w:b/>
          <w:color w:val="auto"/>
          <w:sz w:val="32"/>
          <w:szCs w:val="32"/>
          <w:lang w:val="zh-CN"/>
        </w:rPr>
        <w:t>1</w:t>
      </w:r>
      <w:r>
        <w:rPr>
          <w:rFonts w:hint="default" w:ascii="Times New Roman" w:hAnsi="Times New Roman" w:eastAsia="仿宋_GB2312" w:cs="Times New Roman"/>
          <w:b/>
          <w:color w:val="auto"/>
          <w:sz w:val="32"/>
          <w:szCs w:val="32"/>
        </w:rPr>
        <w:t>4</w:t>
      </w:r>
      <w:r>
        <w:rPr>
          <w:rFonts w:hint="default" w:ascii="Times New Roman" w:hAnsi="Times New Roman" w:eastAsia="仿宋_GB2312" w:cs="Times New Roman"/>
          <w:b/>
          <w:color w:val="auto"/>
          <w:sz w:val="32"/>
          <w:szCs w:val="32"/>
          <w:lang w:val="zh-CN"/>
        </w:rPr>
        <w:t>.1完善村党领导乡村治理的体制机制</w:t>
      </w:r>
      <w:bookmarkEnd w:id="567"/>
      <w:bookmarkEnd w:id="568"/>
      <w:bookmarkEnd w:id="569"/>
      <w:bookmarkEnd w:id="570"/>
      <w:bookmarkEnd w:id="571"/>
      <w:bookmarkEnd w:id="572"/>
      <w:bookmarkEnd w:id="573"/>
      <w:bookmarkEnd w:id="574"/>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建立以基层党组织为领导、村民自治组织和村务监督组织为基础、集体经济组织和农民专业合作社为纽带、其他经济社会组织为补充的村级组织体系，全面推进村（社区）党组织书记和主任“一肩挑”。村民委员会要履行基层群众性自治组织功能，增强村民自我管理、自我教育、自我服务能力。村务监督委员会要发挥在村务决策和公开、财产管理、工程项目建设、惠农政策措施落实等事项上的监督作用。集体经济组织要发挥在管理集体资产、合理开发集体资源、服务集体成员等方面的作用。农民专业合作社和其他经济社会组织要依照国家法律和各自章程充分行使职权。村党组织书记原则上不担任村级集体经济组织、合作经济组织负责人，村“两委”班子成员可交叉任职。村务监督委员会主任一般由党员担任，可以由非村民委员会成员的村党组织班子成员兼任。村民委员会成员、村民代表中党员应当占一定比例。健全村级重要事项、重大问题由村党组织研究讨论机制，全面落实“四议两公开”。加强基本队伍、基本活动、基本阵地、基本制度、基本保障建设，实施村党组织带头人整体优化提升行动，整乡推进、整县提升，发展壮大村级集体经济。坚持抓乡促村，落实县乡党委抓农村基层党组织建设和乡村治理的主体责任。健全以财政投入为主的稳定的村级组织运转经费保障制度。发挥党员在乡村治理中的先锋模范作用。组织党员在议事决策中宣传党的主张，执行党组织决定。推动党员在乡村治理中带头示范，带动群众全面参与。密切党员与群众的联系，了解群众思想状况，帮助解决实际困难，加强对低收入户、低保对象、留守儿童和妇女、老年人、残疾人、特困人员等人群的关爱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zh-CN"/>
        </w:rPr>
        <w:t>引导农民群众自觉听党话、感党恩、跟党走。</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575" w:name="_Toc20354"/>
      <w:bookmarkStart w:id="576" w:name="_Toc2353"/>
      <w:bookmarkStart w:id="577" w:name="_Toc28487"/>
      <w:bookmarkStart w:id="578" w:name="_Toc6584"/>
      <w:bookmarkStart w:id="579" w:name="_Toc23638"/>
      <w:bookmarkStart w:id="580" w:name="_Toc17592"/>
      <w:bookmarkStart w:id="581" w:name="_Toc7942"/>
      <w:bookmarkStart w:id="582" w:name="_Toc517"/>
      <w:r>
        <w:rPr>
          <w:rFonts w:hint="default" w:ascii="Times New Roman" w:hAnsi="Times New Roman" w:eastAsia="仿宋_GB2312" w:cs="Times New Roman"/>
          <w:b/>
          <w:color w:val="auto"/>
          <w:sz w:val="32"/>
          <w:szCs w:val="32"/>
          <w:lang w:val="zh-CN"/>
        </w:rPr>
        <w:t>1</w:t>
      </w:r>
      <w:r>
        <w:rPr>
          <w:rFonts w:hint="default" w:ascii="Times New Roman" w:hAnsi="Times New Roman" w:eastAsia="仿宋_GB2312" w:cs="Times New Roman"/>
          <w:b/>
          <w:color w:val="auto"/>
          <w:sz w:val="32"/>
          <w:szCs w:val="32"/>
        </w:rPr>
        <w:t>4</w:t>
      </w:r>
      <w:r>
        <w:rPr>
          <w:rFonts w:hint="default" w:ascii="Times New Roman" w:hAnsi="Times New Roman" w:eastAsia="仿宋_GB2312" w:cs="Times New Roman"/>
          <w:b/>
          <w:color w:val="auto"/>
          <w:sz w:val="32"/>
          <w:szCs w:val="32"/>
          <w:lang w:val="zh-CN"/>
        </w:rPr>
        <w:t>.2创新村民自治有效机制</w:t>
      </w:r>
      <w:bookmarkEnd w:id="575"/>
      <w:bookmarkEnd w:id="576"/>
      <w:bookmarkEnd w:id="577"/>
      <w:bookmarkEnd w:id="578"/>
      <w:bookmarkEnd w:id="579"/>
      <w:bookmarkEnd w:id="580"/>
      <w:bookmarkEnd w:id="581"/>
      <w:bookmarkEnd w:id="582"/>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建设美丽村庄，村民自治能力是基础。</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lang w:val="zh-CN"/>
        </w:rPr>
        <w:t>规范村级组织工作事务。逐步清理和减少村级行政事务、检查评比事项，实行目录清单、审核备案等管理方式，切实减轻村级组织负担。规范村级各种工作台账和各类盖章证明事项。推广村级基础台账电子化，建立统一的“智慧村庄”综合管理服务平台。</w:t>
      </w:r>
      <w:r>
        <w:rPr>
          <w:rFonts w:hint="default" w:ascii="Times New Roman" w:hAnsi="Times New Roman" w:eastAsia="仿宋_GB2312" w:cs="Times New Roman"/>
          <w:b/>
          <w:bCs/>
          <w:color w:val="auto"/>
          <w:sz w:val="32"/>
          <w:szCs w:val="32"/>
          <w:lang w:val="zh-CN"/>
        </w:rPr>
        <w:t>二是</w:t>
      </w:r>
      <w:r>
        <w:rPr>
          <w:rFonts w:hint="default" w:ascii="Times New Roman" w:hAnsi="Times New Roman" w:eastAsia="仿宋_GB2312" w:cs="Times New Roman"/>
          <w:color w:val="auto"/>
          <w:sz w:val="32"/>
          <w:szCs w:val="32"/>
        </w:rPr>
        <w:t>增强村民自治组织能力。健全党组织领导的村民自治机制，完善村民（代表）会议制度，推进民主选举、民主协商、民主决策、民主管理、民主监督实践，拓展村民参与村级公共事务平台，发展壮大治保会等群防群治力量，充分发挥村民委员会、群防群治力量在公共事务和公益事业办理、民间纠纷调解、治安维护协助、社情民意通达等方面的作用，积极发挥服务性、公益性、互助性社区社会组织作用。</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丰富村民议事协商形式。健全村级议事协商制度，形成民事民议、民事民办、民事民管的多层次基层协商格局。创新协商议事形式和活动载体，依托村民会议、村民代表会议、村民议事会、村民理事会、村民监事会等，鼓励农村开展村民说事、民情恳谈、百姓议事、妇女议事等各类协商活动。到2025年，创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民主协商示范村（社区）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50个以上（每镇街5个以上）。</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打造村级事务阳光工程。完善党务、村务、财务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三公开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制度，实现公开经常化、制度化和规范化。推进村级组织建设、公共服务、工程项目等重大事务及时公开，加强群众对村级权力有效监督。探索建立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所有决定村民定、所有决定都签字、所有讨论都参与、所有财务都公开、所有干部不碰钱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等村级事务运行规则</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rPr>
        <w:t>加强农村集体经济组织审计监督，开展村干部任期和离任经济责任审计。根据各地经济发展、文化底蕴等特色，探索建立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政经分离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两委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干部不能与村级集体经济组织领导交叉任职）、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议事会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（充分调动普通党员、群众参政议政积极性）、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三治合一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（自治、法治、德治相融合，自治为本、法治为基、德治为根）、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党建+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互联网+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（集体资产、资金、资源的三资网络平台式监管体系）等乡村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新治理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模式。指导各村（社区）进一步优化村级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小微权力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事项清单和流程图参考模板，厘清和规范村级组织职责权限，让权力事项运行更加规范透明。到2025年，创建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民主监督示范村（社区）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60个以上（每镇街6个以上）。</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583" w:name="_Toc20498"/>
      <w:bookmarkStart w:id="584" w:name="_Toc1329"/>
      <w:bookmarkStart w:id="585" w:name="_Toc11573"/>
      <w:bookmarkStart w:id="586" w:name="_Toc26291"/>
      <w:bookmarkStart w:id="587" w:name="_Toc22123"/>
      <w:bookmarkStart w:id="588" w:name="_Toc1860"/>
      <w:bookmarkStart w:id="589" w:name="_Toc5615"/>
      <w:bookmarkStart w:id="590" w:name="_Toc8100"/>
      <w:r>
        <w:rPr>
          <w:rFonts w:hint="default" w:ascii="Times New Roman" w:hAnsi="Times New Roman" w:eastAsia="仿宋_GB2312" w:cs="Times New Roman"/>
          <w:b/>
          <w:color w:val="auto"/>
          <w:sz w:val="32"/>
          <w:szCs w:val="32"/>
          <w:lang w:val="zh-CN"/>
        </w:rPr>
        <w:t>1</w:t>
      </w:r>
      <w:r>
        <w:rPr>
          <w:rFonts w:hint="default" w:ascii="Times New Roman" w:hAnsi="Times New Roman" w:eastAsia="仿宋_GB2312" w:cs="Times New Roman"/>
          <w:b/>
          <w:color w:val="auto"/>
          <w:sz w:val="32"/>
          <w:szCs w:val="32"/>
        </w:rPr>
        <w:t>4</w:t>
      </w:r>
      <w:r>
        <w:rPr>
          <w:rFonts w:hint="default" w:ascii="Times New Roman" w:hAnsi="Times New Roman" w:eastAsia="仿宋_GB2312" w:cs="Times New Roman"/>
          <w:b/>
          <w:color w:val="auto"/>
          <w:sz w:val="32"/>
          <w:szCs w:val="32"/>
          <w:lang w:val="zh-CN"/>
        </w:rPr>
        <w:t>.3推进农村居民文明素养提升</w:t>
      </w:r>
      <w:bookmarkEnd w:id="583"/>
      <w:bookmarkEnd w:id="584"/>
      <w:bookmarkEnd w:id="585"/>
      <w:bookmarkEnd w:id="586"/>
      <w:bookmarkEnd w:id="587"/>
      <w:bookmarkEnd w:id="588"/>
      <w:bookmarkEnd w:id="589"/>
      <w:bookmarkEnd w:id="590"/>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大力培育和践行社会主义核心价值观，</w:t>
      </w:r>
      <w:r>
        <w:rPr>
          <w:rFonts w:hint="default" w:ascii="Times New Roman" w:hAnsi="Times New Roman" w:eastAsia="仿宋_GB2312" w:cs="Times New Roman"/>
          <w:color w:val="auto"/>
          <w:sz w:val="32"/>
          <w:szCs w:val="32"/>
        </w:rPr>
        <w:t>依法依规修订完善符合本地实际、操作性强的村规民约，引导农民</w:t>
      </w:r>
      <w:r>
        <w:rPr>
          <w:rFonts w:hint="default" w:ascii="Times New Roman" w:hAnsi="Times New Roman" w:eastAsia="仿宋_GB2312" w:cs="Times New Roman"/>
          <w:color w:val="auto"/>
          <w:sz w:val="32"/>
          <w:szCs w:val="32"/>
          <w:lang w:val="zh-CN"/>
        </w:rPr>
        <w:t>养成良好卫生习惯和文明健康生活方式。全域推进文明新风积分激励机制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zh-CN"/>
        </w:rPr>
        <w:t>推进新时代文明实践中心试点建设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zh-CN"/>
        </w:rPr>
        <w:t>鼓励成立村民议事会、道德评议会、禁毒禁赌会、红白理事会等村民自治组织，充分发挥农村知客、新乡贤宣传示范作用，激发群众向善向上的激情和动力，涵育文明乡风。深入挖掘农耕文化蕴含的优秀思想观念、人文精神、道德规范，充分发挥其在凝聚人心、教化群众、淳化民风中的重要作用。</w:t>
      </w:r>
      <w:r>
        <w:rPr>
          <w:rFonts w:hint="default" w:ascii="Times New Roman" w:hAnsi="Times New Roman" w:eastAsia="仿宋_GB2312" w:cs="Times New Roman"/>
          <w:color w:val="auto"/>
          <w:sz w:val="32"/>
          <w:szCs w:val="32"/>
        </w:rPr>
        <w:t>深入开展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文明村镇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星级文明农户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美丽庭院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大英好人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最美村官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五好家庭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等创建评选和先进典型选树活动</w:t>
      </w:r>
      <w:r>
        <w:rPr>
          <w:rFonts w:hint="default" w:ascii="Times New Roman" w:hAnsi="Times New Roman" w:eastAsia="仿宋_GB2312" w:cs="Times New Roman"/>
          <w:color w:val="auto"/>
          <w:sz w:val="32"/>
          <w:szCs w:val="32"/>
          <w:lang w:val="zh-CN"/>
        </w:rPr>
        <w:t>，推动农村移风易俗。到</w:t>
      </w:r>
      <w:r>
        <w:rPr>
          <w:rFonts w:hint="default" w:ascii="Times New Roman" w:hAnsi="Times New Roman" w:eastAsia="仿宋_GB2312" w:cs="Times New Roman"/>
          <w:color w:val="auto"/>
          <w:sz w:val="32"/>
          <w:szCs w:val="32"/>
        </w:rPr>
        <w:t>2025年，</w:t>
      </w:r>
      <w:r>
        <w:rPr>
          <w:rFonts w:hint="default" w:ascii="Times New Roman" w:hAnsi="Times New Roman" w:eastAsia="仿宋_GB2312" w:cs="Times New Roman"/>
          <w:color w:val="auto"/>
          <w:sz w:val="32"/>
          <w:szCs w:val="32"/>
          <w:lang w:val="zh-CN"/>
        </w:rPr>
        <w:t>县</w:t>
      </w:r>
      <w:r>
        <w:rPr>
          <w:rFonts w:hint="default" w:ascii="Times New Roman" w:hAnsi="Times New Roman" w:eastAsia="仿宋_GB2312" w:cs="Times New Roman"/>
          <w:color w:val="auto"/>
          <w:sz w:val="32"/>
          <w:szCs w:val="32"/>
        </w:rPr>
        <w:t>级以上</w:t>
      </w:r>
      <w:r>
        <w:rPr>
          <w:rFonts w:hint="default" w:ascii="Times New Roman" w:hAnsi="Times New Roman" w:eastAsia="仿宋_GB2312" w:cs="Times New Roman"/>
          <w:color w:val="auto"/>
          <w:sz w:val="32"/>
          <w:szCs w:val="32"/>
          <w:lang w:val="zh-CN"/>
        </w:rPr>
        <w:t>文明村镇占比达到</w:t>
      </w:r>
      <w:r>
        <w:rPr>
          <w:rFonts w:hint="default" w:ascii="Times New Roman" w:hAnsi="Times New Roman" w:eastAsia="仿宋_GB2312" w:cs="Times New Roman"/>
          <w:color w:val="auto"/>
          <w:sz w:val="32"/>
          <w:szCs w:val="32"/>
        </w:rPr>
        <w:t>95</w:t>
      </w:r>
      <w:r>
        <w:rPr>
          <w:rFonts w:hint="default" w:ascii="Times New Roman" w:hAnsi="Times New Roman" w:eastAsia="仿宋_GB2312" w:cs="Times New Roman"/>
          <w:color w:val="auto"/>
          <w:sz w:val="32"/>
          <w:szCs w:val="32"/>
          <w:lang w:val="zh-CN"/>
        </w:rPr>
        <w:t>%。</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591" w:name="_Toc26949"/>
      <w:bookmarkStart w:id="592" w:name="_Toc32383"/>
      <w:bookmarkStart w:id="593" w:name="_Toc17818"/>
      <w:bookmarkStart w:id="594" w:name="_Toc5520"/>
      <w:bookmarkStart w:id="595" w:name="_Toc28212"/>
      <w:bookmarkStart w:id="596" w:name="_Toc3829"/>
      <w:bookmarkStart w:id="597" w:name="_Toc18264"/>
      <w:bookmarkStart w:id="598" w:name="_Toc11317"/>
      <w:r>
        <w:rPr>
          <w:rFonts w:hint="default" w:ascii="Times New Roman" w:hAnsi="Times New Roman" w:eastAsia="仿宋_GB2312" w:cs="Times New Roman"/>
          <w:b/>
          <w:color w:val="auto"/>
          <w:sz w:val="32"/>
          <w:szCs w:val="32"/>
          <w:lang w:val="zh-CN"/>
        </w:rPr>
        <w:t>1</w:t>
      </w:r>
      <w:r>
        <w:rPr>
          <w:rFonts w:hint="default" w:ascii="Times New Roman" w:hAnsi="Times New Roman" w:eastAsia="仿宋_GB2312" w:cs="Times New Roman"/>
          <w:b/>
          <w:color w:val="auto"/>
          <w:sz w:val="32"/>
          <w:szCs w:val="32"/>
        </w:rPr>
        <w:t>4</w:t>
      </w:r>
      <w:r>
        <w:rPr>
          <w:rFonts w:hint="default" w:ascii="Times New Roman" w:hAnsi="Times New Roman" w:eastAsia="仿宋_GB2312" w:cs="Times New Roman"/>
          <w:b/>
          <w:color w:val="auto"/>
          <w:sz w:val="32"/>
          <w:szCs w:val="32"/>
          <w:lang w:val="zh-CN"/>
        </w:rPr>
        <w:t>.4加强法治平安乡村建设</w:t>
      </w:r>
      <w:bookmarkEnd w:id="591"/>
      <w:bookmarkEnd w:id="592"/>
      <w:bookmarkEnd w:id="593"/>
      <w:bookmarkEnd w:id="594"/>
      <w:bookmarkEnd w:id="595"/>
      <w:bookmarkEnd w:id="596"/>
      <w:bookmarkEnd w:id="597"/>
      <w:bookmarkEnd w:id="598"/>
      <w:r>
        <w:rPr>
          <w:rFonts w:hint="default" w:ascii="Times New Roman" w:hAnsi="Times New Roman" w:eastAsia="仿宋_GB2312" w:cs="Times New Roman"/>
          <w:b/>
          <w:color w:val="auto"/>
          <w:sz w:val="32"/>
          <w:szCs w:val="32"/>
          <w:lang w:val="zh-CN"/>
        </w:rPr>
        <w:tab/>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加快推进镇（街）社会治安综合治理中心规</w:t>
      </w:r>
      <w:r>
        <w:rPr>
          <w:rFonts w:hint="default" w:ascii="Times New Roman" w:hAnsi="Times New Roman" w:eastAsia="仿宋_GB2312" w:cs="Times New Roman"/>
          <w:color w:val="auto"/>
          <w:sz w:val="32"/>
          <w:szCs w:val="32"/>
          <w:lang w:val="en-US" w:eastAsia="zh-CN"/>
        </w:rPr>
        <w:t>范</w:t>
      </w:r>
      <w:r>
        <w:rPr>
          <w:rFonts w:hint="default" w:ascii="Times New Roman" w:hAnsi="Times New Roman" w:eastAsia="仿宋_GB2312" w:cs="Times New Roman"/>
          <w:color w:val="auto"/>
          <w:sz w:val="32"/>
          <w:szCs w:val="32"/>
        </w:rPr>
        <w:t>化建设和运行</w:t>
      </w:r>
      <w:r>
        <w:rPr>
          <w:rFonts w:hint="default" w:ascii="Times New Roman" w:hAnsi="Times New Roman" w:eastAsia="仿宋_GB2312" w:cs="Times New Roman"/>
          <w:color w:val="auto"/>
          <w:sz w:val="32"/>
          <w:szCs w:val="32"/>
          <w:lang w:val="zh-CN"/>
        </w:rPr>
        <w:t>，大力开展“民主法治示范村”创建，深入开展“法律进乡村”活动，实施农村“法律明白人”培养工程，培育一批以村干部、人民调解员为重点的“法治带头人”。深入开展农村法治宣传教育，基本实现一村一法治文化阵地。大力推行“一村一辅警”机制，深入推进扫黑除恶专项斗争，加强农民群众拒毒防毒宣传教育，依法打击整治毒品违法犯罪活动。依法加大对农村非法宗教活动、邪教活动打击力度，制止利用宗教、邪教干预农村公共事务，加强公共安全视频监控建设联网应用工作。健全农村公共安全体系，强化农村安全生产、防灾减灾救灾、食品、药品、交通、消防等安全管理责任。坚持发展新时代“枫桥经验”，完善多元化农村纠纷解决机制，做到“小事不出村、大事不出乡”。深化平安乡村建设，建立健全农村社会治安防控体系、公共安全体系，推进乡村“雪亮工程”，探索建立“互联网＋网格管理”服务管理模式，提升乡村治理智能化、精细化水平。广泛开展平安教育和社会心理健康服务、婚姻家庭指导服务，健全婚姻家庭、邻里关系、经济往来等民间纠纷的排查调处机制，有效防范“民转刑”案（事）件。探索“院坝调解”机制，加强德治法治自治融合，逐步形成“自己事务自己处理”的社会氛围。加强农村法律服务供给。深入推进公共法律服务实体、热线、网络平台建设，乡镇党委和政府根据需要设立法律顾问和公职律师，落实一村一法律顾问制度，有条件的村可建立公共法律服务工作室；加强涉农法律援助工作，逐步将与农民生产生活紧密相关的事项纳入法律援助补充事项范围。大力开展农村基层微腐败整治，推进农村巡察工作，严厉整治惠农补贴、集体资产管理、土地征收等领域侵害农民利益的不正之风和腐败问题，依法依纪惩处发生在群众身边的腐败问题。加强对农业农村环境污染等重点问题的依法治理。夯实基层应急管理</w:t>
      </w:r>
      <w:r>
        <w:rPr>
          <w:rFonts w:hint="default" w:ascii="Times New Roman" w:hAnsi="Times New Roman" w:eastAsia="仿宋_GB2312" w:cs="Times New Roman"/>
          <w:color w:val="auto"/>
          <w:sz w:val="32"/>
          <w:szCs w:val="32"/>
        </w:rPr>
        <w:t>基础，切实提高乡村应急保障能力</w:t>
      </w:r>
      <w:r>
        <w:rPr>
          <w:rFonts w:hint="default" w:ascii="Times New Roman" w:hAnsi="Times New Roman" w:eastAsia="仿宋_GB2312" w:cs="Times New Roman"/>
          <w:color w:val="auto"/>
          <w:sz w:val="32"/>
          <w:szCs w:val="32"/>
          <w:lang w:val="zh-CN"/>
        </w:rPr>
        <w:t>。到</w:t>
      </w:r>
      <w:r>
        <w:rPr>
          <w:rFonts w:hint="default" w:ascii="Times New Roman" w:hAnsi="Times New Roman" w:eastAsia="仿宋_GB2312" w:cs="Times New Roman"/>
          <w:color w:val="auto"/>
          <w:sz w:val="32"/>
          <w:szCs w:val="32"/>
        </w:rPr>
        <w:t>2025年，争创国家级</w:t>
      </w:r>
      <w:r>
        <w:rPr>
          <w:rFonts w:hint="default" w:ascii="Times New Roman" w:hAnsi="Times New Roman" w:eastAsia="仿宋_GB2312" w:cs="Times New Roman"/>
          <w:color w:val="auto"/>
          <w:sz w:val="32"/>
          <w:szCs w:val="32"/>
          <w:lang w:val="zh-CN"/>
        </w:rPr>
        <w:t>民主法治示范村（社区）</w:t>
      </w:r>
      <w:r>
        <w:rPr>
          <w:rFonts w:hint="default" w:ascii="Times New Roman" w:hAnsi="Times New Roman" w:eastAsia="仿宋_GB2312" w:cs="Times New Roman"/>
          <w:color w:val="auto"/>
          <w:sz w:val="32"/>
          <w:szCs w:val="32"/>
        </w:rPr>
        <w:t>3个，力争实现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六无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（无黑恶、无毒害、无邪教、无命案、无重大安全事故、无群体性事件）平安村（社区）建设达标率100%，争创全国综合减灾示范社区5个。</w:t>
      </w:r>
    </w:p>
    <w:p>
      <w:pPr>
        <w:spacing w:before="312" w:beforeLines="100" w:after="312" w:afterLines="100" w:line="560" w:lineRule="exact"/>
        <w:jc w:val="center"/>
        <w:outlineLvl w:val="0"/>
        <w:rPr>
          <w:rFonts w:hint="default" w:ascii="Times New Roman" w:hAnsi="Times New Roman" w:eastAsia="黑体" w:cs="Times New Roman"/>
          <w:b w:val="0"/>
          <w:bCs w:val="0"/>
          <w:color w:val="auto"/>
          <w:sz w:val="32"/>
          <w:szCs w:val="32"/>
        </w:rPr>
      </w:pPr>
      <w:bookmarkStart w:id="599" w:name="_Toc11777"/>
      <w:bookmarkStart w:id="600" w:name="_Toc24117"/>
      <w:bookmarkStart w:id="601" w:name="_Toc16724"/>
      <w:bookmarkStart w:id="602" w:name="_Toc20047"/>
      <w:bookmarkStart w:id="603" w:name="_Toc2952"/>
      <w:bookmarkStart w:id="604" w:name="_Toc6895"/>
      <w:bookmarkStart w:id="605" w:name="_Toc19707"/>
      <w:bookmarkStart w:id="606" w:name="_Toc18651"/>
      <w:r>
        <w:rPr>
          <w:rFonts w:hint="default" w:ascii="Times New Roman" w:hAnsi="Times New Roman" w:eastAsia="黑体" w:cs="Times New Roman"/>
          <w:b w:val="0"/>
          <w:bCs w:val="0"/>
          <w:color w:val="auto"/>
          <w:sz w:val="32"/>
          <w:szCs w:val="32"/>
        </w:rPr>
        <w:t>第五篇  高水平提升农民获得感</w:t>
      </w:r>
      <w:bookmarkEnd w:id="599"/>
      <w:bookmarkEnd w:id="600"/>
      <w:bookmarkEnd w:id="601"/>
      <w:bookmarkEnd w:id="602"/>
      <w:bookmarkEnd w:id="603"/>
      <w:bookmarkEnd w:id="604"/>
      <w:bookmarkEnd w:id="605"/>
      <w:bookmarkEnd w:id="606"/>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高水平提升农民获得感就必须加快提高农民的素质和收入。农民增收的问题是解决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问题的核心，提高农民素质是增加农民收入的关键，也是建设美丽乡村、实现农业现代化的关键。</w:t>
      </w:r>
    </w:p>
    <w:p>
      <w:pPr>
        <w:spacing w:before="312" w:beforeLines="100" w:after="312" w:afterLines="100" w:line="560" w:lineRule="exact"/>
        <w:jc w:val="center"/>
        <w:outlineLvl w:val="0"/>
        <w:rPr>
          <w:rFonts w:hint="default" w:ascii="Times New Roman" w:hAnsi="Times New Roman" w:eastAsia="黑体" w:cs="Times New Roman"/>
          <w:b w:val="0"/>
          <w:bCs w:val="0"/>
          <w:color w:val="auto"/>
          <w:sz w:val="32"/>
          <w:szCs w:val="32"/>
          <w:lang w:val="mn-Mong-CN"/>
        </w:rPr>
      </w:pPr>
      <w:bookmarkStart w:id="607" w:name="_Toc10462"/>
      <w:bookmarkStart w:id="608" w:name="_Toc2681"/>
      <w:bookmarkStart w:id="609" w:name="_Toc23176"/>
      <w:bookmarkStart w:id="610" w:name="_Toc1147"/>
      <w:bookmarkStart w:id="611" w:name="_Toc30431"/>
      <w:bookmarkStart w:id="612" w:name="_Toc8564"/>
      <w:bookmarkStart w:id="613" w:name="_Toc31952"/>
      <w:bookmarkStart w:id="614" w:name="_Toc21994"/>
      <w:r>
        <w:rPr>
          <w:rFonts w:hint="default" w:ascii="Times New Roman" w:hAnsi="Times New Roman" w:eastAsia="黑体" w:cs="Times New Roman"/>
          <w:b w:val="0"/>
          <w:bCs w:val="0"/>
          <w:color w:val="auto"/>
          <w:sz w:val="32"/>
          <w:szCs w:val="32"/>
          <w:lang w:val="mn-Mong-CN"/>
        </w:rPr>
        <w:t>第十五章  着力提升农民素质</w:t>
      </w:r>
      <w:bookmarkEnd w:id="607"/>
      <w:bookmarkEnd w:id="608"/>
      <w:bookmarkEnd w:id="609"/>
      <w:bookmarkEnd w:id="610"/>
      <w:bookmarkEnd w:id="611"/>
      <w:bookmarkEnd w:id="612"/>
      <w:bookmarkEnd w:id="613"/>
      <w:bookmarkEnd w:id="614"/>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615" w:name="_Toc16044"/>
      <w:bookmarkStart w:id="616" w:name="_Toc11473"/>
      <w:bookmarkStart w:id="617" w:name="_Toc31328"/>
      <w:bookmarkStart w:id="618" w:name="_Toc3684"/>
      <w:bookmarkStart w:id="619" w:name="_Toc24771"/>
      <w:bookmarkStart w:id="620" w:name="_Toc23482"/>
      <w:bookmarkStart w:id="621" w:name="_Toc12193"/>
      <w:bookmarkStart w:id="622" w:name="_Toc27434"/>
      <w:r>
        <w:rPr>
          <w:rFonts w:hint="default" w:ascii="Times New Roman" w:hAnsi="Times New Roman" w:eastAsia="仿宋_GB2312" w:cs="Times New Roman"/>
          <w:b/>
          <w:color w:val="auto"/>
          <w:sz w:val="32"/>
          <w:szCs w:val="32"/>
        </w:rPr>
        <w:t>15.1切实加强农村基础教育</w:t>
      </w:r>
      <w:bookmarkEnd w:id="615"/>
      <w:bookmarkEnd w:id="616"/>
      <w:bookmarkEnd w:id="617"/>
      <w:bookmarkEnd w:id="618"/>
      <w:bookmarkEnd w:id="619"/>
      <w:bookmarkEnd w:id="620"/>
      <w:bookmarkEnd w:id="621"/>
      <w:bookmarkEnd w:id="622"/>
    </w:p>
    <w:p>
      <w:pPr>
        <w:spacing w:line="560" w:lineRule="exact"/>
        <w:ind w:firstLine="640" w:firstLineChars="200"/>
        <w:rPr>
          <w:rFonts w:hint="default" w:ascii="Times New Roman" w:hAnsi="Times New Roman" w:eastAsia="仿宋_GB2312" w:cs="Times New Roman"/>
          <w:color w:val="auto"/>
          <w:sz w:val="32"/>
          <w:szCs w:val="32"/>
        </w:rPr>
      </w:pPr>
      <w:bookmarkStart w:id="623" w:name="_Toc23734"/>
      <w:r>
        <w:rPr>
          <w:rFonts w:hint="default" w:ascii="Times New Roman" w:hAnsi="Times New Roman" w:eastAsia="仿宋_GB2312" w:cs="Times New Roman"/>
          <w:color w:val="auto"/>
          <w:sz w:val="32"/>
          <w:szCs w:val="32"/>
        </w:rPr>
        <w:t>基础教育对于提高农民素质具有奠基作用，农民科学文化、思想政治素质首先得益于基础教育发展。发展和普及九年制义务教育是提高农民素质、培养新型农民的基本条件。</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要认真落实《义务教育法》和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两免一补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等国家政策，确保基础教育公平。</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要继续加大基础教育投入力度，建立健全农村基础教育经费保障机制，新增教育经费要优先用于农村基础教育，加大中小学标准化建设工程投入，全面优化基础教育布局，整体改善农村学校办学条件。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十四五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期间，全县拟撤销教学点10个、调整教学点1个、保留教学点1个，撤销初中4所、小学10所，调整九年一贯制学校初中部2所，合计调整27所；计划实施中小学校幼儿园新建、迁建、改扩建</w:t>
      </w:r>
      <w:r>
        <w:rPr>
          <w:rFonts w:hint="default" w:ascii="Times New Roman" w:hAnsi="Times New Roman" w:eastAsia="仿宋_GB2312" w:cs="Times New Roman"/>
          <w:color w:val="auto"/>
          <w:sz w:val="32"/>
          <w:szCs w:val="32"/>
          <w:lang w:eastAsia="zh-CN"/>
        </w:rPr>
        <w:t>维修改造</w:t>
      </w:r>
      <w:r>
        <w:rPr>
          <w:rFonts w:hint="default" w:ascii="Times New Roman" w:hAnsi="Times New Roman" w:eastAsia="仿宋_GB2312" w:cs="Times New Roman"/>
          <w:color w:val="auto"/>
          <w:sz w:val="32"/>
          <w:szCs w:val="32"/>
        </w:rPr>
        <w:t>项目30余个，新增学位</w:t>
      </w:r>
      <w:r>
        <w:rPr>
          <w:rFonts w:hint="default" w:ascii="Times New Roman" w:hAnsi="Times New Roman" w:eastAsia="仿宋_GB2312" w:cs="Times New Roman"/>
          <w:color w:val="auto"/>
          <w:sz w:val="32"/>
          <w:szCs w:val="32"/>
          <w:lang w:val="en-US" w:eastAsia="zh-CN"/>
        </w:rPr>
        <w:t>9000余</w:t>
      </w:r>
      <w:r>
        <w:rPr>
          <w:rFonts w:hint="default" w:ascii="Times New Roman" w:hAnsi="Times New Roman" w:eastAsia="仿宋_GB2312" w:cs="Times New Roman"/>
          <w:color w:val="auto"/>
          <w:sz w:val="32"/>
          <w:szCs w:val="32"/>
        </w:rPr>
        <w:t>个。到2025年，全县公办幼儿园</w:t>
      </w: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所；公办小学26所，初中8所，九年一贯制学校9所，教学点2个；公办普通高中2所。</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要关注农村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留守儿童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问题，着力解决农村失学辍学现象。</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优化配置，全面提高农村教学质量。加强师资队伍建设，全面推行义务教育阶段教师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县管校聘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，通过健全教师培养、建立教师定期交流制度、科学合理设置农村学校教师岗位等措施，探索制定农村教师生活补助、职称评定指标向农村教师倾斜、开展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最美乡村教师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评选等机制，让农村中小学教师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住得下、留得住、教得好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，不断提高农村学校和薄弱学校的教师执教水平；深入开展教育教学改革，进一步规范义务教育办学行为，严格执行义务教育划片招生、就近入学的政策，严禁使用非正当手段招揽生源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严格执行国家课程方案，按照规定开齐开足全部课程，严禁单纯以分数评价学生和教师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坚决治理中小学校违规补课和乱收费行为，不得以任何名义向学生和家长乱收费；建立和完善市县优秀教师定期对口援教农村学校制度和机制（时间应不少于一年）；探索建立城乡一体化的教师管理体制，实行城乡教师流动管理，建立教师资源共享机制，以强带弱，逐步提升农村学校的办学水平，推动优质教育资源共享，推进农村中小学校均衡发展，不断缩小基础教育城乡差距。</w:t>
      </w:r>
      <w:bookmarkEnd w:id="623"/>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624" w:name="_Toc14167"/>
      <w:bookmarkStart w:id="625" w:name="_Toc10331"/>
      <w:bookmarkStart w:id="626" w:name="_Toc31696"/>
      <w:bookmarkStart w:id="627" w:name="_Toc9904"/>
      <w:bookmarkStart w:id="628" w:name="_Toc3669"/>
      <w:bookmarkStart w:id="629" w:name="_Toc14990"/>
      <w:bookmarkStart w:id="630" w:name="_Toc17890"/>
      <w:bookmarkStart w:id="631" w:name="_Toc13239"/>
      <w:r>
        <w:rPr>
          <w:rFonts w:hint="default" w:ascii="Times New Roman" w:hAnsi="Times New Roman" w:eastAsia="仿宋_GB2312" w:cs="Times New Roman"/>
          <w:b/>
          <w:color w:val="auto"/>
          <w:sz w:val="32"/>
          <w:szCs w:val="32"/>
        </w:rPr>
        <w:t>15.2大力发展农村职业教育</w:t>
      </w:r>
      <w:bookmarkEnd w:id="624"/>
      <w:bookmarkEnd w:id="625"/>
      <w:bookmarkEnd w:id="626"/>
      <w:bookmarkEnd w:id="627"/>
      <w:bookmarkEnd w:id="628"/>
      <w:bookmarkEnd w:id="629"/>
      <w:bookmarkEnd w:id="630"/>
      <w:bookmarkEnd w:id="631"/>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大力发展农村职业技术教育，既是解决好义务教育和高中教育后的学生分流问题的有效措施，也是提高农民素质的主要形式，更是快速更新农民观念和培养现代农民的重大举措。</w:t>
      </w:r>
    </w:p>
    <w:p>
      <w:pPr>
        <w:pStyle w:val="31"/>
        <w:spacing w:line="560" w:lineRule="exact"/>
        <w:ind w:firstLine="641"/>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color w:val="auto"/>
          <w:kern w:val="2"/>
          <w:sz w:val="32"/>
          <w:szCs w:val="32"/>
        </w:rPr>
        <w:t>15</w:t>
      </w:r>
      <w:r>
        <w:rPr>
          <w:rFonts w:hint="default" w:ascii="Times New Roman" w:hAnsi="Times New Roman" w:eastAsia="仿宋_GB2312" w:cs="Times New Roman"/>
          <w:b/>
          <w:bCs/>
          <w:color w:val="auto"/>
          <w:sz w:val="32"/>
          <w:szCs w:val="32"/>
        </w:rPr>
        <w:t>.2.1切实转变观念，明确政府主体责任</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政府部门要转变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重普教、轻职教，重升学、轻就业，重城市、轻农村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的思想倾向，充分认识到职业教育在实施科教兴国战略，促进经济社会可持续发展的重要地位与作用，也是解决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问题和建设现代化社会的重要举措。根据国务院《关于大力推进职业教育改革和发展的决定》和《关于进一步加强农村教育工作的决定》的精神要求，省、市、县、乡政府要切实负起发展农村职业教育的主要责任，把农村职业教育纳入当地经济和社会发展总体规划，把发展农村职业教育作为考核干部执行科学发展观的一个重要内容。加强城市职业教育对农村职业教育的支持、辐射和服务。通过政策导向，大力宣传，营造职业教育发展的社会氛围，调动社会力量支持职业教育的发展。大英县要切实办好职业</w:t>
      </w:r>
      <w:r>
        <w:rPr>
          <w:rFonts w:hint="default" w:ascii="Times New Roman" w:hAnsi="Times New Roman" w:eastAsia="仿宋_GB2312" w:cs="Times New Roman"/>
          <w:color w:val="auto"/>
          <w:sz w:val="32"/>
          <w:szCs w:val="32"/>
          <w:lang w:eastAsia="zh-CN"/>
        </w:rPr>
        <w:t>学校</w:t>
      </w:r>
      <w:r>
        <w:rPr>
          <w:rFonts w:hint="default" w:ascii="Times New Roman" w:hAnsi="Times New Roman" w:eastAsia="仿宋_GB2312" w:cs="Times New Roman"/>
          <w:color w:val="auto"/>
          <w:sz w:val="32"/>
          <w:szCs w:val="32"/>
        </w:rPr>
        <w:t>、农技推广学校，探索建立农民学校；建好县、镇（街）和村（社区）三级农村职业成人教育网络体系，创新管理体制，实施职业教育、成人教育、社区（老年）教育统筹，形成有机发展合力。</w:t>
      </w:r>
    </w:p>
    <w:p>
      <w:pPr>
        <w:pStyle w:val="31"/>
        <w:spacing w:line="560" w:lineRule="exact"/>
        <w:ind w:firstLine="641"/>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color w:val="auto"/>
          <w:kern w:val="2"/>
          <w:sz w:val="32"/>
          <w:szCs w:val="32"/>
        </w:rPr>
        <w:t>15</w:t>
      </w:r>
      <w:r>
        <w:rPr>
          <w:rFonts w:hint="default" w:ascii="Times New Roman" w:hAnsi="Times New Roman" w:eastAsia="仿宋_GB2312" w:cs="Times New Roman"/>
          <w:b/>
          <w:bCs/>
          <w:color w:val="auto"/>
          <w:sz w:val="32"/>
          <w:szCs w:val="32"/>
        </w:rPr>
        <w:t>.2.2增加财政投入，建立多元化办学和投资体系</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各类职业学校（包括农民学校）的办学规模、培养成本、专业优势、发展前景，重新核定政府财政拨款标准和数额，保证职业学校建设和发展的需要，并且逐年增加职业教育经费投入。制定有关优惠政策鼓励支持社会力量、私人和企业办农村职业教育，促进职业教育办学主体和投资的多元化。鼓励校企联合办学，推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定单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公司+农户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办学模式，以缓解职校资金不足和实训基地缺乏的问题。政府监督部门要加强对农村教育经费投入、使用的监督，确保教育经费投入有效用于发展农村职业教育和各类培训。力争在建设好一所示范性的、综合性的中等职业技术学校基础上，设立一所专门进行农民职业教育培训的农民学校。</w:t>
      </w:r>
    </w:p>
    <w:p>
      <w:pPr>
        <w:pStyle w:val="31"/>
        <w:spacing w:line="560" w:lineRule="exact"/>
        <w:ind w:firstLine="641"/>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b/>
          <w:color w:val="auto"/>
          <w:kern w:val="2"/>
          <w:sz w:val="32"/>
          <w:szCs w:val="32"/>
        </w:rPr>
        <w:t>15</w:t>
      </w:r>
      <w:r>
        <w:rPr>
          <w:rFonts w:hint="default" w:ascii="Times New Roman" w:hAnsi="Times New Roman" w:eastAsia="仿宋_GB2312" w:cs="Times New Roman"/>
          <w:b/>
          <w:bCs/>
          <w:color w:val="auto"/>
          <w:sz w:val="32"/>
          <w:szCs w:val="32"/>
        </w:rPr>
        <w:t>.2.3采取有力措施，快速提升现代农民职业素养</w:t>
      </w:r>
    </w:p>
    <w:p>
      <w:pPr>
        <w:spacing w:line="560" w:lineRule="exact"/>
        <w:ind w:firstLine="643" w:firstLineChars="200"/>
        <w:rPr>
          <w:rFonts w:hint="default" w:ascii="Times New Roman" w:hAnsi="Times New Roman" w:eastAsia="仿宋_GB2312" w:cs="Times New Roman"/>
          <w:color w:val="auto"/>
          <w:sz w:val="32"/>
          <w:szCs w:val="32"/>
          <w:highlight w:val="green"/>
        </w:rPr>
      </w:pPr>
      <w:r>
        <w:rPr>
          <w:rFonts w:hint="default" w:ascii="Times New Roman" w:hAnsi="Times New Roman" w:eastAsia="仿宋_GB2312" w:cs="Times New Roman"/>
          <w:b/>
          <w:bCs/>
          <w:color w:val="auto"/>
          <w:sz w:val="32"/>
          <w:szCs w:val="32"/>
        </w:rPr>
        <w:t>1、完善培训机制。</w:t>
      </w:r>
      <w:r>
        <w:rPr>
          <w:rFonts w:hint="default" w:ascii="Times New Roman" w:hAnsi="Times New Roman" w:eastAsia="仿宋_GB2312" w:cs="Times New Roman"/>
          <w:color w:val="auto"/>
          <w:sz w:val="32"/>
          <w:szCs w:val="32"/>
        </w:rPr>
        <w:t>坚持培养与培训并举，培育大批懂得农业基本特性和乡村价值体系，传承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工作价值理念的优秀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人才。探索以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精准瞄准、分类培训、按需供给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为核心的新型职业农民培训机制，培育大批新型职业农民。到2025年，持证新型职业农民达到</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00人以上。</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2、突出本土特色。</w:t>
      </w:r>
      <w:r>
        <w:rPr>
          <w:rFonts w:hint="default" w:ascii="Times New Roman" w:hAnsi="Times New Roman" w:eastAsia="仿宋_GB2312" w:cs="Times New Roman"/>
          <w:color w:val="auto"/>
          <w:sz w:val="32"/>
          <w:szCs w:val="32"/>
        </w:rPr>
        <w:t>围绕发展优质粮油、水果、道地中药材、有机蔬菜、生态养殖和乡村旅游等特色产业，围绕服务大英现代农业产业体系、生产体系、经营体系优化农村职业教育专业体系，打造精准服务现代农业和农村发展的涉农专业集群，助力一二三产融合，支撑新产业新业态发展。</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3、明确培育重点。</w:t>
      </w:r>
      <w:r>
        <w:rPr>
          <w:rFonts w:hint="default" w:ascii="Times New Roman" w:hAnsi="Times New Roman" w:eastAsia="仿宋_GB2312" w:cs="Times New Roman"/>
          <w:color w:val="auto"/>
          <w:sz w:val="32"/>
          <w:szCs w:val="32"/>
        </w:rPr>
        <w:t>加快培养现有的农</w:t>
      </w:r>
      <w:r>
        <w:rPr>
          <w:rFonts w:hint="default" w:ascii="Times New Roman" w:hAnsi="Times New Roman" w:eastAsia="仿宋_GB2312" w:cs="Times New Roman"/>
          <w:color w:val="auto"/>
          <w:sz w:val="32"/>
          <w:szCs w:val="32"/>
          <w:lang w:eastAsia="zh-CN"/>
        </w:rPr>
        <w:t>业企业</w:t>
      </w:r>
      <w:r>
        <w:rPr>
          <w:rFonts w:hint="default" w:ascii="Times New Roman" w:hAnsi="Times New Roman" w:eastAsia="仿宋_GB2312" w:cs="Times New Roman"/>
          <w:color w:val="auto"/>
          <w:sz w:val="32"/>
          <w:szCs w:val="32"/>
          <w:lang w:val="en-US" w:eastAsia="zh-CN"/>
        </w:rPr>
        <w:t>法人</w:t>
      </w:r>
      <w:r>
        <w:rPr>
          <w:rFonts w:hint="default" w:ascii="Times New Roman" w:hAnsi="Times New Roman" w:eastAsia="仿宋_GB2312" w:cs="Times New Roman"/>
          <w:color w:val="auto"/>
          <w:sz w:val="32"/>
          <w:szCs w:val="32"/>
        </w:rPr>
        <w:t>、专业合作社骨干、种养大户、家庭农场主、社会服务能手，使其尽快成为农业适度规模经营、现代农业农村发展的中坚力量；广阔的农村是中国最大的发展潜力所在，越来越多的大学生和城镇青年想到农村发展，以及在外务工或经商返乡且有一定经济积蓄的农民将是加快现代农业农村发展的第二梯队人才，要切实抓好对他们的职业培训，并为他们创业提供便利。</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4、全程指导服务。</w:t>
      </w:r>
      <w:r>
        <w:rPr>
          <w:rFonts w:hint="default" w:ascii="Times New Roman" w:hAnsi="Times New Roman" w:eastAsia="仿宋_GB2312" w:cs="Times New Roman"/>
          <w:color w:val="auto"/>
          <w:sz w:val="32"/>
          <w:szCs w:val="32"/>
        </w:rPr>
        <w:t>突出高素质农民培育与创业兴业、生产经营实践紧密结合，整合各类资源，通过结对帮扶、交流考察、技术指导，实现知识和技术的高效转化应用。建立教育培训、成果转化、技术推广、经营服务、创业支持一体化的全程跟踪服务机制。简化新型农业经营主体的工商、税务登记手续，减免费用；对获得职业资格证书、职业培训证书的毕业生，要不断拓宽就业渠道，就业部门要加大推荐力度；加大对涉农职业院校和涉农专业支持力度、学生资助力度，对回乡务农的毕业生和返乡创业农民工，各有关部门要为他们在租赁土地，提供良种、技术、设备等方面给予优惠。各级金融部门应优先为他们提供生产开发贷款。切实保障在乡、回乡、返乡创业人员的合法收益，建立和完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工作人员的激励晋升机制，使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人才安心扎根乡村工作。</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632" w:name="_Toc472"/>
      <w:bookmarkStart w:id="633" w:name="_Toc19228"/>
      <w:bookmarkStart w:id="634" w:name="_Toc12652"/>
      <w:bookmarkStart w:id="635" w:name="_Toc9755"/>
      <w:bookmarkStart w:id="636" w:name="_Toc14292"/>
      <w:bookmarkStart w:id="637" w:name="_Toc20534"/>
      <w:bookmarkStart w:id="638" w:name="_Toc17448"/>
      <w:bookmarkStart w:id="639" w:name="_Toc26157"/>
      <w:r>
        <w:rPr>
          <w:rFonts w:hint="default" w:ascii="Times New Roman" w:hAnsi="Times New Roman" w:eastAsia="仿宋_GB2312" w:cs="Times New Roman"/>
          <w:b/>
          <w:color w:val="auto"/>
          <w:sz w:val="32"/>
          <w:szCs w:val="32"/>
        </w:rPr>
        <w:t>15.3完善农村继续教育体制</w:t>
      </w:r>
      <w:bookmarkEnd w:id="632"/>
      <w:bookmarkEnd w:id="633"/>
      <w:bookmarkEnd w:id="634"/>
      <w:bookmarkEnd w:id="635"/>
      <w:bookmarkEnd w:id="636"/>
      <w:bookmarkEnd w:id="637"/>
      <w:bookmarkEnd w:id="638"/>
      <w:bookmarkEnd w:id="639"/>
    </w:p>
    <w:p>
      <w:pPr>
        <w:spacing w:line="560" w:lineRule="exact"/>
        <w:ind w:firstLine="640" w:firstLineChars="200"/>
        <w:rPr>
          <w:rFonts w:hint="default" w:ascii="Times New Roman" w:hAnsi="Times New Roman" w:eastAsia="仿宋_GB2312" w:cs="Times New Roman"/>
          <w:color w:val="auto"/>
          <w:sz w:val="32"/>
          <w:szCs w:val="32"/>
        </w:rPr>
      </w:pPr>
      <w:bookmarkStart w:id="640" w:name="_Toc23695"/>
      <w:r>
        <w:rPr>
          <w:rFonts w:hint="default" w:ascii="Times New Roman" w:hAnsi="Times New Roman" w:eastAsia="仿宋_GB2312" w:cs="Times New Roman"/>
          <w:color w:val="auto"/>
          <w:sz w:val="32"/>
          <w:szCs w:val="32"/>
        </w:rPr>
        <w:t>学校教育是培养农民素质的基础，继续教育是持续提高农民素质和社会适应能力的渠道。文化科技素质低下已成为制约农村经济社会发展的瓶颈，建立和完善农村继续教育和农民培训体制成为破解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问题，增加农民收入的关键。</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政府要加大投入，建立和完善以农民夜校、农民技术培训中心和远程教育等为主体的劳动技能培训网络。</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农村乡镇企业和龙头企业要建立职业培训制度，不断提高从业人员综合素质。</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建立农村科技特派员制度，鼓励高等学校文化科技下乡。</w:t>
      </w:r>
      <w:r>
        <w:rPr>
          <w:rFonts w:hint="default" w:ascii="Times New Roman" w:hAnsi="Times New Roman" w:eastAsia="仿宋_GB2312" w:cs="Times New Roman"/>
          <w:b/>
          <w:bCs/>
          <w:color w:val="auto"/>
          <w:sz w:val="32"/>
          <w:szCs w:val="32"/>
        </w:rPr>
        <w:t>四是</w:t>
      </w:r>
      <w:r>
        <w:rPr>
          <w:rFonts w:hint="default" w:ascii="Times New Roman" w:hAnsi="Times New Roman" w:eastAsia="仿宋_GB2312" w:cs="Times New Roman"/>
          <w:color w:val="auto"/>
          <w:sz w:val="32"/>
          <w:szCs w:val="32"/>
        </w:rPr>
        <w:t>建立科学激励机制，鼓励和扶持社会力量特别是要合理利用高校离退休老教师这支队伍，鼓励他们到农村参与农民教育和培训活动。</w:t>
      </w:r>
      <w:bookmarkEnd w:id="640"/>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641" w:name="_Toc180"/>
      <w:bookmarkStart w:id="642" w:name="_Toc16075"/>
      <w:bookmarkStart w:id="643" w:name="_Toc25277"/>
      <w:bookmarkStart w:id="644" w:name="_Toc13325"/>
      <w:bookmarkStart w:id="645" w:name="_Toc19808"/>
      <w:bookmarkStart w:id="646" w:name="_Toc14822"/>
      <w:bookmarkStart w:id="647" w:name="_Toc28188"/>
      <w:bookmarkStart w:id="648" w:name="_Toc25377"/>
      <w:r>
        <w:rPr>
          <w:rFonts w:hint="default" w:ascii="Times New Roman" w:hAnsi="Times New Roman" w:eastAsia="仿宋_GB2312" w:cs="Times New Roman"/>
          <w:b/>
          <w:color w:val="auto"/>
          <w:sz w:val="32"/>
          <w:szCs w:val="32"/>
        </w:rPr>
        <w:t>15.4构建教育成本分担机制</w:t>
      </w:r>
      <w:bookmarkEnd w:id="641"/>
      <w:bookmarkEnd w:id="642"/>
      <w:bookmarkEnd w:id="643"/>
      <w:bookmarkEnd w:id="644"/>
      <w:bookmarkEnd w:id="645"/>
      <w:bookmarkEnd w:id="646"/>
      <w:bookmarkEnd w:id="647"/>
      <w:bookmarkEnd w:id="648"/>
    </w:p>
    <w:p>
      <w:pPr>
        <w:spacing w:line="560" w:lineRule="exact"/>
        <w:ind w:firstLine="640" w:firstLineChars="200"/>
        <w:rPr>
          <w:rFonts w:hint="default" w:ascii="Times New Roman" w:hAnsi="Times New Roman" w:eastAsia="黑体" w:cs="Times New Roman"/>
          <w:color w:val="auto"/>
          <w:kern w:val="0"/>
          <w:sz w:val="28"/>
          <w:szCs w:val="28"/>
          <w:lang w:val="mn-Mong-CN" w:bidi="mn-Mong-CN"/>
        </w:rPr>
      </w:pPr>
      <w:r>
        <w:rPr>
          <w:rFonts w:hint="default" w:ascii="Times New Roman" w:hAnsi="Times New Roman" w:eastAsia="仿宋_GB2312" w:cs="Times New Roman"/>
          <w:color w:val="auto"/>
          <w:sz w:val="32"/>
          <w:szCs w:val="32"/>
        </w:rPr>
        <w:t>农民素质现状之所以与现代农业生产和农业产业化经营不相适应，重要原因在于现行教育成本分摊机制和农民教育投资出现了偏差。基于长期以农户为主体的家庭联产承包经营形成的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封闭保守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安于现状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等小农意识仍较强烈，城乡环境差异大，农业农村发展缓慢等因素影响，农民教育投资偏好于鼓励和扶持子女考取大学以实现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跳出农门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改变命运，而对自身和回乡子女职业教育和继续教育普遍投资欲望不强。为此，建立政府主导、企业主体、社会力量积极参与、农民自筹相结合的教育成本分担机制是解决农民教育投资不足，全面提升农民素质的有效制度选择。政府要加大对农村教育投入特别是农村基础教育、农民职业培训基础设施建设的投入；龙头企业和乡镇企业要建立培训基金，加大员工培训投入，改变现行普遍存在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只用不育</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的不合理人才使用和培养体制；鼓励社会力量和民间资本加入农村继续教育和农村职业培训；敦促农民承担合理的培训费用和教育投入成本。</w:t>
      </w:r>
      <w:bookmarkStart w:id="649" w:name="_Toc3828"/>
      <w:bookmarkStart w:id="650" w:name="_Toc12189"/>
      <w:bookmarkStart w:id="651" w:name="_Toc29939"/>
      <w:bookmarkStart w:id="652" w:name="_Toc6500"/>
      <w:bookmarkStart w:id="653" w:name="_Toc30788"/>
      <w:bookmarkStart w:id="654" w:name="_Toc18057"/>
      <w:bookmarkStart w:id="655" w:name="_Toc9195"/>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mn-Mong-CN" w:bidi="mn-Mong-CN"/>
        </w:rPr>
      </w:pPr>
      <w:bookmarkStart w:id="656" w:name="_Toc13874"/>
      <w:r>
        <w:rPr>
          <w:rFonts w:hint="default" w:ascii="Times New Roman" w:hAnsi="Times New Roman" w:eastAsia="黑体" w:cs="Times New Roman"/>
          <w:color w:val="auto"/>
          <w:kern w:val="0"/>
          <w:sz w:val="32"/>
          <w:szCs w:val="32"/>
          <w:lang w:val="mn-Mong-CN" w:bidi="mn-Mong-CN"/>
        </w:rPr>
        <w:t xml:space="preserve">第十六章  </w:t>
      </w:r>
      <w:bookmarkEnd w:id="649"/>
      <w:bookmarkEnd w:id="650"/>
      <w:bookmarkEnd w:id="651"/>
      <w:bookmarkEnd w:id="652"/>
      <w:bookmarkEnd w:id="653"/>
      <w:bookmarkEnd w:id="654"/>
      <w:bookmarkEnd w:id="655"/>
      <w:r>
        <w:rPr>
          <w:rFonts w:hint="default" w:ascii="Times New Roman" w:hAnsi="Times New Roman" w:eastAsia="黑体" w:cs="Times New Roman"/>
          <w:color w:val="auto"/>
          <w:kern w:val="0"/>
          <w:sz w:val="32"/>
          <w:szCs w:val="32"/>
          <w:lang w:val="mn-Mong-CN" w:bidi="mn-Mong-CN"/>
        </w:rPr>
        <w:t>持续拓展农民增收渠道</w:t>
      </w:r>
      <w:bookmarkEnd w:id="656"/>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657" w:name="_Toc31105"/>
      <w:bookmarkStart w:id="658" w:name="_Toc1036"/>
      <w:bookmarkStart w:id="659" w:name="_Toc25351"/>
      <w:bookmarkStart w:id="660" w:name="_Toc18208"/>
      <w:bookmarkStart w:id="661" w:name="_Toc13074"/>
      <w:bookmarkStart w:id="662" w:name="_Toc4461"/>
      <w:bookmarkStart w:id="663" w:name="_Toc8399"/>
      <w:bookmarkStart w:id="664" w:name="_Toc5015"/>
      <w:r>
        <w:rPr>
          <w:rFonts w:hint="default" w:ascii="Times New Roman" w:hAnsi="Times New Roman" w:eastAsia="仿宋_GB2312" w:cs="Times New Roman"/>
          <w:b/>
          <w:color w:val="auto"/>
          <w:sz w:val="32"/>
          <w:szCs w:val="32"/>
        </w:rPr>
        <w:t>16.1因地制宜发展优势特色产业</w:t>
      </w:r>
      <w:bookmarkEnd w:id="657"/>
      <w:bookmarkEnd w:id="658"/>
      <w:bookmarkEnd w:id="659"/>
      <w:bookmarkEnd w:id="660"/>
      <w:bookmarkEnd w:id="661"/>
      <w:bookmarkEnd w:id="662"/>
      <w:bookmarkEnd w:id="663"/>
      <w:bookmarkEnd w:id="664"/>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不断提高农民收入水平的基础和潜力仍然在农业，关键在于高质量发展现代农业，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机器换人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机械化率，加强科技创新和装备配给，强化品牌创建，扩大规模种植养殖，延伸产业链条，不断优化产业结构，加快培育壮大优势特色产业，建设一批标准化生产基地，提升打造一批优势特色产业集群。大英县要依托独特的生态优势和农业资源，在稳定发展优质粮油、生态畜禽的基础上，加快发展和做大做强绿色有机果蔬、道地中药材和优质水产品等产业，发展高效生态农业，带动农业产业提质增效。连片发展柑橘、甜桃、柠檬、文旦柚等优质水果产业带，规模种植面积超过5万亩，提升果品商品化处理能力，促进柑橘等加工产业、果园观光农业发展，延伸产业链价值链，提升打造特色水果产业集群。积极发展大棚蔬菜、有机蔬菜，加强冷链物流配送，努力打造成渝地区优质蔬菜供应基地。加快推进道地中药材发展，重点在隆盛镇种植加工</w:t>
      </w:r>
      <w:r>
        <w:rPr>
          <w:rFonts w:hint="default" w:ascii="Times New Roman" w:hAnsi="Times New Roman" w:eastAsia="仿宋_GB2312" w:cs="Times New Roman"/>
          <w:color w:val="auto"/>
          <w:sz w:val="32"/>
          <w:szCs w:val="32"/>
          <w:lang w:eastAsia="zh-CN"/>
        </w:rPr>
        <w:t>枳壳</w:t>
      </w:r>
      <w:r>
        <w:rPr>
          <w:rFonts w:hint="default" w:ascii="Times New Roman" w:hAnsi="Times New Roman" w:eastAsia="仿宋_GB2312" w:cs="Times New Roman"/>
          <w:color w:val="auto"/>
          <w:sz w:val="32"/>
          <w:szCs w:val="32"/>
        </w:rPr>
        <w:t>、刺梨、白芷、佛手、丹参、麦冬、金银花、郁金香、玉兰等药材和花木超过1.5万亩，推行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公司+基地+农户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营模式，完善利益联结机制，实施标准化、规模化种植，加强科技开发，不断提升药材品质，不断提高中药材精深加工能力，做大道地中药材产业集群；扎实打造好中国香村（杜家寨）和药谷湿地景观（后坝），努力把中药材园区建设成为集生产、加工、销售、康养、休闲观光于一体，一二三产业融合发展的省星级现代农业园区。力争产业带动经营性收入人均增加4000元以上。</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665" w:name="_Toc21031"/>
      <w:bookmarkStart w:id="666" w:name="_Toc25698"/>
      <w:bookmarkStart w:id="667" w:name="_Toc32334"/>
      <w:bookmarkStart w:id="668" w:name="_Toc12920"/>
      <w:bookmarkStart w:id="669" w:name="_Toc17006"/>
      <w:bookmarkStart w:id="670" w:name="_Toc20123"/>
      <w:bookmarkStart w:id="671" w:name="_Toc17382"/>
      <w:bookmarkStart w:id="672" w:name="_Toc17474"/>
      <w:r>
        <w:rPr>
          <w:rFonts w:hint="default" w:ascii="Times New Roman" w:hAnsi="Times New Roman" w:eastAsia="仿宋_GB2312" w:cs="Times New Roman"/>
          <w:b/>
          <w:color w:val="auto"/>
          <w:sz w:val="32"/>
          <w:szCs w:val="32"/>
        </w:rPr>
        <w:t>16.2大力发展现代农产品加工业</w:t>
      </w:r>
      <w:bookmarkEnd w:id="665"/>
      <w:bookmarkEnd w:id="666"/>
      <w:bookmarkEnd w:id="667"/>
      <w:bookmarkEnd w:id="668"/>
      <w:bookmarkEnd w:id="669"/>
      <w:bookmarkEnd w:id="670"/>
      <w:bookmarkEnd w:id="671"/>
      <w:bookmarkEnd w:id="672"/>
    </w:p>
    <w:p>
      <w:pPr>
        <w:widowControl/>
        <w:spacing w:line="560" w:lineRule="exact"/>
        <w:ind w:firstLine="64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围绕实施农产品加工提升行动，鼓励适合家庭农场和</w:t>
      </w:r>
      <w:r>
        <w:rPr>
          <w:rFonts w:hint="default" w:ascii="Times New Roman" w:hAnsi="Times New Roman" w:eastAsia="仿宋_GB2312" w:cs="Times New Roman"/>
          <w:color w:val="auto"/>
          <w:kern w:val="0"/>
          <w:sz w:val="32"/>
          <w:szCs w:val="32"/>
          <w:shd w:val="clear" w:color="auto" w:fill="FFFFFF"/>
          <w:lang w:eastAsia="zh-CN"/>
        </w:rPr>
        <w:t>农民专业合作社</w:t>
      </w:r>
      <w:r>
        <w:rPr>
          <w:rFonts w:hint="default" w:ascii="Times New Roman" w:hAnsi="Times New Roman" w:eastAsia="仿宋_GB2312" w:cs="Times New Roman"/>
          <w:color w:val="auto"/>
          <w:kern w:val="0"/>
          <w:sz w:val="32"/>
          <w:szCs w:val="32"/>
          <w:shd w:val="clear" w:color="auto" w:fill="FFFFFF"/>
        </w:rPr>
        <w:t>经营的农产品初加工，在符合条件的区域发展农产品精深加工。积极打造农产品专业村镇和现代农业产业园，培育壮大优质农产品加工企业和农业产业化龙头企业，加快引进和培育一批农产品加工龙头企业，支持农产品加工龙头企业围绕特优农产品加大产品研发和技术改造力度，补齐农产品精深加工短板，重点打造粮油、中药材、水果、蔬菜、畜禽等加工产业集群，做强大英县农副产品及食品加工园（蓬莱镇、回马镇）。强化农民与龙头企业的紧密型合作关系，创新完善农企利益分配机制，调动农民参与农业产业化的积极性，让农民更多分享农业产业增值收益，促进农民增收。对吸纳就业多、税收贡献大、带动农户增收效果明显的农产品加工企业按照有关规定实行以奖代补。</w:t>
      </w:r>
      <w:r>
        <w:rPr>
          <w:rFonts w:hint="default" w:ascii="Times New Roman" w:hAnsi="Times New Roman" w:eastAsia="仿宋_GB2312" w:cs="Times New Roman"/>
          <w:color w:val="auto"/>
          <w:sz w:val="32"/>
          <w:szCs w:val="32"/>
        </w:rPr>
        <w:t>到2025年，</w:t>
      </w:r>
      <w:r>
        <w:rPr>
          <w:rFonts w:hint="default" w:ascii="Times New Roman" w:hAnsi="Times New Roman" w:eastAsia="仿宋_GB2312" w:cs="Times New Roman"/>
          <w:color w:val="auto"/>
          <w:sz w:val="32"/>
          <w:szCs w:val="32"/>
          <w:lang w:val="zh-CN"/>
        </w:rPr>
        <w:t>全县农产品</w:t>
      </w:r>
      <w:r>
        <w:rPr>
          <w:rFonts w:hint="default" w:ascii="Times New Roman" w:hAnsi="Times New Roman" w:eastAsia="仿宋_GB2312" w:cs="Times New Roman"/>
          <w:color w:val="auto"/>
          <w:sz w:val="32"/>
          <w:szCs w:val="32"/>
        </w:rPr>
        <w:t>清洗、挑选、分级、烘干、保鲜、包装、贴牌、储藏等初</w:t>
      </w:r>
      <w:r>
        <w:rPr>
          <w:rFonts w:hint="default" w:ascii="Times New Roman" w:hAnsi="Times New Roman" w:eastAsia="仿宋_GB2312" w:cs="Times New Roman"/>
          <w:color w:val="auto"/>
          <w:sz w:val="32"/>
          <w:szCs w:val="32"/>
          <w:lang w:val="zh-CN"/>
        </w:rPr>
        <w:t>加工</w:t>
      </w:r>
      <w:r>
        <w:rPr>
          <w:rFonts w:hint="default" w:ascii="Times New Roman" w:hAnsi="Times New Roman" w:eastAsia="仿宋_GB2312" w:cs="Times New Roman"/>
          <w:color w:val="auto"/>
          <w:sz w:val="32"/>
          <w:szCs w:val="32"/>
        </w:rPr>
        <w:t>全面覆盖六大特色产业，初加工服务主体达到20个，农产品产地初加工率</w:t>
      </w:r>
      <w:r>
        <w:rPr>
          <w:rFonts w:hint="default" w:ascii="Times New Roman" w:hAnsi="Times New Roman" w:eastAsia="仿宋_GB2312" w:cs="Times New Roman"/>
          <w:color w:val="auto"/>
          <w:sz w:val="32"/>
          <w:szCs w:val="32"/>
          <w:lang w:val="en-US" w:eastAsia="zh-CN"/>
        </w:rPr>
        <w:t>达</w:t>
      </w:r>
      <w:r>
        <w:rPr>
          <w:rFonts w:hint="default" w:ascii="Times New Roman" w:hAnsi="Times New Roman" w:eastAsia="仿宋_GB2312" w:cs="Times New Roman"/>
          <w:color w:val="auto"/>
          <w:sz w:val="32"/>
          <w:szCs w:val="32"/>
        </w:rPr>
        <w:t>到</w:t>
      </w:r>
      <w:r>
        <w:rPr>
          <w:rFonts w:hint="default" w:ascii="Times New Roman" w:hAnsi="Times New Roman" w:eastAsia="仿宋_GB2312" w:cs="Times New Roman"/>
          <w:color w:val="auto"/>
          <w:sz w:val="32"/>
          <w:szCs w:val="32"/>
          <w:lang w:val="en-US" w:eastAsia="zh-CN"/>
        </w:rPr>
        <w:t>85</w:t>
      </w:r>
      <w:r>
        <w:rPr>
          <w:rFonts w:hint="default" w:ascii="Times New Roman" w:hAnsi="Times New Roman" w:eastAsia="仿宋_GB2312" w:cs="Times New Roman"/>
          <w:color w:val="auto"/>
          <w:sz w:val="32"/>
          <w:szCs w:val="32"/>
        </w:rPr>
        <w:t>%；新增加工龙头企业5家，力争培育国家级和省级农业产业化龙头企业各1家，建优势特色农产品研发中心2个；实现生猪年加工能力50万头，家禽年加工能力500万只，中药材年加工能力0.5万吨，水果、蔬菜年加工</w:t>
      </w:r>
      <w:r>
        <w:rPr>
          <w:rFonts w:hint="default" w:ascii="Times New Roman" w:hAnsi="Times New Roman" w:eastAsia="仿宋_GB2312" w:cs="Times New Roman"/>
          <w:color w:val="auto"/>
          <w:kern w:val="0"/>
          <w:sz w:val="32"/>
          <w:szCs w:val="32"/>
          <w:shd w:val="clear" w:color="auto" w:fill="FFFFFF"/>
        </w:rPr>
        <w:t>能力各5万吨；农产品加工业产值与农林牧渔业产值比达到1.6:1。力争农业增效带动农民收入人均增加1000以上。</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673" w:name="_Toc13799"/>
      <w:bookmarkStart w:id="674" w:name="_Toc8400"/>
      <w:bookmarkStart w:id="675" w:name="_Toc1954"/>
      <w:bookmarkStart w:id="676" w:name="_Toc32388"/>
      <w:bookmarkStart w:id="677" w:name="_Toc24428"/>
      <w:bookmarkStart w:id="678" w:name="_Toc24231"/>
      <w:bookmarkStart w:id="679" w:name="_Toc16150"/>
      <w:bookmarkStart w:id="680" w:name="_Toc10497"/>
      <w:r>
        <w:rPr>
          <w:rFonts w:hint="default" w:ascii="Times New Roman" w:hAnsi="Times New Roman" w:eastAsia="仿宋_GB2312" w:cs="Times New Roman"/>
          <w:b/>
          <w:color w:val="auto"/>
          <w:sz w:val="32"/>
          <w:szCs w:val="32"/>
        </w:rPr>
        <w:t>16.3</w:t>
      </w:r>
      <w:bookmarkEnd w:id="673"/>
      <w:bookmarkEnd w:id="674"/>
      <w:bookmarkEnd w:id="675"/>
      <w:bookmarkEnd w:id="676"/>
      <w:bookmarkEnd w:id="677"/>
      <w:bookmarkEnd w:id="678"/>
      <w:bookmarkEnd w:id="679"/>
      <w:r>
        <w:rPr>
          <w:rFonts w:hint="default" w:ascii="Times New Roman" w:hAnsi="Times New Roman" w:eastAsia="仿宋_GB2312" w:cs="Times New Roman"/>
          <w:b/>
          <w:color w:val="auto"/>
          <w:sz w:val="32"/>
          <w:szCs w:val="32"/>
        </w:rPr>
        <w:t>积极培育农村新业态</w:t>
      </w:r>
      <w:bookmarkEnd w:id="680"/>
    </w:p>
    <w:p>
      <w:pPr>
        <w:pStyle w:val="37"/>
        <w:spacing w:line="560" w:lineRule="exact"/>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发达的第三产业是经济社会现代化的重要标志。从目前我国经济运行特征来看，一是第一产业（农业）落后，二是第三产业（服务业）</w:t>
      </w:r>
      <w:r>
        <w:rPr>
          <w:rFonts w:hint="default" w:ascii="Times New Roman" w:hAnsi="Times New Roman" w:eastAsia="仿宋_GB2312" w:cs="Times New Roman"/>
          <w:color w:val="auto"/>
          <w:kern w:val="0"/>
          <w:sz w:val="32"/>
          <w:szCs w:val="32"/>
          <w:shd w:val="clear" w:color="auto" w:fill="FFFFFF"/>
          <w:lang w:val="en-US" w:eastAsia="zh-CN"/>
        </w:rPr>
        <w:t>滞</w:t>
      </w:r>
      <w:r>
        <w:rPr>
          <w:rFonts w:hint="default" w:ascii="Times New Roman" w:hAnsi="Times New Roman" w:eastAsia="仿宋_GB2312" w:cs="Times New Roman"/>
          <w:color w:val="auto"/>
          <w:kern w:val="0"/>
          <w:sz w:val="32"/>
          <w:szCs w:val="32"/>
          <w:shd w:val="clear" w:color="auto" w:fill="FFFFFF"/>
        </w:rPr>
        <w:t>后，尤其是覆盖广大农村的第三产业更加落后。第三产业具有鲜明的四大特征，地域广阔性（劳务输出、产品购销，还呈现区域不断扩大延伸的特性），就业多样性（行业门类众多），城镇（村庄）集聚性（开店</w:t>
      </w:r>
      <w:r>
        <w:rPr>
          <w:rFonts w:hint="default" w:ascii="Times New Roman" w:hAnsi="Times New Roman" w:eastAsia="仿宋_GB2312" w:cs="Times New Roman"/>
          <w:color w:val="auto"/>
          <w:sz w:val="32"/>
          <w:szCs w:val="32"/>
          <w:shd w:val="clear" w:color="auto" w:fill="FFFFFF"/>
        </w:rPr>
        <w:t>设摊需要设施平台等），市场导向性（独立于制造业的研发平台具有科技引领作用，多样化的市场反应消费需求变化与升级）。第三产业是人员就业吸收率最高的产业，重视和加快农村第三产业发展，是不断增加农民收入的重要渠道。高标准美丽乡村（小城镇和村庄）建设是加快发展农村第三产业的关键和基础；深化农村改革，消除思想偏见、破除城乡分割等体制限制、解除政策约束，探索制定一系列工业反哺农业、城镇带动乡村、有利于城乡一体发展的政策支撑体系，是加快农村第三产业发展的重要保障。</w:t>
      </w:r>
    </w:p>
    <w:p>
      <w:pPr>
        <w:pStyle w:val="31"/>
        <w:spacing w:line="560" w:lineRule="exact"/>
        <w:ind w:firstLine="643" w:firstLineChars="200"/>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color w:val="auto"/>
          <w:kern w:val="2"/>
          <w:sz w:val="32"/>
          <w:szCs w:val="32"/>
        </w:rPr>
        <w:t>16.3.1服务农业，增强对农业产业化的服务功能</w:t>
      </w:r>
    </w:p>
    <w:p>
      <w:pPr>
        <w:widowControl/>
        <w:spacing w:line="560" w:lineRule="exact"/>
        <w:ind w:firstLine="64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为适应农业生产规模化、标准化、机械化的趋势，推进农业产业化进程，促进农业向商品型、集约型、开放型发展，必须大力发展和不断完善农村服务体系。</w:t>
      </w:r>
      <w:r>
        <w:rPr>
          <w:rFonts w:hint="default" w:ascii="Times New Roman" w:hAnsi="Times New Roman" w:eastAsia="仿宋_GB2312" w:cs="Times New Roman"/>
          <w:b/>
          <w:bCs/>
          <w:color w:val="auto"/>
          <w:kern w:val="0"/>
          <w:sz w:val="32"/>
          <w:szCs w:val="32"/>
          <w:shd w:val="clear" w:color="auto" w:fill="FFFFFF"/>
        </w:rPr>
        <w:t>一是</w:t>
      </w:r>
      <w:r>
        <w:rPr>
          <w:rFonts w:hint="default" w:ascii="Times New Roman" w:hAnsi="Times New Roman" w:eastAsia="仿宋_GB2312" w:cs="Times New Roman"/>
          <w:color w:val="auto"/>
          <w:kern w:val="0"/>
          <w:sz w:val="32"/>
          <w:szCs w:val="32"/>
          <w:shd w:val="clear" w:color="auto" w:fill="FFFFFF"/>
        </w:rPr>
        <w:t>加强农业生产的产前服务（为农户提供信息、咨询、资金、农资供应等服务）、产中服务（农机作业及维修、灌溉、植保防疫、技术指导等服务）、产后服务（产品储运、保鲜、加工销售、保险等服务）。支持供销、邮政、</w:t>
      </w:r>
      <w:r>
        <w:rPr>
          <w:rFonts w:hint="default" w:ascii="Times New Roman" w:hAnsi="Times New Roman" w:eastAsia="仿宋_GB2312" w:cs="Times New Roman"/>
          <w:color w:val="auto"/>
          <w:kern w:val="0"/>
          <w:sz w:val="32"/>
          <w:szCs w:val="32"/>
          <w:shd w:val="clear" w:color="auto" w:fill="FFFFFF"/>
          <w:lang w:eastAsia="zh-CN"/>
        </w:rPr>
        <w:t>农民专业合作社</w:t>
      </w:r>
      <w:r>
        <w:rPr>
          <w:rFonts w:hint="default" w:ascii="Times New Roman" w:hAnsi="Times New Roman" w:eastAsia="仿宋_GB2312" w:cs="Times New Roman"/>
          <w:color w:val="auto"/>
          <w:kern w:val="0"/>
          <w:sz w:val="32"/>
          <w:szCs w:val="32"/>
          <w:shd w:val="clear" w:color="auto" w:fill="FFFFFF"/>
        </w:rPr>
        <w:t>及乡村企业等，开展农技推广、土地托管、代耕代种、烘干收储等农业生产性服务，以及市场信息、农业废弃物资源化利用、农产品营销等服务；引导各类服务主体把服务网点延伸到乡村，鼓励新型农业经营主体在城镇设立鲜活农产品直销网点，推广农超、农社（区）、农企等产销对接模式。鼓励大型农产品加工流通企业开展托管服务、专项服务、连锁服务、个性化服务等综合配套服务。</w:t>
      </w:r>
      <w:r>
        <w:rPr>
          <w:rFonts w:hint="default" w:ascii="Times New Roman" w:hAnsi="Times New Roman" w:eastAsia="仿宋_GB2312" w:cs="Times New Roman"/>
          <w:b/>
          <w:bCs/>
          <w:color w:val="auto"/>
          <w:kern w:val="0"/>
          <w:sz w:val="32"/>
          <w:szCs w:val="32"/>
          <w:shd w:val="clear" w:color="auto" w:fill="FFFFFF"/>
        </w:rPr>
        <w:t>二是</w:t>
      </w:r>
      <w:r>
        <w:rPr>
          <w:rFonts w:hint="default" w:ascii="Times New Roman" w:hAnsi="Times New Roman" w:eastAsia="仿宋_GB2312" w:cs="Times New Roman"/>
          <w:color w:val="auto"/>
          <w:kern w:val="0"/>
          <w:sz w:val="32"/>
          <w:szCs w:val="32"/>
          <w:shd w:val="clear" w:color="auto" w:fill="FFFFFF"/>
        </w:rPr>
        <w:t>加强发展流通服务体系建设。培养和完善农村市场体系，重点发展各种专业批发市场、农贸市场，以及为企业（家庭农场）服务的资金（增加金融服务网点和创新金融产品、加大财政资金支持农村发展的份额、设立农业信用担保机构）、劳务、信息、技术等要素市</w:t>
      </w:r>
      <w:r>
        <w:rPr>
          <w:rFonts w:hint="default" w:ascii="Times New Roman" w:hAnsi="Times New Roman" w:eastAsia="仿宋_GB2312" w:cs="Times New Roman"/>
          <w:color w:val="auto"/>
          <w:sz w:val="32"/>
          <w:szCs w:val="32"/>
          <w:shd w:val="clear" w:color="auto" w:fill="FFFFFF"/>
        </w:rPr>
        <w:t>场，推动商品化农业基地的发展和产加销一体化经营。</w:t>
      </w:r>
      <w:r>
        <w:rPr>
          <w:rFonts w:hint="default" w:ascii="Times New Roman" w:hAnsi="Times New Roman" w:eastAsia="仿宋_GB2312" w:cs="Times New Roman"/>
          <w:b/>
          <w:bCs/>
          <w:color w:val="auto"/>
          <w:sz w:val="32"/>
          <w:szCs w:val="32"/>
          <w:shd w:val="clear" w:color="auto" w:fill="FFFFFF"/>
        </w:rPr>
        <w:t>三是</w:t>
      </w:r>
      <w:r>
        <w:rPr>
          <w:rFonts w:hint="default" w:ascii="Times New Roman" w:hAnsi="Times New Roman" w:eastAsia="仿宋_GB2312" w:cs="Times New Roman"/>
          <w:color w:val="auto"/>
          <w:sz w:val="32"/>
          <w:szCs w:val="32"/>
          <w:shd w:val="clear" w:color="auto" w:fill="FFFFFF"/>
        </w:rPr>
        <w:t>加快发展科技服务体系。加强校企合作，兴办各种具有地方特色的科研生产联合体、科技企业、科技咨询业、法律咨询服务体系等。</w:t>
      </w:r>
    </w:p>
    <w:p>
      <w:pPr>
        <w:pStyle w:val="31"/>
        <w:spacing w:line="560" w:lineRule="exact"/>
        <w:ind w:firstLine="643" w:firstLineChars="200"/>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color w:val="auto"/>
          <w:kern w:val="2"/>
          <w:sz w:val="32"/>
          <w:szCs w:val="32"/>
        </w:rPr>
        <w:t>16.3.2服务农村，增强对乡村企业的服务功能</w:t>
      </w:r>
    </w:p>
    <w:p>
      <w:pPr>
        <w:widowControl/>
        <w:spacing w:line="560" w:lineRule="exact"/>
        <w:ind w:firstLine="64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按照城乡经济一体化发展要求，确定村庄经济的产业发展定位，根据村庄及周边的资源，寻求村庄潜在的经济发展优势，促进最适宜村庄的产业发展。充分利用各镇（街）的资源和生产要素，全面发展农村经济、拓展农村内部就业空间，调整乡镇企业发展战略和发展模式，加快体制机制创新，重点发展农产品加工业、服务业和劳动密集型企业。按照乡村整治布点规划和集约利用用地的原则，引导乡村企业集聚发展、人口集中居住、设施共享，培育壮大一批成长性好、带动性强的龙头企业，促进优势企业集群化发展。围绕乡村企业和村庄经济的发展，加快发展社会服务业。</w:t>
      </w:r>
      <w:r>
        <w:rPr>
          <w:rFonts w:hint="default" w:ascii="Times New Roman" w:hAnsi="Times New Roman" w:eastAsia="仿宋_GB2312" w:cs="Times New Roman"/>
          <w:b/>
          <w:bCs/>
          <w:color w:val="auto"/>
          <w:kern w:val="0"/>
          <w:sz w:val="32"/>
          <w:szCs w:val="32"/>
          <w:shd w:val="clear" w:color="auto" w:fill="FFFFFF"/>
        </w:rPr>
        <w:t>一是</w:t>
      </w:r>
      <w:r>
        <w:rPr>
          <w:rFonts w:hint="default" w:ascii="Times New Roman" w:hAnsi="Times New Roman" w:eastAsia="仿宋_GB2312" w:cs="Times New Roman"/>
          <w:color w:val="auto"/>
          <w:kern w:val="0"/>
          <w:sz w:val="32"/>
          <w:szCs w:val="32"/>
          <w:shd w:val="clear" w:color="auto" w:fill="FFFFFF"/>
        </w:rPr>
        <w:t>积极发展工业品市场的中介组织，搭建企业购销服务（网络）平台；</w:t>
      </w:r>
      <w:r>
        <w:rPr>
          <w:rFonts w:hint="default" w:ascii="Times New Roman" w:hAnsi="Times New Roman" w:eastAsia="仿宋_GB2312" w:cs="Times New Roman"/>
          <w:b/>
          <w:bCs/>
          <w:color w:val="auto"/>
          <w:kern w:val="0"/>
          <w:sz w:val="32"/>
          <w:szCs w:val="32"/>
          <w:shd w:val="clear" w:color="auto" w:fill="FFFFFF"/>
        </w:rPr>
        <w:t>二是</w:t>
      </w:r>
      <w:r>
        <w:rPr>
          <w:rFonts w:hint="default" w:ascii="Times New Roman" w:hAnsi="Times New Roman" w:eastAsia="仿宋_GB2312" w:cs="Times New Roman"/>
          <w:color w:val="auto"/>
          <w:kern w:val="0"/>
          <w:sz w:val="32"/>
          <w:szCs w:val="32"/>
          <w:shd w:val="clear" w:color="auto" w:fill="FFFFFF"/>
        </w:rPr>
        <w:t>结合乡村办工业小区建设，集中发展工业小区的仓储、运输等配套服务设施，提高工业企业的运转效率；</w:t>
      </w:r>
      <w:r>
        <w:rPr>
          <w:rFonts w:hint="default" w:ascii="Times New Roman" w:hAnsi="Times New Roman" w:eastAsia="仿宋_GB2312" w:cs="Times New Roman"/>
          <w:b/>
          <w:bCs/>
          <w:color w:val="auto"/>
          <w:kern w:val="0"/>
          <w:sz w:val="32"/>
          <w:szCs w:val="32"/>
          <w:shd w:val="clear" w:color="auto" w:fill="FFFFFF"/>
        </w:rPr>
        <w:t>三是</w:t>
      </w:r>
      <w:r>
        <w:rPr>
          <w:rFonts w:hint="default" w:ascii="Times New Roman" w:hAnsi="Times New Roman" w:eastAsia="仿宋_GB2312" w:cs="Times New Roman"/>
          <w:color w:val="auto"/>
          <w:kern w:val="0"/>
          <w:sz w:val="32"/>
          <w:szCs w:val="32"/>
          <w:shd w:val="clear" w:color="auto" w:fill="FFFFFF"/>
        </w:rPr>
        <w:t>建立社会融资服务体系，以乡村办工业积累为主，政府注资、社会集资、农民带资、银行融资、招商引资等多元化多渠道的融资服务体系，促进乡村企业快速健康发展。</w:t>
      </w:r>
    </w:p>
    <w:p>
      <w:pPr>
        <w:pStyle w:val="31"/>
        <w:spacing w:line="560" w:lineRule="exact"/>
        <w:ind w:firstLine="643" w:firstLineChars="200"/>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color w:val="auto"/>
          <w:kern w:val="2"/>
          <w:sz w:val="32"/>
          <w:szCs w:val="32"/>
        </w:rPr>
        <w:t>16.3.3服务农民，加强为居民生活的服务功能</w:t>
      </w:r>
    </w:p>
    <w:p>
      <w:pPr>
        <w:widowControl/>
        <w:spacing w:line="560" w:lineRule="exact"/>
        <w:ind w:firstLine="64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推进城乡一体化发展，促进基础设施和公共服务向农村延伸，逐步形成城乡发展规划、产业布局、基础设施、公共服务均等一体化新格局，建立高效的城乡生产和生活服务体系。丰富服务内容。改造提升农村客运、餐饮住宿、商超零售、美容美发、洗浴、照相、电器维修、再生资源回收等乡村生活服务业，积极发展养老护幼、卫生保洁、文化演出、体育健身、法律咨询、信息中介、典礼司仪等乡村服务业。创新服务方式。积极发展订制服务、体验服务、智慧服务、共享服务、绿色服务等新形态，探索</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线上交易+线下服务</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的新模式。鼓励各类服务主体建设运营覆盖娱乐、健康、教育、家政、体育等领域的在线服务平台，推动传统服务业升级改造，为乡村居民提供高效便捷服务。</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681" w:name="_Toc26804"/>
      <w:bookmarkStart w:id="682" w:name="_Toc15606"/>
      <w:bookmarkStart w:id="683" w:name="_Toc8513"/>
      <w:bookmarkStart w:id="684" w:name="_Toc11988"/>
      <w:bookmarkStart w:id="685" w:name="_Toc1740"/>
      <w:bookmarkStart w:id="686" w:name="_Toc26907"/>
      <w:bookmarkStart w:id="687" w:name="_Toc3683"/>
      <w:bookmarkStart w:id="688" w:name="_Toc28085"/>
      <w:r>
        <w:rPr>
          <w:rFonts w:hint="default" w:ascii="Times New Roman" w:hAnsi="Times New Roman" w:eastAsia="仿宋_GB2312" w:cs="Times New Roman"/>
          <w:b/>
          <w:color w:val="auto"/>
          <w:sz w:val="32"/>
          <w:szCs w:val="32"/>
        </w:rPr>
        <w:t>16.4实施乡村就业创业促进行动</w:t>
      </w:r>
      <w:bookmarkEnd w:id="681"/>
      <w:bookmarkEnd w:id="682"/>
      <w:bookmarkEnd w:id="683"/>
      <w:bookmarkEnd w:id="684"/>
      <w:bookmarkEnd w:id="685"/>
      <w:bookmarkEnd w:id="686"/>
      <w:bookmarkEnd w:id="687"/>
      <w:bookmarkEnd w:id="688"/>
    </w:p>
    <w:p>
      <w:pPr>
        <w:widowControl/>
        <w:spacing w:line="560" w:lineRule="exact"/>
        <w:ind w:firstLine="640"/>
        <w:jc w:val="both"/>
        <w:rPr>
          <w:rFonts w:hint="default" w:ascii="Times New Roman" w:hAnsi="Times New Roman" w:eastAsia="黑体" w:cs="Times New Roman"/>
          <w:color w:val="auto"/>
          <w:kern w:val="0"/>
          <w:sz w:val="28"/>
          <w:szCs w:val="28"/>
          <w:lang w:val="mn-Mong-CN" w:bidi="mn-Mong-CN"/>
        </w:rPr>
      </w:pPr>
      <w:r>
        <w:rPr>
          <w:rFonts w:hint="default" w:ascii="Times New Roman" w:hAnsi="Times New Roman" w:eastAsia="仿宋_GB2312" w:cs="Times New Roman"/>
          <w:color w:val="auto"/>
          <w:kern w:val="0"/>
          <w:sz w:val="32"/>
          <w:szCs w:val="32"/>
          <w:shd w:val="clear" w:color="auto" w:fill="FFFFFF"/>
        </w:rPr>
        <w:t>健全覆盖城乡的县、镇（街）、村（社区）三级公共就业服务体系，完善人力资源信息系统，做实公共就业服务。深化户籍制度改革，推动农业转移人口平等享受城镇公共服务。大规模开展职业技能培训，对有培训意愿的农民工实现应训尽训，切实提升其就业能力。优化创业担保贷款政策，引导县内外金融、投资、基金公司支持重点群体创办的高成长性企业发展。健全农村劳动力回引长效机制，大力发展文化、科技、旅游等乡村特色产业，振兴一批传统工艺，培育一批家庭工场、手工作坊、乡村车间。推进农民工返乡创业园、</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星创天地</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、众创空间等乡村创新创业孵化基地建设，着力回引农村劳动力返乡就业创业。每年遴选一批高校毕业生、登记失业人员、返乡农民工、复员退伍军人等创办的优质企业开展跟踪扶持和深度培训。实施</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泛海扬帆</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大学生创业行动。到2025年，回引农村劳动力返乡就业创业1000人，开展就业技能培训3000人次，发放扶持创业贷款2000万元，培育向农村发展的孵化基地2个，扶持重点企业3家，支持泛海扬帆大学生农业创业项目4个。举办以创业论坛、创业大赛、创业展洽会为支撑的全县大众创业节，鼓励创业带动就业。力</w:t>
      </w:r>
      <w:r>
        <w:rPr>
          <w:rFonts w:hint="default" w:ascii="Times New Roman" w:hAnsi="Times New Roman" w:eastAsia="仿宋_GB2312" w:cs="Times New Roman"/>
          <w:color w:val="auto"/>
          <w:sz w:val="32"/>
          <w:szCs w:val="32"/>
        </w:rPr>
        <w:t>争实现农民</w:t>
      </w:r>
      <w:r>
        <w:rPr>
          <w:rFonts w:hint="default" w:ascii="Times New Roman" w:hAnsi="Times New Roman" w:eastAsia="仿宋_GB2312" w:cs="Times New Roman"/>
          <w:color w:val="auto"/>
          <w:sz w:val="32"/>
          <w:szCs w:val="32"/>
          <w:lang w:val="en-US" w:eastAsia="zh-CN"/>
        </w:rPr>
        <w:t>人均</w:t>
      </w:r>
      <w:r>
        <w:rPr>
          <w:rFonts w:hint="default" w:ascii="Times New Roman" w:hAnsi="Times New Roman" w:eastAsia="仿宋_GB2312" w:cs="Times New Roman"/>
          <w:color w:val="auto"/>
          <w:sz w:val="32"/>
          <w:szCs w:val="32"/>
        </w:rPr>
        <w:t>劳务增收2000</w:t>
      </w:r>
      <w:r>
        <w:rPr>
          <w:rFonts w:hint="default" w:ascii="Times New Roman" w:hAnsi="Times New Roman" w:eastAsia="仿宋_GB2312" w:cs="Times New Roman"/>
          <w:color w:val="auto"/>
          <w:kern w:val="0"/>
          <w:sz w:val="32"/>
          <w:szCs w:val="32"/>
          <w:shd w:val="clear" w:color="auto" w:fill="FFFFFF"/>
        </w:rPr>
        <w:t>元以上。</w:t>
      </w:r>
      <w:bookmarkStart w:id="689" w:name="_Toc5481"/>
      <w:bookmarkStart w:id="690" w:name="_Toc19082"/>
      <w:bookmarkStart w:id="691" w:name="_Toc31446"/>
      <w:bookmarkStart w:id="692" w:name="_Toc13129"/>
      <w:bookmarkStart w:id="693" w:name="_Toc12917"/>
      <w:bookmarkStart w:id="694" w:name="_Toc24975"/>
      <w:bookmarkStart w:id="695" w:name="_Toc2579"/>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mn-Mong-CN" w:bidi="mn-Mong-CN"/>
        </w:rPr>
      </w:pPr>
      <w:bookmarkStart w:id="696" w:name="_Toc30722"/>
      <w:r>
        <w:rPr>
          <w:rFonts w:hint="default" w:ascii="Times New Roman" w:hAnsi="Times New Roman" w:eastAsia="黑体" w:cs="Times New Roman"/>
          <w:color w:val="auto"/>
          <w:kern w:val="0"/>
          <w:sz w:val="32"/>
          <w:szCs w:val="32"/>
          <w:lang w:val="mn-Mong-CN" w:bidi="mn-Mong-CN"/>
        </w:rPr>
        <w:t>第十七章</w:t>
      </w:r>
      <w:bookmarkEnd w:id="689"/>
      <w:bookmarkEnd w:id="690"/>
      <w:bookmarkEnd w:id="691"/>
      <w:bookmarkEnd w:id="692"/>
      <w:bookmarkEnd w:id="693"/>
      <w:bookmarkEnd w:id="694"/>
      <w:bookmarkEnd w:id="695"/>
      <w:r>
        <w:rPr>
          <w:rFonts w:hint="default" w:ascii="Times New Roman" w:hAnsi="Times New Roman" w:eastAsia="黑体" w:cs="Times New Roman"/>
          <w:color w:val="auto"/>
          <w:kern w:val="0"/>
          <w:sz w:val="32"/>
          <w:szCs w:val="32"/>
          <w:lang w:bidi="mn-Mong-CN"/>
        </w:rPr>
        <w:t xml:space="preserve">  </w:t>
      </w:r>
      <w:r>
        <w:rPr>
          <w:rFonts w:hint="default" w:ascii="Times New Roman" w:hAnsi="Times New Roman" w:eastAsia="黑体" w:cs="Times New Roman"/>
          <w:color w:val="auto"/>
          <w:kern w:val="0"/>
          <w:sz w:val="32"/>
          <w:szCs w:val="32"/>
          <w:lang w:val="mn-Mong-CN" w:bidi="mn-Mong-CN"/>
        </w:rPr>
        <w:t>推动脱贫攻坚与乡村振兴有效衔接</w:t>
      </w:r>
      <w:bookmarkEnd w:id="696"/>
    </w:p>
    <w:p>
      <w:pPr>
        <w:pStyle w:val="17"/>
        <w:spacing w:line="560" w:lineRule="exact"/>
        <w:ind w:left="0" w:leftChars="0" w:firstLine="640" w:firstLineChars="200"/>
        <w:rPr>
          <w:rStyle w:val="33"/>
          <w:rFonts w:hint="default" w:ascii="Times New Roman" w:hAnsi="Times New Roman" w:eastAsia="仿宋_GB2312" w:cs="Times New Roman"/>
          <w:color w:val="auto"/>
          <w:sz w:val="32"/>
          <w:szCs w:val="32"/>
        </w:rPr>
      </w:pP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十四五</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时期，扶贫工作已从消除</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绝对贫困</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进入到减缓</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相对贫困</w:t>
      </w:r>
      <w:r>
        <w:rPr>
          <w:rStyle w:val="33"/>
          <w:rFonts w:hint="default" w:ascii="Times New Roman" w:hAnsi="Times New Roman" w:eastAsia="仿宋_GB2312" w:cs="Times New Roman"/>
          <w:color w:val="auto"/>
          <w:sz w:val="32"/>
          <w:szCs w:val="32"/>
          <w:lang w:eastAsia="zh-CN"/>
        </w:rPr>
        <w:t>”</w:t>
      </w:r>
      <w:r>
        <w:rPr>
          <w:rStyle w:val="33"/>
          <w:rFonts w:hint="default" w:ascii="Times New Roman" w:hAnsi="Times New Roman" w:eastAsia="仿宋_GB2312" w:cs="Times New Roman"/>
          <w:color w:val="auto"/>
          <w:sz w:val="32"/>
          <w:szCs w:val="32"/>
        </w:rPr>
        <w:t>的新阶段，大英县要统筹协调好巩固脱贫攻坚成果与全面实施乡村振兴战略，转变扶贫工作思路，将扶贫开发工作重点从促进扶贫对象增收为主向增收与完善社会保障、提高生活质量并重转变，紧盯目标，精准施策，全力打好低收入农户增收攻坚战，基本消除相对贫困，让低收入百姓生活得更好一些，与全国人民一道进入高水平全面小康社会。</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697" w:name="_Toc16379"/>
      <w:bookmarkStart w:id="698" w:name="_Toc4943"/>
      <w:bookmarkStart w:id="699" w:name="_Toc10176"/>
      <w:bookmarkStart w:id="700" w:name="_Toc1792"/>
      <w:bookmarkStart w:id="701" w:name="_Toc1347"/>
      <w:bookmarkStart w:id="702" w:name="_Toc7071"/>
      <w:bookmarkStart w:id="703" w:name="_Toc2641"/>
      <w:bookmarkStart w:id="704" w:name="_Toc17753"/>
      <w:r>
        <w:rPr>
          <w:rFonts w:hint="default" w:ascii="Times New Roman" w:hAnsi="Times New Roman" w:eastAsia="仿宋_GB2312" w:cs="Times New Roman"/>
          <w:b/>
          <w:color w:val="auto"/>
          <w:sz w:val="32"/>
          <w:szCs w:val="32"/>
        </w:rPr>
        <w:t>17.1</w:t>
      </w:r>
      <w:bookmarkEnd w:id="697"/>
      <w:bookmarkEnd w:id="698"/>
      <w:bookmarkEnd w:id="699"/>
      <w:bookmarkEnd w:id="700"/>
      <w:bookmarkEnd w:id="701"/>
      <w:bookmarkEnd w:id="702"/>
      <w:bookmarkEnd w:id="703"/>
      <w:r>
        <w:rPr>
          <w:rFonts w:hint="default" w:ascii="Times New Roman" w:hAnsi="Times New Roman" w:eastAsia="仿宋_GB2312" w:cs="Times New Roman"/>
          <w:b/>
          <w:color w:val="auto"/>
          <w:sz w:val="32"/>
          <w:szCs w:val="32"/>
        </w:rPr>
        <w:t>做好扶贫政策的紧密衔接</w:t>
      </w:r>
      <w:bookmarkEnd w:id="704"/>
    </w:p>
    <w:p>
      <w:pPr>
        <w:pStyle w:val="31"/>
        <w:spacing w:line="560" w:lineRule="exact"/>
        <w:ind w:firstLine="643" w:firstLineChars="200"/>
        <w:rPr>
          <w:rFonts w:hint="default" w:ascii="Times New Roman" w:hAnsi="Times New Roman" w:eastAsia="仿宋_GB2312" w:cs="Times New Roman"/>
          <w:b/>
          <w:color w:val="auto"/>
          <w:kern w:val="2"/>
          <w:sz w:val="32"/>
          <w:szCs w:val="32"/>
        </w:rPr>
      </w:pPr>
      <w:bookmarkStart w:id="705" w:name="_Toc23374"/>
      <w:bookmarkStart w:id="706" w:name="_Toc518"/>
      <w:bookmarkStart w:id="707" w:name="_Toc17054"/>
      <w:bookmarkStart w:id="708" w:name="_Toc19638"/>
      <w:bookmarkStart w:id="709" w:name="_Toc31858"/>
      <w:bookmarkStart w:id="710" w:name="_Toc31436"/>
      <w:bookmarkStart w:id="711" w:name="_Toc19146"/>
      <w:r>
        <w:rPr>
          <w:rFonts w:hint="default" w:ascii="Times New Roman" w:hAnsi="Times New Roman" w:eastAsia="仿宋_GB2312" w:cs="Times New Roman"/>
          <w:b/>
          <w:color w:val="auto"/>
          <w:kern w:val="2"/>
          <w:sz w:val="32"/>
          <w:szCs w:val="32"/>
        </w:rPr>
        <w:t>17.1.1建立健全巩固拓展脱贫攻坚成果长效机制</w:t>
      </w:r>
    </w:p>
    <w:p>
      <w:pPr>
        <w:widowControl/>
        <w:spacing w:line="560" w:lineRule="exact"/>
        <w:ind w:firstLine="64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严格落实党中央设立的5年过渡期和</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四个不摘</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要求，在过渡期内，确保主要帮扶政策总体稳定，认真落实省市关于巩固拓展脱贫攻坚成果同乡村振兴有效衔接</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1+N</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有关政策，做好各项政策的紧密衔接，促进工作平稳有序推进。健全防止返贫动态监测、快速发现和响应机制，做到及时发现、分类帮扶、动态清零，确保不出现规模性返贫现象。建立农户主动申请、部门信息比对、基层干部定期跟踪回访相结合的易返贫致贫人口发现和核查机制，实施帮扶对象动态管理。开展定期检查、动态管理，重点监测其收入支出状况、</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两不愁三保障</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及饮水安全状况。建立健全易返贫致贫人口快速发现和响应机制，分层分类及时纳入帮扶政策范围，实行动态清零。</w:t>
      </w:r>
    </w:p>
    <w:p>
      <w:pPr>
        <w:pStyle w:val="31"/>
        <w:spacing w:line="560" w:lineRule="exact"/>
        <w:ind w:firstLine="643" w:firstLineChars="200"/>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color w:val="auto"/>
          <w:kern w:val="2"/>
          <w:sz w:val="32"/>
          <w:szCs w:val="32"/>
        </w:rPr>
        <w:t>17.1.2做好易地扶贫后续扶持工作</w:t>
      </w:r>
    </w:p>
    <w:p>
      <w:pPr>
        <w:widowControl/>
        <w:spacing w:line="560" w:lineRule="exact"/>
        <w:ind w:firstLine="64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持续强化政策倾斜，完善龙头企业、合作社、基本农户等利益联结模式，用好产业保险，增强市场竞争力和抗风险能力。推动社会扶贫、消费扶贫等工作常态化。持续稳定脱贫人口就业，有效结合全县产业发展趋势和企业招工需求，精心组织开展好专场招聘会，实施精准就业培训和服务，确保有就业意愿、就业能力的脱贫劳动力有稳定的就业岗位和务工收入。落实易地扶贫搬迁后续扶持政策，加快安置区公共服务配套、产业培育带动、就业平台建设和生活基本保障等，因地制宜建立和落实易地扶贫搬迁后续扶持举措，切实做好脱贫人口稳岗就业和安置地管护工作，确保群众搬得出、稳得住、能致富。</w:t>
      </w:r>
    </w:p>
    <w:p>
      <w:pPr>
        <w:pStyle w:val="31"/>
        <w:spacing w:line="560" w:lineRule="exact"/>
        <w:ind w:firstLine="643" w:firstLineChars="200"/>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color w:val="auto"/>
          <w:kern w:val="2"/>
          <w:sz w:val="32"/>
          <w:szCs w:val="32"/>
        </w:rPr>
        <w:t>17.1.3加强扶贫项目监管工作</w:t>
      </w:r>
    </w:p>
    <w:p>
      <w:pPr>
        <w:widowControl/>
        <w:spacing w:line="560" w:lineRule="exact"/>
        <w:ind w:firstLine="64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分类摸清各类扶贫项目形成的资产底数，落实公益性资产管护主体，明确管护责任，确保继续发挥作用。明晰经营性资产产权关系，防止资产流失和被侵占，资产收益重点用于项目运行管护、巩固拓展脱贫攻坚成果、村级公益事业等。按照自主管理和运营的思路，确权到农户或其他经营主体的扶贫资产，依法维护其财产权利。对标上级部署要求，及时制定、完善、优化调整财政投入、土地支持等方面的具体措施，确保工作不留空档、政策不留空白。强化扶贫项目和资产监管，建立扶贫项目和资产管理长效机制，分类摸、分级确定资产权属，确保资产收益、项目运行管护和村级公益事业有机结合，提高扶贫资金使用与项目运行效益。</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712" w:name="_Toc30750"/>
      <w:r>
        <w:rPr>
          <w:rFonts w:hint="default" w:ascii="Times New Roman" w:hAnsi="Times New Roman" w:eastAsia="仿宋_GB2312" w:cs="Times New Roman"/>
          <w:b/>
          <w:color w:val="auto"/>
          <w:sz w:val="32"/>
          <w:szCs w:val="32"/>
        </w:rPr>
        <w:t>17.2巩固提升扶贫产业发展质量</w:t>
      </w:r>
      <w:bookmarkEnd w:id="712"/>
    </w:p>
    <w:p>
      <w:pPr>
        <w:pStyle w:val="31"/>
        <w:spacing w:line="560" w:lineRule="exact"/>
        <w:ind w:firstLine="643" w:firstLineChars="200"/>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color w:val="auto"/>
          <w:kern w:val="2"/>
          <w:sz w:val="32"/>
          <w:szCs w:val="32"/>
        </w:rPr>
        <w:t>17.2.1持续拓展产业扶持路径</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继续聚焦脱贫村、脱贫户、低收入农户（相对贫困户）增收，围绕培育乡村产业，巩固产业扶贫项目成果。夯实“产联式”扶贫模式，运用资本联投、生产联管、经营联动、效益联赢、风险联控“五联机制”，支持各村积极融入现代特色农业产业体系，补上技术、设施、营销等短板，促进产业提档升级，打牢乡村振兴的产业发展基础。强化产业管护机制，按照“谁建设、谁管理、谁受益”原则，继续推进产业扶贫项目建设，明确产业管护主体，落实日常管护责任，及时做好扶贫产业田管工作，不断提升产业形象，确保产业持续发挥效益。</w:t>
      </w:r>
    </w:p>
    <w:p>
      <w:pPr>
        <w:pStyle w:val="31"/>
        <w:spacing w:line="560" w:lineRule="exact"/>
        <w:ind w:firstLine="643" w:firstLineChars="200"/>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color w:val="auto"/>
          <w:kern w:val="2"/>
          <w:sz w:val="32"/>
          <w:szCs w:val="32"/>
        </w:rPr>
        <w:t>17.2.2健全完善农户收入保障机制</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鼓励新型农业经营主体、农业龙头企业和农民专业合作社到低收入农户相对集中地区建立农产品生产、加工、仓储、物流基地，通过订单农业、劳动雇用或土地流转、入股等方式和低收入农户建立利益联结机制，支持有条件的低收入农户因地制宜发展乡村旅游、来料加工、家政服务、电子商务等特色产业项目。加快扶持建设一批低收入农户产业扶贫基地，培育一批扶贫致富带头人，每个致富带头人至少带动10户低收入农户创业就业。强化稳定收入途径，坚持“长短结合、种养结合、特色明显”，狠抓生猪、土鸡和粮油生产和优质水果、道地中药材等特色产业，大力增加秋菜秋粮面积，千方百计增加脱贫村、脱贫户和低收入农户的收入。</w:t>
      </w:r>
    </w:p>
    <w:p>
      <w:pPr>
        <w:pStyle w:val="31"/>
        <w:spacing w:line="560" w:lineRule="exact"/>
        <w:ind w:firstLine="643" w:firstLineChars="200"/>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color w:val="auto"/>
          <w:kern w:val="2"/>
          <w:sz w:val="32"/>
          <w:szCs w:val="32"/>
        </w:rPr>
        <w:t>17.2.3全面提升集体经济薄弱村发展能力</w:t>
      </w:r>
    </w:p>
    <w:p>
      <w:pPr>
        <w:pStyle w:val="31"/>
        <w:spacing w:line="560" w:lineRule="exact"/>
        <w:ind w:firstLine="640" w:firstLineChars="200"/>
        <w:rPr>
          <w:rFonts w:hint="default" w:ascii="Times New Roman" w:hAnsi="Times New Roman" w:eastAsia="仿宋_GB2312" w:cs="Times New Roman"/>
          <w:color w:val="auto"/>
          <w:kern w:val="2"/>
          <w:sz w:val="32"/>
          <w:szCs w:val="32"/>
          <w:lang w:val="zh-CN"/>
        </w:rPr>
      </w:pPr>
      <w:r>
        <w:rPr>
          <w:rFonts w:hint="default" w:ascii="Times New Roman" w:hAnsi="Times New Roman" w:eastAsia="仿宋_GB2312" w:cs="Times New Roman"/>
          <w:color w:val="auto"/>
          <w:kern w:val="2"/>
          <w:sz w:val="32"/>
          <w:szCs w:val="32"/>
        </w:rPr>
        <w:t>实施村集体经济薄弱村消除行动，建立集体经济薄弱村扶持长效机制，用好用活各类扶持政策。</w:t>
      </w:r>
      <w:r>
        <w:rPr>
          <w:rFonts w:hint="default" w:ascii="Times New Roman" w:hAnsi="Times New Roman" w:eastAsia="仿宋_GB2312" w:cs="Times New Roman"/>
          <w:color w:val="auto"/>
          <w:kern w:val="2"/>
          <w:sz w:val="32"/>
          <w:szCs w:val="32"/>
          <w:lang w:val="zh-CN"/>
        </w:rPr>
        <w:t>加强农村基层组织工作，</w:t>
      </w:r>
      <w:r>
        <w:rPr>
          <w:rFonts w:hint="default" w:ascii="Times New Roman" w:hAnsi="Times New Roman" w:eastAsia="仿宋_GB2312" w:cs="Times New Roman"/>
          <w:color w:val="auto"/>
          <w:kern w:val="2"/>
          <w:sz w:val="32"/>
          <w:szCs w:val="32"/>
        </w:rPr>
        <w:t>采取专项帮扶、强村帮带、联村发展等措施，全面消除集体经济空壳村，扶持和培育发展集体经济薄弱村，保持</w:t>
      </w:r>
      <w:r>
        <w:rPr>
          <w:rFonts w:hint="default" w:ascii="Times New Roman" w:hAnsi="Times New Roman" w:eastAsia="仿宋_GB2312" w:cs="Times New Roman"/>
          <w:color w:val="auto"/>
          <w:kern w:val="2"/>
          <w:sz w:val="32"/>
          <w:szCs w:val="32"/>
          <w:lang w:val="zh-CN"/>
        </w:rPr>
        <w:t>村级集体经济稳定增长。到2025年，力争</w:t>
      </w:r>
      <w:r>
        <w:rPr>
          <w:rFonts w:hint="default" w:ascii="Times New Roman" w:hAnsi="Times New Roman" w:eastAsia="仿宋_GB2312" w:cs="Times New Roman"/>
          <w:color w:val="auto"/>
          <w:kern w:val="2"/>
          <w:sz w:val="32"/>
          <w:szCs w:val="32"/>
        </w:rPr>
        <w:t>薄弱</w:t>
      </w:r>
      <w:r>
        <w:rPr>
          <w:rFonts w:hint="default" w:ascii="Times New Roman" w:hAnsi="Times New Roman" w:eastAsia="仿宋_GB2312" w:cs="Times New Roman"/>
          <w:color w:val="auto"/>
          <w:kern w:val="2"/>
          <w:sz w:val="32"/>
          <w:szCs w:val="32"/>
          <w:lang w:val="zh-CN"/>
        </w:rPr>
        <w:t>村集体经济年经营性收入达到10万元。</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713" w:name="_Toc13479"/>
      <w:r>
        <w:rPr>
          <w:rFonts w:hint="default" w:ascii="Times New Roman" w:hAnsi="Times New Roman" w:eastAsia="仿宋_GB2312" w:cs="Times New Roman"/>
          <w:b/>
          <w:color w:val="auto"/>
          <w:sz w:val="32"/>
          <w:szCs w:val="32"/>
        </w:rPr>
        <w:t>17.3加强社会保障扶持工作</w:t>
      </w:r>
      <w:bookmarkEnd w:id="713"/>
    </w:p>
    <w:p>
      <w:pPr>
        <w:pStyle w:val="31"/>
        <w:spacing w:line="560" w:lineRule="exact"/>
        <w:ind w:firstLine="643" w:firstLineChars="200"/>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color w:val="auto"/>
          <w:kern w:val="2"/>
          <w:sz w:val="32"/>
          <w:szCs w:val="32"/>
        </w:rPr>
        <w:t>17.3.1公共服务和</w:t>
      </w:r>
      <w:r>
        <w:rPr>
          <w:rFonts w:hint="default" w:ascii="Times New Roman" w:hAnsi="Times New Roman" w:eastAsia="仿宋_GB2312" w:cs="Times New Roman"/>
          <w:b/>
          <w:color w:val="auto"/>
          <w:kern w:val="2"/>
          <w:sz w:val="32"/>
          <w:szCs w:val="32"/>
          <w:lang w:val="zh-CN"/>
        </w:rPr>
        <w:t>社会保障水平显著提高</w:t>
      </w:r>
    </w:p>
    <w:p>
      <w:pPr>
        <w:pStyle w:val="36"/>
        <w:shd w:val="clear" w:color="auto" w:fill="auto"/>
        <w:tabs>
          <w:tab w:val="left" w:pos="1152"/>
        </w:tabs>
        <w:spacing w:after="0" w:line="560" w:lineRule="exact"/>
        <w:ind w:left="-280" w:firstLine="640" w:firstLineChars="200"/>
        <w:jc w:val="both"/>
        <w:rPr>
          <w:rStyle w:val="33"/>
          <w:rFonts w:hint="default" w:ascii="Times New Roman" w:hAnsi="Times New Roman" w:eastAsia="仿宋_GB2312" w:cs="Times New Roman"/>
          <w:color w:val="auto"/>
          <w:spacing w:val="0"/>
          <w:sz w:val="32"/>
          <w:szCs w:val="32"/>
          <w:lang w:val="zh-CN"/>
        </w:rPr>
      </w:pPr>
      <w:r>
        <w:rPr>
          <w:rStyle w:val="33"/>
          <w:rFonts w:hint="default" w:ascii="Times New Roman" w:hAnsi="Times New Roman" w:eastAsia="仿宋_GB2312" w:cs="Times New Roman"/>
          <w:color w:val="auto"/>
          <w:spacing w:val="0"/>
          <w:sz w:val="32"/>
          <w:szCs w:val="32"/>
          <w:lang w:val="zh-CN"/>
        </w:rPr>
        <w:t>统筹各类保障措施，进一步健全以社会保险、社会救助、社会福利制度为主体，以社会帮扶为辅助的综合保障体系。逐步提高社会保障范围和保障标准，让低保户以外的低收入农户社会保险、社会救助、社会福利等社会保障政策实现全覆盖，做到应保尽保、应补尽补；及时有针对性地给予困难群众医疗、教育、住房、就业等专项救助，做到精准识别、应救尽救；对基本生活陷入暂时困难的群众加强临时救助，做到凡困必帮、有难必救；鼓励通过政府购买服务对社会救助家庭中生活不能自理的老年人、未成年人、残疾人等提供必要的访视、照料服务，确保不出现相对贫困现象。低收入农户的生活质量明显改善，住房、教育、医疗、社会保障等指标达到全面小康标准。</w:t>
      </w:r>
    </w:p>
    <w:p>
      <w:pPr>
        <w:pStyle w:val="31"/>
        <w:spacing w:line="560" w:lineRule="exact"/>
        <w:ind w:firstLine="643" w:firstLineChars="200"/>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color w:val="auto"/>
          <w:kern w:val="2"/>
          <w:sz w:val="32"/>
          <w:szCs w:val="32"/>
        </w:rPr>
        <w:t>17.3.2做好特</w:t>
      </w:r>
      <w:r>
        <w:rPr>
          <w:rFonts w:hint="default" w:ascii="Times New Roman" w:hAnsi="Times New Roman" w:eastAsia="仿宋_GB2312" w:cs="Times New Roman"/>
          <w:b/>
          <w:color w:val="auto"/>
          <w:kern w:val="2"/>
          <w:sz w:val="32"/>
          <w:szCs w:val="32"/>
          <w:lang w:eastAsia="zh-CN"/>
        </w:rPr>
        <w:t>殊</w:t>
      </w:r>
      <w:r>
        <w:rPr>
          <w:rFonts w:hint="default" w:ascii="Times New Roman" w:hAnsi="Times New Roman" w:eastAsia="仿宋_GB2312" w:cs="Times New Roman"/>
          <w:b/>
          <w:color w:val="auto"/>
          <w:kern w:val="2"/>
          <w:sz w:val="32"/>
          <w:szCs w:val="32"/>
        </w:rPr>
        <w:t>人群政策兜底工作</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完善城乡居民基本医疗保险参保个人缴费资助政策，继续全额资助农村特困人员，定额资助低保对象，过渡期内逐步调整脱贫人口资助政策，大病保险继续对低保对象、特困人员和返贫致贫人口进行倾斜支付；进一步夯实医疗救助托底保障，合理设定年度救助限额，合理控制救助对象政策范围内自付费用比例。按照最低缴费档次为参加城乡居民养老保险的低保对象、特困人员、返贫致贫人口、重度残疾人等缴费困难群体代缴部分或全部保费。强化县镇两级养老机构对失能、部分失能特困老年人口的兜底保障。加大对孤儿、事实无人抚养儿童等保障力度。全面落实困难残疾人生活补贴和重度残疾人护理补贴制度，及时对因残致贫低收入农户开展帮扶救助；完善灾害救助制度，对遭受自然灾害造成临时性困难的低收入农户，及时给予自然灾害救助，开展新一轮农村困难家庭危房改造及时救助工作。继续实施教育扶贫政策，完善对低收入农户子女不同教育阶段的奖补或减免政策，对低收入农户子女的学前教育和高中阶段教育实施免学费免杂费、给予生活补助的政策。</w:t>
      </w:r>
      <w:bookmarkEnd w:id="705"/>
      <w:bookmarkEnd w:id="706"/>
      <w:bookmarkEnd w:id="707"/>
      <w:bookmarkEnd w:id="708"/>
      <w:bookmarkEnd w:id="709"/>
      <w:bookmarkEnd w:id="710"/>
      <w:bookmarkEnd w:id="711"/>
      <w:bookmarkStart w:id="714" w:name="_Toc22589"/>
      <w:bookmarkStart w:id="715" w:name="_Toc31863"/>
      <w:bookmarkStart w:id="716" w:name="_Toc31348"/>
      <w:bookmarkStart w:id="717" w:name="_Toc30605"/>
      <w:bookmarkStart w:id="718" w:name="_Toc25837"/>
      <w:bookmarkStart w:id="719" w:name="_Toc7714"/>
      <w:bookmarkStart w:id="720" w:name="_Toc11594"/>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721" w:name="_Toc20719"/>
      <w:r>
        <w:rPr>
          <w:rFonts w:hint="default" w:ascii="Times New Roman" w:hAnsi="Times New Roman" w:eastAsia="仿宋_GB2312" w:cs="Times New Roman"/>
          <w:b/>
          <w:color w:val="auto"/>
          <w:sz w:val="32"/>
          <w:szCs w:val="32"/>
        </w:rPr>
        <w:t>17.4</w:t>
      </w:r>
      <w:bookmarkEnd w:id="714"/>
      <w:bookmarkEnd w:id="715"/>
      <w:bookmarkEnd w:id="716"/>
      <w:bookmarkEnd w:id="717"/>
      <w:bookmarkEnd w:id="718"/>
      <w:bookmarkEnd w:id="719"/>
      <w:bookmarkEnd w:id="720"/>
      <w:r>
        <w:rPr>
          <w:rFonts w:hint="default" w:ascii="Times New Roman" w:hAnsi="Times New Roman" w:eastAsia="仿宋_GB2312" w:cs="Times New Roman"/>
          <w:b/>
          <w:color w:val="auto"/>
          <w:sz w:val="32"/>
          <w:szCs w:val="32"/>
        </w:rPr>
        <w:t>优化帮扶工作机制</w:t>
      </w:r>
      <w:bookmarkEnd w:id="721"/>
    </w:p>
    <w:p>
      <w:pPr>
        <w:spacing w:line="560" w:lineRule="exact"/>
        <w:ind w:firstLine="640" w:firstLineChars="200"/>
        <w:rPr>
          <w:rFonts w:hint="default" w:ascii="Times New Roman" w:hAnsi="Times New Roman" w:eastAsia="黑体" w:cs="Times New Roman"/>
          <w:b/>
          <w:bCs/>
          <w:color w:val="auto"/>
          <w:sz w:val="32"/>
          <w:szCs w:val="32"/>
        </w:rPr>
      </w:pPr>
      <w:r>
        <w:rPr>
          <w:rStyle w:val="33"/>
          <w:rFonts w:hint="default" w:ascii="Times New Roman" w:hAnsi="Times New Roman" w:eastAsia="仿宋_GB2312" w:cs="Times New Roman"/>
          <w:color w:val="auto"/>
          <w:sz w:val="32"/>
          <w:szCs w:val="32"/>
          <w:lang w:val="zh-CN"/>
        </w:rPr>
        <w:t>围绕乡村振兴发展规划和各项重点任务，结合脱贫村巩固发展、特色乡村示范村建设、集体经济薄弱村扶持、基层组织软弱涣散村整顿等工作，突出重点、盯住难点、聚焦亮点，调整优化县级部门和企事业单位联系帮扶机制。确定一批巩固拓展脱贫攻坚与乡村振兴任务重的村，根据需要继续选派驻村第一书记和工作队，确保人员、政策、工作等有序衔接、平稳过渡。做好38个脱贫村、</w:t>
      </w:r>
      <w:r>
        <w:rPr>
          <w:rStyle w:val="33"/>
          <w:rFonts w:hint="default" w:ascii="Times New Roman" w:hAnsi="Times New Roman" w:eastAsia="仿宋_GB2312" w:cs="Times New Roman"/>
          <w:color w:val="auto"/>
          <w:sz w:val="32"/>
          <w:szCs w:val="32"/>
          <w:lang w:val="en-US" w:eastAsia="zh-CN"/>
        </w:rPr>
        <w:t>4</w:t>
      </w:r>
      <w:r>
        <w:rPr>
          <w:rStyle w:val="33"/>
          <w:rFonts w:hint="default" w:ascii="Times New Roman" w:hAnsi="Times New Roman" w:eastAsia="仿宋_GB2312" w:cs="Times New Roman"/>
          <w:color w:val="auto"/>
          <w:sz w:val="32"/>
          <w:szCs w:val="32"/>
          <w:lang w:val="zh-CN"/>
        </w:rPr>
        <w:t>个乡村振兴重点村以及其他特色示范村和经济薄弱村等需要重点帮扶发展村的驻村帮扶力量选派及管理工作，并同步做好驻村干部期满考核及轮换工作。建立党政带头、社会参与、群众自力、各界协作的长效机制，发挥党员干部先锋模范作用，发挥工会、共青团、妇联、科协、残联等群团组织优势和各民主党派、工商联、无党派人士等积极作用，鼓励各类社会组织有针对性地组织开展社会扶贫活动，广泛发动社会各界人士参与到乡村振兴工作中。认真落实信贷支持、财政贴息、扶持资金倾斜等优惠政策，鼓励各类企业、社会各界乡贤参与扶贫开发，通过设立专项基金、乡情基金、结对帮扶等形式助弱、助学、助老、助残、助医。</w:t>
      </w:r>
      <w:bookmarkStart w:id="722" w:name="_Toc9045"/>
      <w:bookmarkStart w:id="723" w:name="_Toc3248"/>
      <w:bookmarkStart w:id="724" w:name="_Toc20600"/>
      <w:bookmarkStart w:id="725" w:name="_Toc22461"/>
      <w:bookmarkStart w:id="726" w:name="_Toc17330"/>
      <w:bookmarkStart w:id="727" w:name="_Toc5081"/>
      <w:bookmarkStart w:id="728" w:name="_Toc13869"/>
    </w:p>
    <w:p>
      <w:pPr>
        <w:spacing w:before="312" w:beforeLines="100" w:after="312" w:afterLines="100" w:line="560" w:lineRule="exact"/>
        <w:jc w:val="center"/>
        <w:outlineLvl w:val="0"/>
        <w:rPr>
          <w:rFonts w:hint="default" w:ascii="Times New Roman" w:hAnsi="Times New Roman" w:eastAsia="黑体" w:cs="Times New Roman"/>
          <w:b w:val="0"/>
          <w:bCs w:val="0"/>
          <w:color w:val="auto"/>
          <w:sz w:val="32"/>
          <w:szCs w:val="32"/>
        </w:rPr>
      </w:pPr>
      <w:bookmarkStart w:id="729" w:name="_Toc21788"/>
      <w:r>
        <w:rPr>
          <w:rFonts w:hint="default" w:ascii="Times New Roman" w:hAnsi="Times New Roman" w:eastAsia="黑体" w:cs="Times New Roman"/>
          <w:b w:val="0"/>
          <w:bCs w:val="0"/>
          <w:color w:val="auto"/>
          <w:sz w:val="32"/>
          <w:szCs w:val="32"/>
        </w:rPr>
        <w:t xml:space="preserve">第六篇  </w:t>
      </w:r>
      <w:bookmarkEnd w:id="722"/>
      <w:bookmarkEnd w:id="723"/>
      <w:bookmarkEnd w:id="724"/>
      <w:bookmarkEnd w:id="725"/>
      <w:r>
        <w:rPr>
          <w:rFonts w:hint="default" w:ascii="Times New Roman" w:hAnsi="Times New Roman" w:eastAsia="黑体" w:cs="Times New Roman"/>
          <w:b w:val="0"/>
          <w:bCs w:val="0"/>
          <w:color w:val="auto"/>
          <w:sz w:val="32"/>
          <w:szCs w:val="32"/>
        </w:rPr>
        <w:t>高要求确保乡村振兴战略落地落实</w:t>
      </w:r>
      <w:bookmarkEnd w:id="726"/>
      <w:bookmarkEnd w:id="727"/>
      <w:bookmarkEnd w:id="728"/>
      <w:bookmarkEnd w:id="729"/>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mn-Mong-CN" w:bidi="mn-Mong-CN"/>
        </w:rPr>
      </w:pPr>
      <w:bookmarkStart w:id="730" w:name="_Toc23840"/>
      <w:bookmarkStart w:id="731" w:name="_Toc5766"/>
      <w:bookmarkStart w:id="732" w:name="_Toc13633"/>
      <w:bookmarkStart w:id="733" w:name="_Toc27689"/>
      <w:bookmarkStart w:id="734" w:name="_Toc14162"/>
      <w:bookmarkStart w:id="735" w:name="_Toc4471"/>
      <w:bookmarkStart w:id="736" w:name="_Toc4457"/>
      <w:bookmarkStart w:id="737" w:name="_Toc29990"/>
      <w:r>
        <w:rPr>
          <w:rFonts w:hint="default" w:ascii="Times New Roman" w:hAnsi="Times New Roman" w:eastAsia="黑体" w:cs="Times New Roman"/>
          <w:color w:val="auto"/>
          <w:kern w:val="0"/>
          <w:sz w:val="32"/>
          <w:szCs w:val="32"/>
          <w:lang w:val="mn-Mong-CN" w:bidi="mn-Mong-CN"/>
        </w:rPr>
        <w:t xml:space="preserve">第十八章  </w:t>
      </w:r>
      <w:bookmarkEnd w:id="730"/>
      <w:bookmarkEnd w:id="731"/>
      <w:bookmarkEnd w:id="732"/>
      <w:bookmarkEnd w:id="733"/>
      <w:r>
        <w:rPr>
          <w:rFonts w:hint="default" w:ascii="Times New Roman" w:hAnsi="Times New Roman" w:eastAsia="黑体" w:cs="Times New Roman"/>
          <w:color w:val="auto"/>
          <w:kern w:val="0"/>
          <w:sz w:val="32"/>
          <w:szCs w:val="32"/>
          <w:lang w:val="mn-Mong-CN" w:bidi="mn-Mong-CN"/>
        </w:rPr>
        <w:t>加强党对农村工作的领导</w:t>
      </w:r>
      <w:bookmarkEnd w:id="734"/>
      <w:bookmarkEnd w:id="735"/>
      <w:bookmarkEnd w:id="736"/>
      <w:bookmarkEnd w:id="737"/>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738" w:name="_Toc14897"/>
      <w:bookmarkStart w:id="739" w:name="_Toc10563"/>
      <w:bookmarkStart w:id="740" w:name="_Toc25019"/>
      <w:bookmarkStart w:id="741" w:name="_Toc29883"/>
      <w:bookmarkStart w:id="742" w:name="_Toc14328"/>
      <w:bookmarkStart w:id="743" w:name="_Toc17900"/>
      <w:bookmarkStart w:id="744" w:name="_Toc31723"/>
      <w:bookmarkStart w:id="745" w:name="_Toc10414"/>
      <w:r>
        <w:rPr>
          <w:rFonts w:hint="default" w:ascii="Times New Roman" w:hAnsi="Times New Roman" w:eastAsia="仿宋_GB2312" w:cs="Times New Roman"/>
          <w:b/>
          <w:color w:val="auto"/>
          <w:sz w:val="32"/>
          <w:szCs w:val="32"/>
          <w:lang w:val="zh-CN"/>
        </w:rPr>
        <w:t>18.1全面落实“五级书记抓乡村振兴”的要求</w:t>
      </w:r>
      <w:bookmarkEnd w:id="738"/>
      <w:bookmarkEnd w:id="739"/>
      <w:bookmarkEnd w:id="740"/>
      <w:bookmarkEnd w:id="741"/>
      <w:bookmarkEnd w:id="742"/>
      <w:bookmarkEnd w:id="743"/>
      <w:bookmarkEnd w:id="744"/>
      <w:bookmarkEnd w:id="745"/>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认真贯彻《中国共产党农村工作条例》，切实加强党对农村工作的领导，建立完善农业农村工作推进机制。切实落实“五级书记”抓乡村振兴规定，县委书记当好乡村振兴“一线总指挥”，把主要精力和工作重心放在“三农”工作上。建立健全县、镇（街道）、村三级联动工作机制，建立镇（街道）、村书记抓农业农村发展领导机制，加强县委农村工作部门、各镇（街道）农业农村工作专门机构建设，配备充实工作力量，完善工作机制，形成县委牵头、县政府负责、县级部门和各镇（街道）村抓落实的“三农”工作强大合力。将“三农”重点工作和实施乡村振兴战略任务作为县级涉农部门和基层党委领导班子建设的主要内容，落实目标责任，严格考核奖惩。出台全县党政领导班子和领导干部推进乡村振兴战略的实绩考核意见，并加强考核结果应用。深入开展兴调研转作风促落实行动，引导“三农”干部大兴调查研究之风，倡导求真务实精神，践行群众路线，杜绝形式主义、官僚主义，规范各类检查评比、考核督导事项，让基层干部集中精力干事创业。</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746" w:name="_Toc24427"/>
      <w:bookmarkStart w:id="747" w:name="_Toc1856"/>
      <w:bookmarkStart w:id="748" w:name="_Toc21080"/>
      <w:bookmarkStart w:id="749" w:name="_Toc12"/>
      <w:bookmarkStart w:id="750" w:name="_Toc28810"/>
      <w:bookmarkStart w:id="751" w:name="_Toc14272"/>
      <w:bookmarkStart w:id="752" w:name="_Toc4541"/>
      <w:bookmarkStart w:id="753" w:name="_Toc11105"/>
      <w:r>
        <w:rPr>
          <w:rFonts w:hint="default" w:ascii="Times New Roman" w:hAnsi="Times New Roman" w:eastAsia="仿宋_GB2312" w:cs="Times New Roman"/>
          <w:b/>
          <w:color w:val="auto"/>
          <w:sz w:val="32"/>
          <w:szCs w:val="32"/>
          <w:lang w:val="zh-CN"/>
        </w:rPr>
        <w:t>18.2将“四个优先”发展要求落到实处</w:t>
      </w:r>
      <w:bookmarkEnd w:id="746"/>
      <w:bookmarkEnd w:id="747"/>
      <w:bookmarkEnd w:id="748"/>
      <w:bookmarkEnd w:id="749"/>
      <w:bookmarkEnd w:id="750"/>
      <w:bookmarkEnd w:id="751"/>
      <w:bookmarkEnd w:id="752"/>
      <w:bookmarkEnd w:id="753"/>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各镇街要把落实“四个优先”的要求作为做好“三农”工作的头等大事，扛在肩上、抓在手上，同政绩考核联系到一起，层层落实责任。优先考虑“三农”干部配备，从县级部门选派熟悉“三农”工作的优秀干部到镇街任职。优先满足“三农”发展要素配置，坚决破除妨碍城乡要素自由流动、平等交换的体制机制壁垒，改变农村要素单向流出格局，推动资源要素向农村流动。优先保障“三农”资金投入，坚持把农业农村作为财政优先保障领域和金融优先服务领域，公共财政更大力度向“三农”倾斜，确保资金投入与农业农村发展目标任务相适应。按规定统筹整合相关资金集中用于农村人居环境整治。优先安排农村公共服务，推进城乡基本公共服务标准统一、制度并轨，推动建立城乡统筹的基本公共服务经费投入机制，实现从形式上的普惠向实质上的公平转变。</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754" w:name="_Toc8912"/>
      <w:bookmarkStart w:id="755" w:name="_Toc7142"/>
      <w:bookmarkStart w:id="756" w:name="_Toc21509"/>
      <w:bookmarkStart w:id="757" w:name="_Toc28862"/>
      <w:bookmarkStart w:id="758" w:name="_Toc16244"/>
      <w:bookmarkStart w:id="759" w:name="_Toc12158"/>
      <w:bookmarkStart w:id="760" w:name="_Toc31094"/>
      <w:bookmarkStart w:id="761" w:name="_Toc453"/>
      <w:r>
        <w:rPr>
          <w:rFonts w:hint="default" w:ascii="Times New Roman" w:hAnsi="Times New Roman" w:eastAsia="仿宋_GB2312" w:cs="Times New Roman"/>
          <w:b/>
          <w:color w:val="auto"/>
          <w:sz w:val="32"/>
          <w:szCs w:val="32"/>
          <w:lang w:val="zh-CN"/>
        </w:rPr>
        <w:t>18.3培养懂农业、爱农村、爱农民的“三农”工作队伍</w:t>
      </w:r>
      <w:bookmarkEnd w:id="754"/>
      <w:bookmarkEnd w:id="755"/>
      <w:bookmarkEnd w:id="756"/>
      <w:bookmarkEnd w:id="757"/>
      <w:bookmarkEnd w:id="758"/>
      <w:bookmarkEnd w:id="759"/>
      <w:bookmarkEnd w:id="760"/>
      <w:bookmarkEnd w:id="761"/>
    </w:p>
    <w:p>
      <w:pPr>
        <w:spacing w:line="560" w:lineRule="exact"/>
        <w:ind w:firstLine="640" w:firstLineChars="200"/>
        <w:rPr>
          <w:rFonts w:hint="default" w:ascii="Times New Roman" w:hAnsi="Times New Roman" w:eastAsia="黑体" w:cs="Times New Roman"/>
          <w:color w:val="auto"/>
          <w:kern w:val="0"/>
          <w:sz w:val="28"/>
          <w:szCs w:val="28"/>
          <w:lang w:val="mn-Mong-CN" w:bidi="mn-Mong-CN"/>
        </w:rPr>
      </w:pPr>
      <w:r>
        <w:rPr>
          <w:rFonts w:hint="default" w:ascii="Times New Roman" w:hAnsi="Times New Roman" w:eastAsia="仿宋_GB2312" w:cs="Times New Roman"/>
          <w:color w:val="auto"/>
          <w:sz w:val="32"/>
          <w:szCs w:val="32"/>
          <w:lang w:val="zh-CN"/>
        </w:rPr>
        <w:t>落实关爱激励政策，加强“三农”工作干部队伍的培养、配备、管理和使用。选优配强镇街领导班子，选拔具有较强的处理农村复杂问题的能力，熟悉党务工作和“三农”工作的党员干部担任镇街党委书记。注重从优秀村党组织书记、选调生（大学生村官）、镇街事业编制人员、驻村帮扶工作队队员中选拔镇街领导干部。重视发现培养选拔优秀年轻干部、女干部和少数民族干部。拓宽“三农”工作部门和镇街干部来源渠道，健全从优秀高校毕业生、优秀村干部中考录镇街公务员、招聘镇街事业编制人员制度，每年从服务期满考核合格的“三支一扶”人员中招聘一批镇街事业编制人员。建立全县范围内人才统筹使用制度和乡村人才定向委托培养制度，在中央、四川的统一安排部署下，按相关规定探索通过岗编适度分离、在岗学历教育、创新职称评定等方式，引导各类人才投身乡村振兴。加强在遂大中专院校、职业院校涉农专业建设，培育乡村振兴后备力量。围绕解决“谁来振兴”的问题，切实加强农村基层党员、农业专家、致富带头人、返</w:t>
      </w:r>
      <w:r>
        <w:rPr>
          <w:rFonts w:hint="default" w:ascii="Times New Roman" w:hAnsi="Times New Roman" w:eastAsia="仿宋_GB2312" w:cs="Times New Roman"/>
          <w:color w:val="auto"/>
          <w:sz w:val="32"/>
          <w:szCs w:val="32"/>
          <w:lang w:val="zh-CN" w:eastAsia="zh-CN"/>
        </w:rPr>
        <w:t>乡创业</w:t>
      </w:r>
      <w:r>
        <w:rPr>
          <w:rFonts w:hint="default" w:ascii="Times New Roman" w:hAnsi="Times New Roman" w:eastAsia="仿宋_GB2312" w:cs="Times New Roman"/>
          <w:color w:val="auto"/>
          <w:sz w:val="32"/>
          <w:szCs w:val="32"/>
          <w:lang w:val="en-US" w:eastAsia="zh-CN"/>
        </w:rPr>
        <w:t>农民工</w:t>
      </w:r>
      <w:r>
        <w:rPr>
          <w:rFonts w:hint="default" w:ascii="Times New Roman" w:hAnsi="Times New Roman" w:eastAsia="仿宋_GB2312" w:cs="Times New Roman"/>
          <w:color w:val="auto"/>
          <w:sz w:val="32"/>
          <w:szCs w:val="32"/>
          <w:lang w:val="zh-CN"/>
        </w:rPr>
        <w:t>、下乡人才等“五支队伍”建设。关心爱护基层“三农”干部，选树担当作为的“三农”干部典型</w:t>
      </w:r>
      <w:r>
        <w:rPr>
          <w:rFonts w:hint="default" w:ascii="Times New Roman" w:hAnsi="Times New Roman" w:eastAsia="仿宋" w:cs="Times New Roman"/>
          <w:color w:val="auto"/>
          <w:sz w:val="28"/>
          <w:szCs w:val="28"/>
          <w:lang w:val="zh-CN"/>
        </w:rPr>
        <w:t>。</w:t>
      </w:r>
      <w:bookmarkStart w:id="762" w:name="_Toc9954"/>
      <w:bookmarkStart w:id="763" w:name="_Toc26110"/>
      <w:bookmarkStart w:id="764" w:name="_Toc5104"/>
      <w:bookmarkStart w:id="765" w:name="_Toc28982"/>
      <w:bookmarkStart w:id="766" w:name="_Toc27704"/>
      <w:bookmarkStart w:id="767" w:name="_Toc3498"/>
      <w:bookmarkStart w:id="768" w:name="_Toc5168"/>
    </w:p>
    <w:p>
      <w:pPr>
        <w:spacing w:before="312" w:beforeLines="100" w:after="312" w:afterLines="100" w:line="560" w:lineRule="exact"/>
        <w:jc w:val="center"/>
        <w:outlineLvl w:val="0"/>
        <w:rPr>
          <w:rFonts w:hint="default" w:ascii="Times New Roman" w:hAnsi="Times New Roman" w:eastAsia="黑体" w:cs="Times New Roman"/>
          <w:b w:val="0"/>
          <w:bCs w:val="0"/>
          <w:color w:val="auto"/>
          <w:sz w:val="32"/>
          <w:szCs w:val="32"/>
          <w:lang w:val="mn-Mong-CN"/>
        </w:rPr>
      </w:pPr>
      <w:bookmarkStart w:id="769" w:name="_Toc16866"/>
      <w:r>
        <w:rPr>
          <w:rFonts w:hint="default" w:ascii="Times New Roman" w:hAnsi="Times New Roman" w:eastAsia="黑体" w:cs="Times New Roman"/>
          <w:b w:val="0"/>
          <w:bCs w:val="0"/>
          <w:color w:val="auto"/>
          <w:sz w:val="32"/>
          <w:szCs w:val="32"/>
          <w:lang w:val="mn-Mong-CN"/>
        </w:rPr>
        <w:t xml:space="preserve">第十九章  </w:t>
      </w:r>
      <w:bookmarkEnd w:id="762"/>
      <w:bookmarkEnd w:id="763"/>
      <w:bookmarkEnd w:id="764"/>
      <w:bookmarkEnd w:id="765"/>
      <w:r>
        <w:rPr>
          <w:rFonts w:hint="default" w:ascii="Times New Roman" w:hAnsi="Times New Roman" w:eastAsia="黑体" w:cs="Times New Roman"/>
          <w:b w:val="0"/>
          <w:bCs w:val="0"/>
          <w:color w:val="auto"/>
          <w:sz w:val="32"/>
          <w:szCs w:val="32"/>
          <w:lang w:val="mn-Mong-CN"/>
        </w:rPr>
        <w:t>强化项目支撑</w:t>
      </w:r>
      <w:bookmarkEnd w:id="766"/>
      <w:bookmarkEnd w:id="767"/>
      <w:bookmarkEnd w:id="768"/>
      <w:bookmarkEnd w:id="769"/>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770" w:name="_Toc2867"/>
      <w:bookmarkStart w:id="771" w:name="_Toc27287"/>
      <w:bookmarkStart w:id="772" w:name="_Toc14276"/>
      <w:bookmarkStart w:id="773" w:name="_Toc9961"/>
      <w:bookmarkStart w:id="774" w:name="_Toc27849"/>
      <w:bookmarkStart w:id="775" w:name="_Toc31420"/>
      <w:bookmarkStart w:id="776" w:name="_Toc32123"/>
      <w:bookmarkStart w:id="777" w:name="_Toc519"/>
      <w:r>
        <w:rPr>
          <w:rFonts w:hint="default" w:ascii="Times New Roman" w:hAnsi="Times New Roman" w:eastAsia="仿宋_GB2312" w:cs="Times New Roman"/>
          <w:b/>
          <w:color w:val="auto"/>
          <w:sz w:val="32"/>
          <w:szCs w:val="32"/>
          <w:lang w:val="zh-CN"/>
        </w:rPr>
        <w:t>19.1加强农业农村领域招商引资工作</w:t>
      </w:r>
      <w:bookmarkEnd w:id="770"/>
      <w:bookmarkEnd w:id="771"/>
      <w:bookmarkEnd w:id="772"/>
      <w:bookmarkEnd w:id="773"/>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农业招商引资是开放型农业的重要组成部分。大英农业要有大发展，必须立足于发展精品农业和开放农业，需要有更多的资金和技术来投资农业领域，提高农业综合生产能力和市场竞争力；大英的高标准美丽乡村建设仅靠政府财政投入是远远不够的。</w:t>
      </w:r>
      <w:r>
        <w:rPr>
          <w:rFonts w:hint="default" w:ascii="Times New Roman" w:hAnsi="Times New Roman" w:eastAsia="仿宋_GB2312" w:cs="Times New Roman"/>
          <w:b/>
          <w:bCs/>
          <w:color w:val="auto"/>
          <w:sz w:val="32"/>
          <w:szCs w:val="32"/>
          <w:lang w:val="zh-CN"/>
        </w:rPr>
        <w:t>一是</w:t>
      </w:r>
      <w:r>
        <w:rPr>
          <w:rFonts w:hint="default" w:ascii="Times New Roman" w:hAnsi="Times New Roman" w:eastAsia="仿宋_GB2312" w:cs="Times New Roman"/>
          <w:color w:val="auto"/>
          <w:sz w:val="32"/>
          <w:szCs w:val="32"/>
          <w:lang w:val="zh-CN"/>
        </w:rPr>
        <w:t>要出台管理办法。要像重视工业和旅游那样，切实加强农业农村领域的招商引资工作。首要的工作就是研究出台《大英县农业农村领域招商引资管理办法》，主要包括招商主体（涉农部门、乡村），招商领域（包括高标准农田建设、农产品加工、乡村旅游、教育卫生等几乎农村的所有产业），招商机制（工作推进、项目评审、帮办服务、政策兑现、考核奖惩），招商方式（分类组团招商、产业链补链强链招商、以商招商等），招商引资优惠政策、奖励政策，招商目标任务等方面内容。</w:t>
      </w:r>
      <w:r>
        <w:rPr>
          <w:rFonts w:hint="default" w:ascii="Times New Roman" w:hAnsi="Times New Roman" w:eastAsia="仿宋_GB2312" w:cs="Times New Roman"/>
          <w:b/>
          <w:bCs/>
          <w:color w:val="auto"/>
          <w:sz w:val="32"/>
          <w:szCs w:val="32"/>
          <w:lang w:val="zh-CN"/>
        </w:rPr>
        <w:t>二是</w:t>
      </w:r>
      <w:r>
        <w:rPr>
          <w:rFonts w:hint="default" w:ascii="Times New Roman" w:hAnsi="Times New Roman" w:eastAsia="仿宋_GB2312" w:cs="Times New Roman"/>
          <w:color w:val="auto"/>
          <w:sz w:val="32"/>
          <w:szCs w:val="32"/>
          <w:lang w:val="zh-CN"/>
        </w:rPr>
        <w:t>要合理分配任务。各乡村在产业发展的基础、规模和特色，以及基础设施等方面均存在一定的差异，在安排农业农村招商项目工作任务时不能搞一刀切。种养殖业基础较好的乡村侧重于招引农产品精深加工企业，生态环境优越的乡村侧重于招引休闲、观光、康养等服务企业，现代农业发展基础较差的乡村侧重于招引种、加、销等产业化发展的优势龙头企业等。同时要鼓励各村（社）干部自主积极招商。</w:t>
      </w:r>
      <w:r>
        <w:rPr>
          <w:rFonts w:hint="default" w:ascii="Times New Roman" w:hAnsi="Times New Roman" w:eastAsia="仿宋_GB2312" w:cs="Times New Roman"/>
          <w:b/>
          <w:bCs/>
          <w:color w:val="auto"/>
          <w:sz w:val="32"/>
          <w:szCs w:val="32"/>
          <w:lang w:val="zh-CN"/>
        </w:rPr>
        <w:t>三是</w:t>
      </w:r>
      <w:r>
        <w:rPr>
          <w:rFonts w:hint="default" w:ascii="Times New Roman" w:hAnsi="Times New Roman" w:eastAsia="仿宋_GB2312" w:cs="Times New Roman"/>
          <w:color w:val="auto"/>
          <w:sz w:val="32"/>
          <w:szCs w:val="32"/>
          <w:lang w:val="zh-CN"/>
        </w:rPr>
        <w:t>要优化营商环境。县乡（镇、街道）政府部门服务要从提供优惠政策为主向改善综合投资环境并重转变，制定切实可行的激励措施和优惠政策，解决企业的工商注册、税收登记、供电、供水等问题，杜绝外来投资企业的不合理负担。同时，要简化办事环节，提高办事效率，提供优质服务。要抓好人才教育培养，高度重视在各个层面上加快培养和造就一大批通晓商务知识、勤于捕捉信息、善于与外商接洽谈判的复合型人才。要加强对农业农村领域招商人员的培训，使他们了解上情、下情、内情、外情，努力培育一支专业性强、服务水平高的人才队伍。</w:t>
      </w:r>
      <w:r>
        <w:rPr>
          <w:rFonts w:hint="default" w:ascii="Times New Roman" w:hAnsi="Times New Roman" w:eastAsia="仿宋_GB2312" w:cs="Times New Roman"/>
          <w:b/>
          <w:bCs/>
          <w:color w:val="auto"/>
          <w:sz w:val="32"/>
          <w:szCs w:val="32"/>
          <w:lang w:val="zh-CN"/>
        </w:rPr>
        <w:t>四是</w:t>
      </w:r>
      <w:r>
        <w:rPr>
          <w:rFonts w:hint="default" w:ascii="Times New Roman" w:hAnsi="Times New Roman" w:eastAsia="仿宋_GB2312" w:cs="Times New Roman"/>
          <w:color w:val="auto"/>
          <w:sz w:val="32"/>
          <w:szCs w:val="32"/>
          <w:lang w:val="zh-CN"/>
        </w:rPr>
        <w:t>要完善招商机制。主要包括洽谈会商、准入评估、政策配套、履约监督、政策兑现和风险防范（招商腐败、工程质量）等机制，后续服务和跟踪管理机制（吸引投资方追加投资，实现滚动发展）。</w:t>
      </w:r>
      <w:r>
        <w:rPr>
          <w:rFonts w:hint="default" w:ascii="Times New Roman" w:hAnsi="Times New Roman" w:eastAsia="仿宋_GB2312" w:cs="Times New Roman"/>
          <w:b/>
          <w:bCs/>
          <w:color w:val="auto"/>
          <w:sz w:val="32"/>
          <w:szCs w:val="32"/>
          <w:lang w:val="zh-CN"/>
        </w:rPr>
        <w:t>五是</w:t>
      </w:r>
      <w:r>
        <w:rPr>
          <w:rFonts w:hint="default" w:ascii="Times New Roman" w:hAnsi="Times New Roman" w:eastAsia="仿宋_GB2312" w:cs="Times New Roman"/>
          <w:color w:val="auto"/>
          <w:sz w:val="32"/>
          <w:szCs w:val="32"/>
          <w:lang w:val="zh-CN"/>
        </w:rPr>
        <w:t>要强化项目包装。各涉农部门、股室要加强行业（领域）发展研究分析，各乡村要加强产村发展研究分析，结合产村基础、特色优势和发展方向，有针对性地围绕行业领军企业精心策划包装一批有特色、有优势、有吸引力的产村项目。</w:t>
      </w:r>
      <w:r>
        <w:rPr>
          <w:rFonts w:hint="default" w:ascii="Times New Roman" w:hAnsi="Times New Roman" w:eastAsia="仿宋_GB2312" w:cs="Times New Roman"/>
          <w:b/>
          <w:bCs/>
          <w:color w:val="auto"/>
          <w:sz w:val="32"/>
          <w:szCs w:val="32"/>
          <w:lang w:val="zh-CN"/>
        </w:rPr>
        <w:t>六是</w:t>
      </w:r>
      <w:r>
        <w:rPr>
          <w:rFonts w:hint="default" w:ascii="Times New Roman" w:hAnsi="Times New Roman" w:eastAsia="仿宋_GB2312" w:cs="Times New Roman"/>
          <w:color w:val="auto"/>
          <w:sz w:val="32"/>
          <w:szCs w:val="32"/>
          <w:lang w:val="zh-CN"/>
        </w:rPr>
        <w:t>要加大考核奖惩。各乡镇、涉农街道和园区作为农业农村招商引资的责任主体，行政“一把手”为第一责任人，负责各乡镇、涉农街道、园区范围内的农业农村招商工作。鼓励涉农部门和乡村所有干部参与招商引资工作，对镇街领导、村支书和涉农部门股长以上干部要明确招商引资工作任务。对招商引资工作作出贡献的人员要给予精神和物质双重奖励，对有招商引资工作任务而没有完成任务的干部要给以惩罚（可考虑扣减绩效奖、不得评优晋升等）。要建立和完善招商引资工作考核评价办法，侧重于招商项目带动农民增收、创税、实现营业收入和投资强度等方面。</w:t>
      </w:r>
    </w:p>
    <w:p>
      <w:pPr>
        <w:pStyle w:val="21"/>
        <w:spacing w:after="0" w:line="560" w:lineRule="exact"/>
        <w:ind w:firstLine="640" w:firstLineChars="200"/>
        <w:rPr>
          <w:rFonts w:hint="default" w:ascii="Times New Roman" w:hAnsi="Times New Roman" w:eastAsia="仿宋_GB2312" w:cs="Times New Roman"/>
          <w:color w:val="auto"/>
          <w:sz w:val="32"/>
          <w:szCs w:val="32"/>
          <w:shd w:val="clear" w:color="auto" w:fill="FFFFFF"/>
          <w:lang w:val="zh-CN"/>
        </w:rPr>
      </w:pPr>
      <w:r>
        <w:rPr>
          <w:rFonts w:hint="default" w:ascii="Times New Roman" w:hAnsi="Times New Roman" w:eastAsia="仿宋_GB2312" w:cs="Times New Roman"/>
          <w:color w:val="auto"/>
          <w:kern w:val="2"/>
          <w:sz w:val="32"/>
          <w:szCs w:val="32"/>
          <w:lang w:val="zh-CN" w:eastAsia="zh-CN" w:bidi="ar-SA"/>
        </w:rPr>
        <w:t>“十四五”时期，大英县</w:t>
      </w:r>
      <w:r>
        <w:rPr>
          <w:rFonts w:hint="default" w:ascii="Times New Roman" w:hAnsi="Times New Roman" w:eastAsia="仿宋_GB2312" w:cs="Times New Roman"/>
          <w:color w:val="auto"/>
          <w:sz w:val="32"/>
          <w:szCs w:val="32"/>
          <w:shd w:val="clear" w:color="auto" w:fill="FFFFFF"/>
          <w:lang w:val="zh-CN"/>
        </w:rPr>
        <w:t>新招引（建设）现代农业和美丽乡村建设重大项目</w:t>
      </w:r>
      <w:r>
        <w:rPr>
          <w:rFonts w:hint="default" w:ascii="Times New Roman" w:hAnsi="Times New Roman" w:eastAsia="仿宋_GB2312" w:cs="Times New Roman"/>
          <w:color w:val="auto"/>
          <w:sz w:val="32"/>
          <w:szCs w:val="32"/>
          <w:shd w:val="clear" w:color="auto" w:fill="FFFFFF"/>
        </w:rPr>
        <w:t>60</w:t>
      </w:r>
      <w:r>
        <w:rPr>
          <w:rFonts w:hint="default" w:ascii="Times New Roman" w:hAnsi="Times New Roman" w:eastAsia="仿宋_GB2312" w:cs="Times New Roman"/>
          <w:color w:val="auto"/>
          <w:sz w:val="32"/>
          <w:szCs w:val="32"/>
          <w:shd w:val="clear" w:color="auto" w:fill="FFFFFF"/>
          <w:lang w:val="zh-CN"/>
        </w:rPr>
        <w:t>个，累计引进县外资金</w:t>
      </w:r>
      <w:r>
        <w:rPr>
          <w:rFonts w:hint="default" w:ascii="Times New Roman" w:hAnsi="Times New Roman" w:eastAsia="仿宋_GB2312" w:cs="Times New Roman"/>
          <w:color w:val="auto"/>
          <w:sz w:val="32"/>
          <w:szCs w:val="32"/>
          <w:shd w:val="clear" w:color="auto" w:fill="FFFFFF"/>
        </w:rPr>
        <w:t>30亿元（可包括</w:t>
      </w:r>
      <w:r>
        <w:rPr>
          <w:rFonts w:hint="default" w:ascii="Times New Roman" w:hAnsi="Times New Roman" w:eastAsia="仿宋_GB2312" w:cs="Times New Roman"/>
          <w:color w:val="auto"/>
          <w:sz w:val="32"/>
          <w:szCs w:val="32"/>
          <w:shd w:val="clear" w:color="auto" w:fill="FFFFFF"/>
          <w:lang w:val="zh-CN"/>
        </w:rPr>
        <w:t>工商资本和民营资本</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val="zh-CN"/>
        </w:rPr>
        <w:t>；其中</w:t>
      </w:r>
      <w:r>
        <w:rPr>
          <w:rFonts w:hint="default" w:ascii="Times New Roman" w:hAnsi="Times New Roman" w:eastAsia="仿宋_GB2312" w:cs="Times New Roman"/>
          <w:color w:val="auto"/>
          <w:sz w:val="32"/>
          <w:szCs w:val="32"/>
          <w:shd w:val="clear" w:color="auto" w:fill="FFFFFF"/>
        </w:rPr>
        <w:t>5</w:t>
      </w:r>
      <w:r>
        <w:rPr>
          <w:rFonts w:hint="default" w:ascii="Times New Roman" w:hAnsi="Times New Roman" w:eastAsia="仿宋_GB2312" w:cs="Times New Roman"/>
          <w:color w:val="auto"/>
          <w:sz w:val="32"/>
          <w:szCs w:val="32"/>
          <w:shd w:val="clear" w:color="auto" w:fill="FFFFFF"/>
          <w:lang w:val="zh-CN"/>
        </w:rPr>
        <w:t>亿元以上农产品深加工或乡村旅游（康养）项目</w:t>
      </w:r>
      <w:r>
        <w:rPr>
          <w:rFonts w:hint="default" w:ascii="Times New Roman" w:hAnsi="Times New Roman" w:eastAsia="仿宋_GB2312" w:cs="Times New Roman"/>
          <w:color w:val="auto"/>
          <w:sz w:val="32"/>
          <w:szCs w:val="32"/>
          <w:shd w:val="clear" w:color="auto" w:fill="FFFFFF"/>
        </w:rPr>
        <w:t>3</w:t>
      </w:r>
      <w:r>
        <w:rPr>
          <w:rFonts w:hint="default" w:ascii="Times New Roman" w:hAnsi="Times New Roman" w:eastAsia="仿宋_GB2312" w:cs="Times New Roman"/>
          <w:color w:val="auto"/>
          <w:sz w:val="32"/>
          <w:szCs w:val="32"/>
          <w:shd w:val="clear" w:color="auto" w:fill="FFFFFF"/>
          <w:lang w:val="zh-CN"/>
        </w:rPr>
        <w:t>个，亿元以上农村产业项目</w:t>
      </w:r>
      <w:r>
        <w:rPr>
          <w:rFonts w:hint="default" w:ascii="Times New Roman" w:hAnsi="Times New Roman" w:eastAsia="仿宋_GB2312" w:cs="Times New Roman"/>
          <w:color w:val="auto"/>
          <w:sz w:val="32"/>
          <w:szCs w:val="32"/>
          <w:shd w:val="clear" w:color="auto" w:fill="FFFFFF"/>
        </w:rPr>
        <w:t>5</w:t>
      </w:r>
      <w:r>
        <w:rPr>
          <w:rFonts w:hint="default" w:ascii="Times New Roman" w:hAnsi="Times New Roman" w:eastAsia="仿宋_GB2312" w:cs="Times New Roman"/>
          <w:color w:val="auto"/>
          <w:sz w:val="32"/>
          <w:szCs w:val="32"/>
          <w:shd w:val="clear" w:color="auto" w:fill="FFFFFF"/>
          <w:lang w:val="zh-CN"/>
        </w:rPr>
        <w:t>个，5000万元以上农村产业项目</w:t>
      </w:r>
      <w:r>
        <w:rPr>
          <w:rFonts w:hint="default" w:ascii="Times New Roman" w:hAnsi="Times New Roman" w:eastAsia="仿宋_GB2312" w:cs="Times New Roman"/>
          <w:color w:val="auto"/>
          <w:sz w:val="32"/>
          <w:szCs w:val="32"/>
          <w:shd w:val="clear" w:color="auto" w:fill="FFFFFF"/>
        </w:rPr>
        <w:t>10</w:t>
      </w:r>
      <w:r>
        <w:rPr>
          <w:rFonts w:hint="default" w:ascii="Times New Roman" w:hAnsi="Times New Roman" w:eastAsia="仿宋_GB2312" w:cs="Times New Roman"/>
          <w:color w:val="auto"/>
          <w:sz w:val="32"/>
          <w:szCs w:val="32"/>
          <w:shd w:val="clear" w:color="auto" w:fill="FFFFFF"/>
          <w:lang w:val="zh-CN"/>
        </w:rPr>
        <w:t>个，500万元以上农村产业项目</w:t>
      </w:r>
      <w:r>
        <w:rPr>
          <w:rFonts w:hint="default" w:ascii="Times New Roman" w:hAnsi="Times New Roman" w:eastAsia="仿宋_GB2312" w:cs="Times New Roman"/>
          <w:color w:val="auto"/>
          <w:sz w:val="32"/>
          <w:szCs w:val="32"/>
          <w:shd w:val="clear" w:color="auto" w:fill="FFFFFF"/>
        </w:rPr>
        <w:t>30</w:t>
      </w:r>
      <w:r>
        <w:rPr>
          <w:rFonts w:hint="default" w:ascii="Times New Roman" w:hAnsi="Times New Roman" w:eastAsia="仿宋_GB2312" w:cs="Times New Roman"/>
          <w:color w:val="auto"/>
          <w:sz w:val="32"/>
          <w:szCs w:val="32"/>
          <w:shd w:val="clear" w:color="auto" w:fill="FFFFFF"/>
          <w:lang w:val="zh-CN"/>
        </w:rPr>
        <w:t>个，新建成</w:t>
      </w:r>
      <w:r>
        <w:rPr>
          <w:rFonts w:hint="default" w:ascii="Times New Roman" w:hAnsi="Times New Roman" w:eastAsia="仿宋_GB2312" w:cs="Times New Roman"/>
          <w:color w:val="auto"/>
          <w:sz w:val="32"/>
          <w:szCs w:val="32"/>
          <w:shd w:val="clear" w:color="auto" w:fill="FFFFFF"/>
        </w:rPr>
        <w:t>5</w:t>
      </w:r>
      <w:r>
        <w:rPr>
          <w:rFonts w:hint="default" w:ascii="Times New Roman" w:hAnsi="Times New Roman" w:eastAsia="仿宋_GB2312" w:cs="Times New Roman"/>
          <w:color w:val="auto"/>
          <w:sz w:val="32"/>
          <w:szCs w:val="32"/>
          <w:shd w:val="clear" w:color="auto" w:fill="FFFFFF"/>
          <w:lang w:val="zh-CN"/>
        </w:rPr>
        <w:t>000亩连线成片规模基地项目</w:t>
      </w:r>
      <w:r>
        <w:rPr>
          <w:rFonts w:hint="default" w:ascii="Times New Roman" w:hAnsi="Times New Roman" w:eastAsia="仿宋_GB2312" w:cs="Times New Roman"/>
          <w:color w:val="auto"/>
          <w:sz w:val="32"/>
          <w:szCs w:val="32"/>
          <w:shd w:val="clear" w:color="auto" w:fill="FFFFFF"/>
        </w:rPr>
        <w:t>5</w:t>
      </w:r>
      <w:r>
        <w:rPr>
          <w:rFonts w:hint="default" w:ascii="Times New Roman" w:hAnsi="Times New Roman" w:eastAsia="仿宋_GB2312" w:cs="Times New Roman"/>
          <w:color w:val="auto"/>
          <w:sz w:val="32"/>
          <w:szCs w:val="32"/>
          <w:shd w:val="clear" w:color="auto" w:fill="FFFFFF"/>
          <w:lang w:val="zh-CN"/>
        </w:rPr>
        <w:t>个。</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778" w:name="_Toc17197"/>
      <w:bookmarkStart w:id="779" w:name="_Toc28485"/>
      <w:bookmarkStart w:id="780" w:name="_Toc8160"/>
      <w:bookmarkStart w:id="781" w:name="_Toc16727"/>
      <w:bookmarkStart w:id="782" w:name="_Toc31825"/>
      <w:bookmarkStart w:id="783" w:name="_Toc26622"/>
      <w:bookmarkStart w:id="784" w:name="_Toc5451"/>
      <w:bookmarkStart w:id="785" w:name="_Toc9715"/>
      <w:r>
        <w:rPr>
          <w:rFonts w:hint="default" w:ascii="Times New Roman" w:hAnsi="Times New Roman" w:eastAsia="仿宋_GB2312" w:cs="Times New Roman"/>
          <w:b/>
          <w:color w:val="auto"/>
          <w:sz w:val="32"/>
          <w:szCs w:val="32"/>
        </w:rPr>
        <w:t>19</w:t>
      </w:r>
      <w:r>
        <w:rPr>
          <w:rFonts w:hint="default" w:ascii="Times New Roman" w:hAnsi="Times New Roman" w:eastAsia="仿宋_GB2312" w:cs="Times New Roman"/>
          <w:b/>
          <w:color w:val="auto"/>
          <w:sz w:val="32"/>
          <w:szCs w:val="32"/>
          <w:lang w:val="zh-CN"/>
        </w:rPr>
        <w:t>.2严格项目建设监管</w:t>
      </w:r>
      <w:bookmarkEnd w:id="778"/>
      <w:bookmarkEnd w:id="779"/>
      <w:bookmarkEnd w:id="780"/>
      <w:bookmarkEnd w:id="781"/>
      <w:bookmarkEnd w:id="782"/>
      <w:bookmarkEnd w:id="783"/>
      <w:bookmarkEnd w:id="784"/>
      <w:bookmarkEnd w:id="785"/>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为实现工程优质高效，严格项目建设监管非常重要。对于招商引资项目，在优化服务的基础上，侧重于建设工程质量、资金到位、安全施工和建设进度监管。对于财政投资建设项目要实行全过程监管。</w:t>
      </w:r>
      <w:r>
        <w:rPr>
          <w:rFonts w:hint="default" w:ascii="Times New Roman" w:hAnsi="Times New Roman" w:eastAsia="仿宋_GB2312" w:cs="Times New Roman"/>
          <w:b/>
          <w:bCs/>
          <w:color w:val="auto"/>
          <w:sz w:val="32"/>
          <w:szCs w:val="32"/>
          <w:lang w:val="zh-CN"/>
        </w:rPr>
        <w:t>一是</w:t>
      </w:r>
      <w:r>
        <w:rPr>
          <w:rFonts w:hint="default" w:ascii="Times New Roman" w:hAnsi="Times New Roman" w:eastAsia="仿宋_GB2312" w:cs="Times New Roman"/>
          <w:color w:val="auto"/>
          <w:sz w:val="32"/>
          <w:szCs w:val="32"/>
          <w:lang w:val="zh-CN"/>
        </w:rPr>
        <w:t>严格项目实施管理。对施工单位采用招投标或政府采购办法确定，防止暗箱操作。对每个项目明确一名科级领导联点，及时协调解决施工过程中的矛盾与问题，维护项目施工环境。对每个项目实行挂牌公示，要求每个项目制作一张公示牌，标明建设内容、投资额度、财政补助额度、施工单位，开工及竣工日期，接受社会监督。</w:t>
      </w:r>
      <w:r>
        <w:rPr>
          <w:rFonts w:hint="default" w:ascii="Times New Roman" w:hAnsi="Times New Roman" w:eastAsia="仿宋_GB2312" w:cs="Times New Roman"/>
          <w:b/>
          <w:bCs/>
          <w:color w:val="auto"/>
          <w:sz w:val="32"/>
          <w:szCs w:val="32"/>
          <w:lang w:val="zh-CN"/>
        </w:rPr>
        <w:t>二是</w:t>
      </w:r>
      <w:r>
        <w:rPr>
          <w:rFonts w:hint="default" w:ascii="Times New Roman" w:hAnsi="Times New Roman" w:eastAsia="仿宋_GB2312" w:cs="Times New Roman"/>
          <w:color w:val="auto"/>
          <w:sz w:val="32"/>
          <w:szCs w:val="32"/>
          <w:lang w:val="zh-CN"/>
        </w:rPr>
        <w:t>严格资金管理。资金管理做到专账专户专人管理，拨付及时，杜绝挪用、截留和冒领。财政部门在按工程进度拨付的同时，定期审查资金使用情况；审计部门对每个项目必须审计。</w:t>
      </w:r>
      <w:r>
        <w:rPr>
          <w:rFonts w:hint="default" w:ascii="Times New Roman" w:hAnsi="Times New Roman" w:eastAsia="仿宋_GB2312" w:cs="Times New Roman"/>
          <w:b/>
          <w:bCs/>
          <w:color w:val="auto"/>
          <w:sz w:val="32"/>
          <w:szCs w:val="32"/>
          <w:lang w:val="zh-CN"/>
        </w:rPr>
        <w:t>三是</w:t>
      </w:r>
      <w:r>
        <w:rPr>
          <w:rFonts w:hint="default" w:ascii="Times New Roman" w:hAnsi="Times New Roman" w:eastAsia="仿宋_GB2312" w:cs="Times New Roman"/>
          <w:color w:val="auto"/>
          <w:sz w:val="32"/>
          <w:szCs w:val="32"/>
          <w:lang w:val="zh-CN"/>
        </w:rPr>
        <w:t>严格依法依规。建设项目报批、报建手续齐全，符合国家投资政策和土地、环保、节能政策与管理规定，工程严格执行项目法人责任制、招标投标制、工程监理制和合同管理制。</w:t>
      </w:r>
      <w:r>
        <w:rPr>
          <w:rFonts w:hint="default" w:ascii="Times New Roman" w:hAnsi="Times New Roman" w:eastAsia="仿宋_GB2312" w:cs="Times New Roman"/>
          <w:b/>
          <w:bCs/>
          <w:color w:val="auto"/>
          <w:sz w:val="32"/>
          <w:szCs w:val="32"/>
          <w:lang w:val="zh-CN"/>
        </w:rPr>
        <w:t>四是</w:t>
      </w:r>
      <w:r>
        <w:rPr>
          <w:rFonts w:hint="default" w:ascii="Times New Roman" w:hAnsi="Times New Roman" w:eastAsia="仿宋_GB2312" w:cs="Times New Roman"/>
          <w:color w:val="auto"/>
          <w:sz w:val="32"/>
          <w:szCs w:val="32"/>
          <w:lang w:val="zh-CN"/>
        </w:rPr>
        <w:t>严格监督检查。由县纪委牵头，监察、发改、财政、审计、建设等职能部门参加，定期或不定期地督查项目实施、工程质量和资金使用等情况，发现问题及时纠正，坚决制止项目工程腐败，确保建设项目群众满意。五是严格执行安全生产要求。项目主管部门、项目实施单位与施工单位签订安全生产合同和责任书，强化对施工安全的管理，确保建设项目安全无事故。同时，加强建设项目工程质量管理，落实工程全程监理，确保建设项目工程质量。</w:t>
      </w:r>
      <w:r>
        <w:rPr>
          <w:rFonts w:hint="default" w:ascii="Times New Roman" w:hAnsi="Times New Roman" w:eastAsia="仿宋_GB2312" w:cs="Times New Roman"/>
          <w:b/>
          <w:bCs/>
          <w:color w:val="auto"/>
          <w:sz w:val="32"/>
          <w:szCs w:val="32"/>
          <w:lang w:val="zh-CN"/>
        </w:rPr>
        <w:t>六是</w:t>
      </w:r>
      <w:r>
        <w:rPr>
          <w:rFonts w:hint="default" w:ascii="Times New Roman" w:hAnsi="Times New Roman" w:eastAsia="仿宋_GB2312" w:cs="Times New Roman"/>
          <w:color w:val="auto"/>
          <w:sz w:val="32"/>
          <w:szCs w:val="32"/>
          <w:lang w:val="zh-CN"/>
        </w:rPr>
        <w:t>严格开展政务服务。发改、自规、建设、环保等职能部门在项目申报，投资计划下达和办理报建手续方面，积极主动提供支持，开辟“绿色通道”。财政部门在资金拨付和监管方面及时到位。监察、审计部门在建设项目过程中全程参与，确保了建设项目如期开工，按时竣工，切实发挥投资效益。</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786" w:name="_Toc1328"/>
      <w:bookmarkStart w:id="787" w:name="_Toc30711"/>
      <w:bookmarkStart w:id="788" w:name="_Toc14160"/>
      <w:bookmarkStart w:id="789" w:name="_Toc3425"/>
      <w:bookmarkStart w:id="790" w:name="_Toc6947"/>
      <w:bookmarkStart w:id="791" w:name="_Toc21474"/>
      <w:bookmarkStart w:id="792" w:name="_Toc689"/>
      <w:bookmarkStart w:id="793" w:name="_Toc14873"/>
      <w:r>
        <w:rPr>
          <w:rFonts w:hint="default" w:ascii="Times New Roman" w:hAnsi="Times New Roman" w:eastAsia="仿宋_GB2312" w:cs="Times New Roman"/>
          <w:b/>
          <w:color w:val="auto"/>
          <w:sz w:val="32"/>
          <w:szCs w:val="32"/>
        </w:rPr>
        <w:t>19</w:t>
      </w:r>
      <w:r>
        <w:rPr>
          <w:rFonts w:hint="default" w:ascii="Times New Roman" w:hAnsi="Times New Roman" w:eastAsia="仿宋_GB2312" w:cs="Times New Roman"/>
          <w:b/>
          <w:color w:val="auto"/>
          <w:sz w:val="32"/>
          <w:szCs w:val="32"/>
          <w:lang w:val="zh-CN"/>
        </w:rPr>
        <w:t>.3完善项目综合评价</w:t>
      </w:r>
      <w:bookmarkEnd w:id="786"/>
      <w:bookmarkEnd w:id="787"/>
      <w:bookmarkEnd w:id="788"/>
      <w:bookmarkEnd w:id="789"/>
      <w:bookmarkEnd w:id="790"/>
      <w:bookmarkEnd w:id="791"/>
      <w:bookmarkEnd w:id="792"/>
      <w:bookmarkEnd w:id="793"/>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农业农村项目涉及到农村一、二、三产业和基础设施建设，综合评价项目绩效较为复杂。</w:t>
      </w:r>
      <w:r>
        <w:rPr>
          <w:rFonts w:hint="default" w:ascii="Times New Roman" w:hAnsi="Times New Roman" w:eastAsia="仿宋_GB2312" w:cs="Times New Roman"/>
          <w:b/>
          <w:bCs/>
          <w:color w:val="auto"/>
          <w:sz w:val="32"/>
          <w:szCs w:val="32"/>
          <w:lang w:val="zh-CN"/>
        </w:rPr>
        <w:t>一是</w:t>
      </w:r>
      <w:r>
        <w:rPr>
          <w:rFonts w:hint="default" w:ascii="Times New Roman" w:hAnsi="Times New Roman" w:eastAsia="仿宋_GB2312" w:cs="Times New Roman"/>
          <w:color w:val="auto"/>
          <w:sz w:val="32"/>
          <w:szCs w:val="32"/>
          <w:lang w:val="zh-CN"/>
        </w:rPr>
        <w:t>要建立和完善项目综合评价办法。按基础设施和产业两大类项目分</w:t>
      </w:r>
      <w:r>
        <w:rPr>
          <w:rFonts w:hint="default" w:ascii="Times New Roman" w:hAnsi="Times New Roman" w:eastAsia="仿宋_GB2312" w:cs="Times New Roman"/>
          <w:color w:val="auto"/>
          <w:sz w:val="32"/>
          <w:szCs w:val="32"/>
          <w:lang w:val="en-US" w:eastAsia="zh-CN"/>
        </w:rPr>
        <w:t>别</w:t>
      </w:r>
      <w:r>
        <w:rPr>
          <w:rFonts w:hint="default" w:ascii="Times New Roman" w:hAnsi="Times New Roman" w:eastAsia="仿宋_GB2312" w:cs="Times New Roman"/>
          <w:color w:val="auto"/>
          <w:sz w:val="32"/>
          <w:szCs w:val="32"/>
          <w:lang w:val="zh-CN"/>
        </w:rPr>
        <w:t>制定综合评价办法。设施项目重点就项目前期的可行性评价（对地区生产生活的积极影响、经济合理性、技术可行性、环境适应性）、项目中期评价（材料管理、质量控制、费用评价）、项目后评价（实际成果、促进经济社会发展、公共服务能力、生态环境改善）等方面研究；产业项目（含招商项目）重点就符合程度（与产业政策、发展规划）、经济性（税收贡献、就业机会[或农民增收]、投资强度、生产供应能力、经济规模等）、综合效益（科技创新能力、品牌声誉、行业地位以及产业聚集与带动能力）和主体投资实力，财政投入带动社会资本投入倍数，以及权重计分评价方法等方面开展研究完善。</w:t>
      </w:r>
      <w:r>
        <w:rPr>
          <w:rFonts w:hint="default" w:ascii="Times New Roman" w:hAnsi="Times New Roman" w:eastAsia="仿宋_GB2312" w:cs="Times New Roman"/>
          <w:b/>
          <w:bCs/>
          <w:color w:val="auto"/>
          <w:sz w:val="32"/>
          <w:szCs w:val="32"/>
          <w:lang w:val="zh-CN"/>
        </w:rPr>
        <w:t>二是</w:t>
      </w:r>
      <w:r>
        <w:rPr>
          <w:rFonts w:hint="default" w:ascii="Times New Roman" w:hAnsi="Times New Roman" w:eastAsia="仿宋_GB2312" w:cs="Times New Roman"/>
          <w:color w:val="auto"/>
          <w:sz w:val="32"/>
          <w:szCs w:val="32"/>
          <w:lang w:val="zh-CN"/>
        </w:rPr>
        <w:t>建立和完善综合评价机制。主要涉及规范的评价选择机制、保障评价参考资料的真实性、综合评价小组人员的专业性广泛性等方面，目前，一般选择具有较强专业性的第三方机构开展项目综合评价工作，规划、工程、工商、税务、环保、统计等行政业务部门专业人员需参与评估论证。</w:t>
      </w:r>
      <w:r>
        <w:rPr>
          <w:rFonts w:hint="default" w:ascii="Times New Roman" w:hAnsi="Times New Roman" w:eastAsia="仿宋_GB2312" w:cs="Times New Roman"/>
          <w:b/>
          <w:bCs/>
          <w:color w:val="auto"/>
          <w:sz w:val="32"/>
          <w:szCs w:val="32"/>
          <w:lang w:val="zh-CN"/>
        </w:rPr>
        <w:t>三是</w:t>
      </w:r>
      <w:r>
        <w:rPr>
          <w:rFonts w:hint="default" w:ascii="Times New Roman" w:hAnsi="Times New Roman" w:eastAsia="仿宋_GB2312" w:cs="Times New Roman"/>
          <w:color w:val="auto"/>
          <w:sz w:val="32"/>
          <w:szCs w:val="32"/>
          <w:lang w:val="zh-CN"/>
        </w:rPr>
        <w:t>注重综合评价结果的合理运用。评价是项目选择的手段，评价结果是项目选择的重要依据，但由于招商工作极具复杂性，针对评价结果理想地做出决策可能会导致与实际不符。涉农部门和乡村进行产业招商时应该综合平衡各方面因素，用好、用活项目评价结果，科学引进招商项目。在项目综合评价科学可靠的基础上，原则上评价不达标（或低于80分）的基础设施项目不能上，不达标的招商项目不能引，尤其是破坏生态环境、技术设备落后和意图圈占土地的项目坚决不能引进。</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794" w:name="_Toc23643"/>
      <w:bookmarkStart w:id="795" w:name="_Toc25526"/>
      <w:bookmarkStart w:id="796" w:name="_Toc20863"/>
      <w:bookmarkStart w:id="797" w:name="_Toc24880"/>
      <w:r>
        <w:rPr>
          <w:rFonts w:hint="default" w:ascii="Times New Roman" w:hAnsi="Times New Roman" w:eastAsia="仿宋_GB2312" w:cs="Times New Roman"/>
          <w:b/>
          <w:color w:val="auto"/>
          <w:sz w:val="32"/>
          <w:szCs w:val="32"/>
        </w:rPr>
        <w:t>19</w:t>
      </w:r>
      <w:r>
        <w:rPr>
          <w:rFonts w:hint="default" w:ascii="Times New Roman" w:hAnsi="Times New Roman" w:eastAsia="仿宋_GB2312" w:cs="Times New Roman"/>
          <w:b/>
          <w:color w:val="auto"/>
          <w:sz w:val="32"/>
          <w:szCs w:val="32"/>
          <w:lang w:val="zh-CN"/>
        </w:rPr>
        <w:t>.</w:t>
      </w:r>
      <w:r>
        <w:rPr>
          <w:rFonts w:hint="default" w:ascii="Times New Roman" w:hAnsi="Times New Roman" w:eastAsia="仿宋_GB2312" w:cs="Times New Roman"/>
          <w:b/>
          <w:color w:val="auto"/>
          <w:sz w:val="32"/>
          <w:szCs w:val="32"/>
        </w:rPr>
        <w:t>4抓好项目示范引领</w:t>
      </w:r>
      <w:bookmarkEnd w:id="794"/>
      <w:bookmarkEnd w:id="795"/>
      <w:bookmarkEnd w:id="796"/>
      <w:bookmarkEnd w:id="797"/>
    </w:p>
    <w:p>
      <w:pPr>
        <w:pStyle w:val="31"/>
        <w:spacing w:line="560" w:lineRule="exact"/>
        <w:ind w:firstLine="643" w:firstLineChars="200"/>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rPr>
        <w:t>19.4.1</w:t>
      </w:r>
      <w:r>
        <w:rPr>
          <w:rFonts w:hint="default" w:ascii="Times New Roman" w:hAnsi="Times New Roman" w:eastAsia="仿宋_GB2312" w:cs="Times New Roman"/>
          <w:b/>
          <w:bCs/>
          <w:color w:val="auto"/>
          <w:sz w:val="32"/>
          <w:szCs w:val="32"/>
          <w:lang w:val="zh-CN"/>
        </w:rPr>
        <w:t>开展绿色增效示范行动</w:t>
      </w:r>
      <w:bookmarkEnd w:id="774"/>
      <w:bookmarkEnd w:id="775"/>
      <w:bookmarkEnd w:id="776"/>
      <w:bookmarkEnd w:id="777"/>
    </w:p>
    <w:p>
      <w:pPr>
        <w:spacing w:line="56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auto"/>
          <w:sz w:val="32"/>
          <w:szCs w:val="32"/>
          <w:lang w:val="zh-CN"/>
        </w:rPr>
        <w:t>“十四五”期间，大英县绿色增效示范行动紧紧围绕开展粮经绿色增产模式攻关、畜牧绿色低碳循环模式攻关、渔业绿色健康养殖模式攻关、特色农业绿色增长模式攻关和休闲农业绿色体验模式攻关为抓手，带动</w:t>
      </w:r>
      <w:r>
        <w:rPr>
          <w:rFonts w:hint="default" w:ascii="Times New Roman" w:hAnsi="Times New Roman" w:eastAsia="仿宋_GB2312" w:cs="Times New Roman"/>
          <w:color w:val="000000"/>
          <w:sz w:val="32"/>
          <w:szCs w:val="32"/>
          <w:lang w:val="zh-CN"/>
        </w:rPr>
        <w:t>产业提质增效。</w:t>
      </w:r>
    </w:p>
    <w:p>
      <w:pPr>
        <w:pStyle w:val="31"/>
        <w:spacing w:line="560" w:lineRule="exact"/>
        <w:ind w:firstLine="562" w:firstLineChars="200"/>
        <w:rPr>
          <w:rFonts w:hint="default" w:ascii="Times New Roman" w:hAnsi="Times New Roman" w:eastAsia="仿宋" w:cs="Times New Roman"/>
          <w:b/>
          <w:bCs/>
          <w:color w:val="auto"/>
          <w:sz w:val="28"/>
          <w:szCs w:val="28"/>
          <w:lang w:val="zh-CN"/>
        </w:rPr>
      </w:pPr>
      <w:bookmarkStart w:id="798" w:name="_Toc21895"/>
      <w:bookmarkStart w:id="799" w:name="_Toc30511"/>
      <w:bookmarkStart w:id="800" w:name="_Toc25216"/>
      <w:bookmarkStart w:id="801" w:name="_Toc13991"/>
    </w:p>
    <w:p>
      <w:pPr>
        <w:pStyle w:val="31"/>
        <w:spacing w:line="560" w:lineRule="exact"/>
        <w:ind w:firstLine="562" w:firstLineChars="200"/>
        <w:rPr>
          <w:rFonts w:hint="default" w:ascii="Times New Roman" w:hAnsi="Times New Roman" w:eastAsia="仿宋_GB2312" w:cs="Times New Roman"/>
          <w:b/>
          <w:bCs/>
          <w:color w:val="auto"/>
          <w:sz w:val="28"/>
          <w:szCs w:val="28"/>
          <w:lang w:val="zh-CN"/>
        </w:rPr>
      </w:pPr>
      <w:r>
        <w:rPr>
          <w:rFonts w:hint="default" w:ascii="Times New Roman" w:hAnsi="Times New Roman" w:eastAsia="仿宋_GB2312" w:cs="Times New Roman"/>
          <w:b/>
          <w:bCs/>
          <w:color w:val="auto"/>
          <w:sz w:val="28"/>
          <w:szCs w:val="28"/>
          <w:lang w:val="zh-CN"/>
        </w:rPr>
        <w:t>19.</w:t>
      </w:r>
      <w:r>
        <w:rPr>
          <w:rFonts w:hint="default" w:ascii="Times New Roman" w:hAnsi="Times New Roman" w:eastAsia="仿宋_GB2312" w:cs="Times New Roman"/>
          <w:b/>
          <w:bCs/>
          <w:color w:val="auto"/>
          <w:sz w:val="28"/>
          <w:szCs w:val="28"/>
        </w:rPr>
        <w:t>4.</w:t>
      </w:r>
      <w:r>
        <w:rPr>
          <w:rFonts w:hint="default" w:ascii="Times New Roman" w:hAnsi="Times New Roman" w:eastAsia="仿宋_GB2312" w:cs="Times New Roman"/>
          <w:b/>
          <w:bCs/>
          <w:color w:val="auto"/>
          <w:sz w:val="28"/>
          <w:szCs w:val="28"/>
          <w:lang w:val="zh-CN"/>
        </w:rPr>
        <w:t>2开展品牌建设示范行动</w:t>
      </w:r>
      <w:bookmarkEnd w:id="798"/>
      <w:bookmarkEnd w:id="799"/>
      <w:bookmarkEnd w:id="800"/>
      <w:bookmarkEnd w:id="801"/>
    </w:p>
    <w:p>
      <w:pPr>
        <w:spacing w:line="560" w:lineRule="exact"/>
        <w:ind w:firstLine="560" w:firstLineChars="200"/>
        <w:rPr>
          <w:rFonts w:hint="default" w:ascii="Times New Roman" w:hAnsi="Times New Roman" w:cs="Times New Roman"/>
          <w:lang w:val="zh-CN"/>
        </w:rPr>
      </w:pPr>
      <w:r>
        <w:rPr>
          <w:rFonts w:hint="default" w:ascii="Times New Roman" w:hAnsi="Times New Roman" w:eastAsia="仿宋_GB2312" w:cs="Times New Roman"/>
          <w:color w:val="auto"/>
          <w:sz w:val="28"/>
          <w:szCs w:val="28"/>
          <w:lang w:val="zh-CN"/>
        </w:rPr>
        <w:t>“十四五”期间，大英县农业品牌建设示范行动紧紧围绕创建国家级农产品质量安全</w:t>
      </w:r>
      <w:r>
        <w:rPr>
          <w:rFonts w:hint="default" w:ascii="Times New Roman" w:hAnsi="Times New Roman" w:eastAsia="仿宋_GB2312" w:cs="Times New Roman"/>
          <w:color w:val="auto"/>
          <w:sz w:val="28"/>
          <w:szCs w:val="28"/>
          <w:lang w:val="en-US" w:eastAsia="zh-CN"/>
        </w:rPr>
        <w:t>监管</w:t>
      </w:r>
      <w:r>
        <w:rPr>
          <w:rFonts w:hint="default" w:ascii="Times New Roman" w:hAnsi="Times New Roman" w:eastAsia="仿宋_GB2312" w:cs="Times New Roman"/>
          <w:color w:val="auto"/>
          <w:sz w:val="28"/>
          <w:szCs w:val="28"/>
          <w:lang w:val="zh-CN"/>
        </w:rPr>
        <w:t>示范县，实施“绿色大英”品牌培育计划，培育区域性公共品牌。加快农业“</w:t>
      </w:r>
      <w:r>
        <w:rPr>
          <w:rFonts w:hint="default" w:ascii="Times New Roman" w:hAnsi="Times New Roman" w:eastAsia="仿宋_GB2312" w:cs="Times New Roman"/>
          <w:color w:val="auto"/>
          <w:sz w:val="28"/>
          <w:szCs w:val="28"/>
          <w:lang w:val="en-US" w:eastAsia="zh-CN"/>
        </w:rPr>
        <w:t>两</w:t>
      </w:r>
      <w:r>
        <w:rPr>
          <w:rFonts w:hint="default" w:ascii="Times New Roman" w:hAnsi="Times New Roman" w:eastAsia="仿宋_GB2312" w:cs="Times New Roman"/>
          <w:color w:val="auto"/>
          <w:sz w:val="28"/>
          <w:szCs w:val="28"/>
          <w:lang w:val="zh-CN"/>
        </w:rPr>
        <w:t>品一标”发展，推进农业标准化生产。推进农产品质量安全三级体系建设，提升农产品质量安全水平，构建从“田头”到“餐桌”全过程质量控制的农产品质量安全监管体系。</w:t>
      </w:r>
    </w:p>
    <w:p>
      <w:pPr>
        <w:pStyle w:val="31"/>
        <w:spacing w:line="560" w:lineRule="exact"/>
        <w:ind w:firstLine="643" w:firstLineChars="200"/>
        <w:rPr>
          <w:rFonts w:hint="default" w:ascii="Times New Roman" w:hAnsi="Times New Roman" w:eastAsia="仿宋_GB2312" w:cs="Times New Roman"/>
          <w:b/>
          <w:bCs/>
          <w:color w:val="auto"/>
          <w:sz w:val="32"/>
          <w:szCs w:val="32"/>
          <w:lang w:val="zh-CN"/>
        </w:rPr>
      </w:pPr>
      <w:bookmarkStart w:id="802" w:name="_Toc31298"/>
      <w:bookmarkStart w:id="803" w:name="_Toc26370"/>
      <w:bookmarkStart w:id="804" w:name="_Toc16899"/>
      <w:bookmarkStart w:id="805" w:name="_Toc14153"/>
      <w:r>
        <w:rPr>
          <w:rFonts w:hint="default" w:ascii="Times New Roman" w:hAnsi="Times New Roman" w:eastAsia="仿宋_GB2312" w:cs="Times New Roman"/>
          <w:b/>
          <w:bCs/>
          <w:color w:val="auto"/>
          <w:sz w:val="32"/>
          <w:szCs w:val="32"/>
          <w:lang w:val="zh-CN"/>
        </w:rPr>
        <w:t>19.</w:t>
      </w:r>
      <w:r>
        <w:rPr>
          <w:rFonts w:hint="default" w:ascii="Times New Roman" w:hAnsi="Times New Roman" w:eastAsia="仿宋_GB2312" w:cs="Times New Roman"/>
          <w:b/>
          <w:bCs/>
          <w:color w:val="auto"/>
          <w:sz w:val="32"/>
          <w:szCs w:val="32"/>
        </w:rPr>
        <w:t>4.</w:t>
      </w:r>
      <w:r>
        <w:rPr>
          <w:rFonts w:hint="default" w:ascii="Times New Roman" w:hAnsi="Times New Roman" w:eastAsia="仿宋_GB2312" w:cs="Times New Roman"/>
          <w:b/>
          <w:bCs/>
          <w:color w:val="auto"/>
          <w:sz w:val="32"/>
          <w:szCs w:val="32"/>
          <w:lang w:val="zh-CN"/>
        </w:rPr>
        <w:t>3开展科技推广示范行动</w:t>
      </w:r>
      <w:bookmarkEnd w:id="802"/>
      <w:bookmarkEnd w:id="803"/>
      <w:bookmarkEnd w:id="804"/>
      <w:bookmarkEnd w:id="805"/>
    </w:p>
    <w:p>
      <w:pPr>
        <w:widowControl/>
        <w:spacing w:line="560" w:lineRule="exact"/>
        <w:ind w:firstLine="640"/>
        <w:jc w:val="left"/>
        <w:rPr>
          <w:rFonts w:hint="default" w:ascii="Times New Roman" w:hAnsi="Times New Roman" w:eastAsia="仿宋" w:cs="Times New Roman"/>
          <w:b/>
          <w:bCs/>
          <w:color w:val="auto"/>
          <w:sz w:val="28"/>
          <w:szCs w:val="28"/>
          <w:lang w:val="zh-CN"/>
        </w:rPr>
      </w:pP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十四五</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期间，大英县农业科技推广示范行动紧紧围绕农业科技推广、良种繁育体系建设、构建农业社会化服务体系和生态循环农业技术模式示范为重点，全力强化农业科技支撑。</w:t>
      </w:r>
      <w:bookmarkStart w:id="806" w:name="_Toc7466"/>
      <w:bookmarkStart w:id="807" w:name="_Toc19073"/>
      <w:bookmarkStart w:id="808" w:name="_Toc28073"/>
      <w:bookmarkStart w:id="809" w:name="_Toc23170"/>
    </w:p>
    <w:p>
      <w:pPr>
        <w:pStyle w:val="31"/>
        <w:spacing w:line="560" w:lineRule="exact"/>
        <w:ind w:firstLine="643" w:firstLineChars="200"/>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lang w:val="zh-CN"/>
        </w:rPr>
        <w:t>19.4</w:t>
      </w:r>
      <w:r>
        <w:rPr>
          <w:rFonts w:hint="default" w:ascii="Times New Roman" w:hAnsi="Times New Roman" w:eastAsia="仿宋_GB2312" w:cs="Times New Roman"/>
          <w:b/>
          <w:bCs/>
          <w:color w:val="auto"/>
          <w:sz w:val="32"/>
          <w:szCs w:val="32"/>
        </w:rPr>
        <w:t>.4</w:t>
      </w:r>
      <w:r>
        <w:rPr>
          <w:rFonts w:hint="default" w:ascii="Times New Roman" w:hAnsi="Times New Roman" w:eastAsia="仿宋_GB2312" w:cs="Times New Roman"/>
          <w:b/>
          <w:bCs/>
          <w:color w:val="auto"/>
          <w:sz w:val="32"/>
          <w:szCs w:val="32"/>
          <w:lang w:val="zh-CN"/>
        </w:rPr>
        <w:t>开展主体培育示范行动</w:t>
      </w:r>
      <w:bookmarkEnd w:id="806"/>
      <w:bookmarkEnd w:id="807"/>
      <w:bookmarkEnd w:id="808"/>
      <w:bookmarkEnd w:id="809"/>
    </w:p>
    <w:p>
      <w:pPr>
        <w:pStyle w:val="21"/>
        <w:spacing w:after="0"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十四五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期间，大英县农业主体培育示范行动紧紧围绕适度融合、有基础、成规模的区域优势特色产业，发展以龙头企业为核心、专业合作社为纽带、家庭农场为基础的现代农业产业化联合体。依托三产融合，延伸产业链条，拓展农业功能。加强农业技术培训，解决</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谁来种田</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怎么种田</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问题，全力促进农业适度规模经营。</w:t>
      </w:r>
      <w:bookmarkStart w:id="810" w:name="_Toc11570"/>
      <w:bookmarkStart w:id="811" w:name="_Toc9298"/>
      <w:bookmarkStart w:id="812" w:name="_Toc16262"/>
      <w:bookmarkStart w:id="813" w:name="_Toc19458"/>
      <w:bookmarkStart w:id="814" w:name="_Toc24915"/>
      <w:bookmarkStart w:id="815" w:name="_Toc6755"/>
      <w:bookmarkStart w:id="816" w:name="_Toc9982"/>
    </w:p>
    <w:p>
      <w:pPr>
        <w:pStyle w:val="21"/>
        <w:spacing w:after="0" w:line="560" w:lineRule="exact"/>
        <w:ind w:firstLine="643" w:firstLineChars="200"/>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lang w:val="zh-CN"/>
        </w:rPr>
        <w:t>19.</w:t>
      </w:r>
      <w:r>
        <w:rPr>
          <w:rFonts w:hint="default" w:ascii="Times New Roman" w:hAnsi="Times New Roman" w:eastAsia="仿宋_GB2312" w:cs="Times New Roman"/>
          <w:b/>
          <w:bCs/>
          <w:color w:val="auto"/>
          <w:sz w:val="32"/>
          <w:szCs w:val="32"/>
        </w:rPr>
        <w:t>4.</w:t>
      </w:r>
      <w:r>
        <w:rPr>
          <w:rFonts w:hint="default" w:ascii="Times New Roman" w:hAnsi="Times New Roman" w:eastAsia="仿宋_GB2312" w:cs="Times New Roman"/>
          <w:b/>
          <w:bCs/>
          <w:color w:val="auto"/>
          <w:sz w:val="32"/>
          <w:szCs w:val="32"/>
          <w:lang w:val="zh-CN"/>
        </w:rPr>
        <w:t>5开展改革创新示范行动</w:t>
      </w:r>
      <w:bookmarkEnd w:id="810"/>
      <w:bookmarkEnd w:id="811"/>
      <w:bookmarkEnd w:id="812"/>
      <w:bookmarkEnd w:id="813"/>
      <w:bookmarkEnd w:id="814"/>
      <w:bookmarkEnd w:id="815"/>
      <w:bookmarkEnd w:id="816"/>
    </w:p>
    <w:p>
      <w:pPr>
        <w:widowControl/>
        <w:spacing w:line="560" w:lineRule="exact"/>
        <w:ind w:firstLine="640"/>
        <w:jc w:val="left"/>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十四五</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期间，大英县农业改革创新示范行动紧紧围绕加快土地确权颁证成果应用、农村集体经济产权制度改革和美丽乡村建设，全力推进城乡一体化发展。</w:t>
      </w:r>
    </w:p>
    <w:p>
      <w:pPr>
        <w:spacing w:line="360" w:lineRule="auto"/>
        <w:rPr>
          <w:rFonts w:hint="default" w:ascii="Times New Roman" w:hAnsi="Times New Roman" w:cs="Times New Roman"/>
          <w:sz w:val="24"/>
        </w:rPr>
      </w:pPr>
      <w:bookmarkStart w:id="817" w:name="_Toc3717"/>
      <w:bookmarkStart w:id="818" w:name="_Toc20257"/>
      <w:bookmarkStart w:id="819" w:name="_Toc23156"/>
      <w:bookmarkStart w:id="820" w:name="_Toc5556"/>
      <w:bookmarkStart w:id="821" w:name="_Toc19530"/>
      <w:bookmarkStart w:id="822" w:name="_Toc28453"/>
      <w:bookmarkStart w:id="823" w:name="_Toc17534"/>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mn-Mong-CN" w:bidi="mn-Mong-CN"/>
        </w:rPr>
      </w:pPr>
      <w:bookmarkStart w:id="824" w:name="_Toc24225"/>
      <w:r>
        <w:rPr>
          <w:rFonts w:hint="default" w:ascii="Times New Roman" w:hAnsi="Times New Roman" w:eastAsia="黑体" w:cs="Times New Roman"/>
          <w:color w:val="auto"/>
          <w:kern w:val="0"/>
          <w:sz w:val="32"/>
          <w:szCs w:val="32"/>
          <w:lang w:val="mn-Mong-CN" w:bidi="mn-Mong-CN"/>
        </w:rPr>
        <w:t>第二十章  强化要素保障</w:t>
      </w:r>
      <w:bookmarkEnd w:id="817"/>
      <w:bookmarkEnd w:id="818"/>
      <w:bookmarkEnd w:id="819"/>
      <w:bookmarkEnd w:id="820"/>
      <w:bookmarkEnd w:id="821"/>
      <w:bookmarkEnd w:id="822"/>
      <w:bookmarkEnd w:id="823"/>
      <w:bookmarkEnd w:id="824"/>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825" w:name="_Toc7056"/>
      <w:bookmarkStart w:id="826" w:name="_Toc13070"/>
      <w:bookmarkStart w:id="827" w:name="_Toc15614"/>
      <w:bookmarkStart w:id="828" w:name="_Toc30723"/>
      <w:bookmarkStart w:id="829" w:name="_Toc31469"/>
      <w:bookmarkStart w:id="830" w:name="_Toc5683"/>
      <w:bookmarkStart w:id="831" w:name="_Toc12768"/>
      <w:bookmarkStart w:id="832" w:name="_Toc10468"/>
      <w:r>
        <w:rPr>
          <w:rFonts w:hint="default" w:ascii="Times New Roman" w:hAnsi="Times New Roman" w:eastAsia="仿宋_GB2312" w:cs="Times New Roman"/>
          <w:b/>
          <w:color w:val="auto"/>
          <w:sz w:val="32"/>
          <w:szCs w:val="32"/>
          <w:lang w:val="zh-CN"/>
        </w:rPr>
        <w:t>20.1强化人才保障</w:t>
      </w:r>
      <w:bookmarkEnd w:id="825"/>
      <w:bookmarkEnd w:id="826"/>
      <w:bookmarkEnd w:id="827"/>
      <w:bookmarkEnd w:id="828"/>
      <w:bookmarkEnd w:id="829"/>
      <w:bookmarkEnd w:id="830"/>
      <w:bookmarkEnd w:id="831"/>
      <w:bookmarkEnd w:id="832"/>
    </w:p>
    <w:p>
      <w:pPr>
        <w:spacing w:line="560" w:lineRule="exact"/>
        <w:ind w:firstLine="643" w:firstLineChars="200"/>
        <w:jc w:val="left"/>
        <w:rPr>
          <w:rFonts w:hint="default" w:ascii="Times New Roman" w:hAnsi="Times New Roman" w:eastAsia="仿宋_GB2312" w:cs="Times New Roman"/>
          <w:b/>
          <w:bCs/>
          <w:color w:val="auto"/>
          <w:kern w:val="0"/>
          <w:sz w:val="32"/>
          <w:szCs w:val="32"/>
        </w:rPr>
      </w:pPr>
      <w:bookmarkStart w:id="833" w:name="_Toc14548"/>
      <w:bookmarkStart w:id="834" w:name="_Toc6424"/>
      <w:r>
        <w:rPr>
          <w:rFonts w:hint="default" w:ascii="Times New Roman" w:hAnsi="Times New Roman" w:eastAsia="仿宋_GB2312" w:cs="Times New Roman"/>
          <w:b/>
          <w:bCs/>
          <w:color w:val="auto"/>
          <w:kern w:val="0"/>
          <w:sz w:val="32"/>
          <w:szCs w:val="32"/>
        </w:rPr>
        <w:t>20.1.1加强农业农村人才队伍建设</w:t>
      </w:r>
      <w:bookmarkEnd w:id="833"/>
      <w:bookmarkEnd w:id="834"/>
    </w:p>
    <w:p>
      <w:pPr>
        <w:spacing w:line="560" w:lineRule="exact"/>
        <w:ind w:firstLine="643" w:firstLineChars="200"/>
        <w:textAlignment w:val="bottom"/>
        <w:rPr>
          <w:rFonts w:hint="default" w:ascii="Times New Roman" w:hAnsi="Times New Roman" w:eastAsia="仿宋_GB2312" w:cs="Times New Roman"/>
          <w:snapToGrid w:val="0"/>
          <w:color w:val="auto"/>
          <w:kern w:val="0"/>
          <w:sz w:val="32"/>
          <w:szCs w:val="32"/>
        </w:rPr>
      </w:pPr>
      <w:bookmarkStart w:id="835" w:name="_Toc13971"/>
      <w:bookmarkStart w:id="836" w:name="_Toc3874"/>
      <w:bookmarkStart w:id="837" w:name="_Toc30106"/>
      <w:r>
        <w:rPr>
          <w:rFonts w:hint="default" w:ascii="Times New Roman" w:hAnsi="Times New Roman" w:eastAsia="仿宋_GB2312" w:cs="Times New Roman"/>
          <w:b/>
          <w:bCs/>
          <w:snapToGrid w:val="0"/>
          <w:color w:val="auto"/>
          <w:kern w:val="0"/>
          <w:sz w:val="32"/>
          <w:szCs w:val="32"/>
          <w:lang w:eastAsia="zh-CN"/>
        </w:rPr>
        <w:t>（</w:t>
      </w:r>
      <w:r>
        <w:rPr>
          <w:rFonts w:hint="default" w:ascii="Times New Roman" w:hAnsi="Times New Roman" w:eastAsia="仿宋_GB2312" w:cs="Times New Roman"/>
          <w:b/>
          <w:bCs/>
          <w:snapToGrid w:val="0"/>
          <w:color w:val="auto"/>
          <w:kern w:val="0"/>
          <w:sz w:val="32"/>
          <w:szCs w:val="32"/>
          <w:lang w:val="en-US" w:eastAsia="zh-CN"/>
        </w:rPr>
        <w:t>1</w:t>
      </w:r>
      <w:r>
        <w:rPr>
          <w:rFonts w:hint="default" w:ascii="Times New Roman" w:hAnsi="Times New Roman" w:eastAsia="仿宋_GB2312" w:cs="Times New Roman"/>
          <w:b/>
          <w:bCs/>
          <w:snapToGrid w:val="0"/>
          <w:color w:val="auto"/>
          <w:kern w:val="0"/>
          <w:sz w:val="32"/>
          <w:szCs w:val="32"/>
          <w:lang w:eastAsia="zh-CN"/>
        </w:rPr>
        <w:t>）</w:t>
      </w:r>
      <w:r>
        <w:rPr>
          <w:rFonts w:hint="default" w:ascii="Times New Roman" w:hAnsi="Times New Roman" w:eastAsia="仿宋_GB2312" w:cs="Times New Roman"/>
          <w:b/>
          <w:bCs/>
          <w:snapToGrid w:val="0"/>
          <w:color w:val="auto"/>
          <w:kern w:val="0"/>
          <w:sz w:val="32"/>
          <w:szCs w:val="32"/>
        </w:rPr>
        <w:t>加快培育新型职业农民。</w:t>
      </w:r>
      <w:r>
        <w:rPr>
          <w:rFonts w:hint="default" w:ascii="Times New Roman" w:hAnsi="Times New Roman" w:eastAsia="仿宋_GB2312" w:cs="Times New Roman"/>
          <w:snapToGrid w:val="0"/>
          <w:color w:val="auto"/>
          <w:kern w:val="0"/>
          <w:sz w:val="32"/>
          <w:szCs w:val="32"/>
        </w:rPr>
        <w:t>大力实施新型职业农民培育工程，探索创新职业农民培养机制，优先把专业大户、家庭农场主、返乡农民工和大学生等纳入培育对象，全面实现</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一社一人</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目标。按照《遂宁市新型职业农民培育管理办法》，制定新型职业农民教育总体规划，鼓励支持</w:t>
      </w:r>
      <w:r>
        <w:rPr>
          <w:rFonts w:hint="default" w:ascii="Times New Roman" w:hAnsi="Times New Roman" w:eastAsia="仿宋_GB2312" w:cs="Times New Roman"/>
          <w:snapToGrid w:val="0"/>
          <w:color w:val="auto"/>
          <w:kern w:val="0"/>
          <w:sz w:val="32"/>
          <w:szCs w:val="32"/>
          <w:lang w:eastAsia="zh-CN"/>
        </w:rPr>
        <w:t>新型职业农民</w:t>
      </w:r>
      <w:r>
        <w:rPr>
          <w:rFonts w:hint="default" w:ascii="Times New Roman" w:hAnsi="Times New Roman" w:eastAsia="仿宋_GB2312" w:cs="Times New Roman"/>
          <w:snapToGrid w:val="0"/>
          <w:color w:val="auto"/>
          <w:kern w:val="0"/>
          <w:sz w:val="32"/>
          <w:szCs w:val="32"/>
        </w:rPr>
        <w:t>参加涉农专业全日制学历教育，逐步建立初、中、高三级新型职业农民教育体系。开展新型职业农民制度试点，探索构建标准条件、生产经营、社会福利等政策体系，形成扶持各类人才进入新型职业农民队伍的制度安排。鼓励开展新型职业农民技术职称等级评定，建立新型职业农民信息管理系统和档案管理制度。实施农村职业经理人壮大行动，以家庭农场、</w:t>
      </w:r>
      <w:r>
        <w:rPr>
          <w:rFonts w:hint="default" w:ascii="Times New Roman" w:hAnsi="Times New Roman" w:eastAsia="仿宋_GB2312" w:cs="Times New Roman"/>
          <w:snapToGrid w:val="0"/>
          <w:color w:val="auto"/>
          <w:kern w:val="0"/>
          <w:sz w:val="32"/>
          <w:szCs w:val="32"/>
          <w:lang w:eastAsia="zh-CN"/>
        </w:rPr>
        <w:t>农民专业合作社</w:t>
      </w:r>
      <w:r>
        <w:rPr>
          <w:rFonts w:hint="default" w:ascii="Times New Roman" w:hAnsi="Times New Roman" w:eastAsia="仿宋_GB2312" w:cs="Times New Roman"/>
          <w:snapToGrid w:val="0"/>
          <w:color w:val="auto"/>
          <w:kern w:val="0"/>
          <w:sz w:val="32"/>
          <w:szCs w:val="32"/>
        </w:rPr>
        <w:t>等新型经营主体为载体，扶持一批农业职业经理人、领军人。</w:t>
      </w:r>
      <w:bookmarkEnd w:id="835"/>
      <w:bookmarkEnd w:id="836"/>
      <w:bookmarkEnd w:id="837"/>
    </w:p>
    <w:p>
      <w:pPr>
        <w:spacing w:line="560" w:lineRule="exact"/>
        <w:ind w:firstLine="643" w:firstLineChars="200"/>
        <w:textAlignment w:val="bottom"/>
        <w:rPr>
          <w:rFonts w:hint="default" w:ascii="Times New Roman" w:hAnsi="Times New Roman" w:eastAsia="仿宋_GB2312" w:cs="Times New Roman"/>
          <w:snapToGrid w:val="0"/>
          <w:color w:val="auto"/>
          <w:kern w:val="0"/>
          <w:sz w:val="32"/>
          <w:szCs w:val="32"/>
        </w:rPr>
      </w:pPr>
      <w:bookmarkStart w:id="838" w:name="_Toc19956"/>
      <w:bookmarkStart w:id="839" w:name="_Toc27075"/>
      <w:bookmarkStart w:id="840" w:name="_Toc1833"/>
      <w:r>
        <w:rPr>
          <w:rFonts w:hint="default" w:ascii="Times New Roman" w:hAnsi="Times New Roman" w:eastAsia="仿宋_GB2312" w:cs="Times New Roman"/>
          <w:b/>
          <w:bCs/>
          <w:snapToGrid w:val="0"/>
          <w:color w:val="auto"/>
          <w:kern w:val="0"/>
          <w:sz w:val="32"/>
          <w:szCs w:val="32"/>
          <w:lang w:eastAsia="zh-CN"/>
        </w:rPr>
        <w:t>（</w:t>
      </w:r>
      <w:r>
        <w:rPr>
          <w:rFonts w:hint="default" w:ascii="Times New Roman" w:hAnsi="Times New Roman" w:eastAsia="仿宋_GB2312" w:cs="Times New Roman"/>
          <w:b/>
          <w:bCs/>
          <w:snapToGrid w:val="0"/>
          <w:color w:val="auto"/>
          <w:kern w:val="0"/>
          <w:sz w:val="32"/>
          <w:szCs w:val="32"/>
          <w:lang w:val="en-US" w:eastAsia="zh-CN"/>
        </w:rPr>
        <w:t>2</w:t>
      </w:r>
      <w:r>
        <w:rPr>
          <w:rFonts w:hint="default" w:ascii="Times New Roman" w:hAnsi="Times New Roman" w:eastAsia="仿宋_GB2312" w:cs="Times New Roman"/>
          <w:b/>
          <w:bCs/>
          <w:snapToGrid w:val="0"/>
          <w:color w:val="auto"/>
          <w:kern w:val="0"/>
          <w:sz w:val="32"/>
          <w:szCs w:val="32"/>
          <w:lang w:eastAsia="zh-CN"/>
        </w:rPr>
        <w:t>）</w:t>
      </w:r>
      <w:r>
        <w:rPr>
          <w:rFonts w:hint="default" w:ascii="Times New Roman" w:hAnsi="Times New Roman" w:eastAsia="仿宋_GB2312" w:cs="Times New Roman"/>
          <w:b/>
          <w:bCs/>
          <w:snapToGrid w:val="0"/>
          <w:color w:val="auto"/>
          <w:kern w:val="0"/>
          <w:sz w:val="32"/>
          <w:szCs w:val="32"/>
        </w:rPr>
        <w:t>着力培养农村实用人才。</w:t>
      </w:r>
      <w:r>
        <w:rPr>
          <w:rFonts w:hint="default" w:ascii="Times New Roman" w:hAnsi="Times New Roman" w:eastAsia="仿宋_GB2312" w:cs="Times New Roman"/>
          <w:snapToGrid w:val="0"/>
          <w:color w:val="auto"/>
          <w:kern w:val="0"/>
          <w:sz w:val="32"/>
          <w:szCs w:val="32"/>
        </w:rPr>
        <w:t>实施乡土人才培养，通过农民夜校、田间课堂、网络教室等方式，分层分类示范培训以生产能人、经营能手、农民技术人员为主体的农村实用人才。实施乡村旅游人才培养，采取</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请进来</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走出去</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方式，开展休闲农业和乡村旅游规划师、工程师、技术员短期培训，培养一批</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有文化、懂经营、会管理</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的新型休闲农业和乡村旅游实用人才。实施民间工匠艺人培养，挖掘一批长期扎根农村、热爱乡土，在民间文艺、手工业、雕刻、茶艺、烹饪、酿造等领域具有一技之长的能工巧匠，大力扶持</w:t>
      </w:r>
      <w:r>
        <w:rPr>
          <w:rFonts w:hint="default" w:ascii="Times New Roman" w:hAnsi="Times New Roman" w:eastAsia="仿宋_GB2312" w:cs="Times New Roman"/>
          <w:snapToGrid w:val="0"/>
          <w:color w:val="auto"/>
          <w:kern w:val="0"/>
          <w:sz w:val="32"/>
          <w:szCs w:val="32"/>
          <w:lang w:val="zh-TW" w:eastAsia="zh-TW"/>
        </w:rPr>
        <w:t>蓬莱大乐、象山花乐鼓、徐氏泥彩塑</w:t>
      </w:r>
      <w:r>
        <w:rPr>
          <w:rFonts w:hint="default" w:ascii="Times New Roman" w:hAnsi="Times New Roman" w:eastAsia="仿宋_GB2312" w:cs="Times New Roman"/>
          <w:snapToGrid w:val="0"/>
          <w:color w:val="auto"/>
          <w:kern w:val="0"/>
          <w:sz w:val="32"/>
          <w:szCs w:val="32"/>
        </w:rPr>
        <w:t>等非遗传人、绝活艺人、文化能人，以师带徒方式培养一批技艺精湛、善于开拓创新的现代乡村工匠。实施家庭能人培养，依托职业技能提升行动，实施</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一户一名技术能手</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培训计划，实现有劳动能力的低收入户每户至少有1个劳动力掌握一门就业技能。</w:t>
      </w:r>
      <w:bookmarkEnd w:id="838"/>
      <w:bookmarkEnd w:id="839"/>
      <w:bookmarkEnd w:id="840"/>
    </w:p>
    <w:p>
      <w:pPr>
        <w:spacing w:line="560" w:lineRule="exact"/>
        <w:ind w:firstLine="643" w:firstLineChars="200"/>
        <w:rPr>
          <w:rFonts w:hint="default" w:ascii="Times New Roman" w:hAnsi="Times New Roman" w:eastAsia="仿宋_GB2312" w:cs="Times New Roman"/>
          <w:bCs/>
          <w:snapToGrid w:val="0"/>
          <w:color w:val="auto"/>
          <w:kern w:val="0"/>
          <w:sz w:val="32"/>
          <w:szCs w:val="32"/>
        </w:rPr>
      </w:pPr>
      <w:r>
        <w:rPr>
          <w:rFonts w:hint="default" w:ascii="Times New Roman" w:hAnsi="Times New Roman" w:eastAsia="仿宋_GB2312" w:cs="Times New Roman"/>
          <w:b/>
          <w:snapToGrid w:val="0"/>
          <w:color w:val="auto"/>
          <w:kern w:val="0"/>
          <w:sz w:val="32"/>
          <w:szCs w:val="32"/>
          <w:lang w:eastAsia="zh-CN"/>
        </w:rPr>
        <w:t>（</w:t>
      </w:r>
      <w:r>
        <w:rPr>
          <w:rFonts w:hint="default" w:ascii="Times New Roman" w:hAnsi="Times New Roman" w:eastAsia="仿宋_GB2312" w:cs="Times New Roman"/>
          <w:b/>
          <w:snapToGrid w:val="0"/>
          <w:color w:val="auto"/>
          <w:kern w:val="0"/>
          <w:sz w:val="32"/>
          <w:szCs w:val="32"/>
          <w:lang w:val="en-US" w:eastAsia="zh-CN"/>
        </w:rPr>
        <w:t>3</w:t>
      </w:r>
      <w:r>
        <w:rPr>
          <w:rFonts w:hint="default" w:ascii="Times New Roman" w:hAnsi="Times New Roman" w:eastAsia="仿宋_GB2312" w:cs="Times New Roman"/>
          <w:b/>
          <w:snapToGrid w:val="0"/>
          <w:color w:val="auto"/>
          <w:kern w:val="0"/>
          <w:sz w:val="32"/>
          <w:szCs w:val="32"/>
          <w:lang w:eastAsia="zh-CN"/>
        </w:rPr>
        <w:t>）</w:t>
      </w:r>
      <w:r>
        <w:rPr>
          <w:rFonts w:hint="default" w:ascii="Times New Roman" w:hAnsi="Times New Roman" w:eastAsia="仿宋_GB2312" w:cs="Times New Roman"/>
          <w:b/>
          <w:snapToGrid w:val="0"/>
          <w:color w:val="auto"/>
          <w:kern w:val="0"/>
          <w:sz w:val="32"/>
          <w:szCs w:val="32"/>
        </w:rPr>
        <w:t>切实加强专业人才队伍建设。</w:t>
      </w:r>
      <w:r>
        <w:rPr>
          <w:rFonts w:hint="default" w:ascii="Times New Roman" w:hAnsi="Times New Roman" w:eastAsia="仿宋_GB2312" w:cs="Times New Roman"/>
          <w:bCs/>
          <w:snapToGrid w:val="0"/>
          <w:color w:val="auto"/>
          <w:kern w:val="0"/>
          <w:sz w:val="32"/>
          <w:szCs w:val="32"/>
        </w:rPr>
        <w:t>强化创新人才培养，依托重大科研项目、重点学科和科研基地、科技合作交流项目，培养一批特色产业发展的紧缺人才，推行产学研合作培养，开展开放式校企联合培养，采用</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人才+项目</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式、订单式和现代学徒制等方式培养科技创新人才。适时清理补齐乡镇事业单位空缺编制，支持边远乡镇事业单位满编运行。深化农业系列职称制度改革，推行</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定向评价、定向使用</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的基层专业技术职称评审制度。积极争取实施省以上专家服务基层项目，持续开展市级专家服务基层活动。实施</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一村一幼</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一村一医</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一村一全科</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一村一名技术能手</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和</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一村一名大学生</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培育计划，借助远程教育、电大、高校、职校等教育资源，鼓励基层专业技术人员提升学历层次、更新知识，有效提升农业专业技术人才队伍整体素质。充分发挥全省</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四大片区</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专家服务基地的平台作用，扎实做好农村急需紧缺专业技术人才培养工作。围绕农林牧渔业结构调整和可持续发展，</w:t>
      </w:r>
      <w:r>
        <w:rPr>
          <w:rFonts w:hint="default" w:ascii="Times New Roman" w:hAnsi="Times New Roman" w:eastAsia="仿宋_GB2312" w:cs="Times New Roman"/>
          <w:bCs/>
          <w:snapToGrid w:val="0"/>
          <w:color w:val="auto"/>
          <w:kern w:val="0"/>
          <w:sz w:val="32"/>
          <w:szCs w:val="32"/>
          <w:lang w:val="en-US" w:eastAsia="zh-CN"/>
        </w:rPr>
        <w:t>积极</w:t>
      </w:r>
      <w:r>
        <w:rPr>
          <w:rFonts w:hint="default" w:ascii="Times New Roman" w:hAnsi="Times New Roman" w:eastAsia="仿宋_GB2312" w:cs="Times New Roman"/>
          <w:bCs/>
          <w:snapToGrid w:val="0"/>
          <w:color w:val="auto"/>
          <w:kern w:val="0"/>
          <w:sz w:val="32"/>
          <w:szCs w:val="32"/>
        </w:rPr>
        <w:t>实施引进国外智力项目，支持引入国外优良品种、先进生产经营方式、种植养殖技术、安全生产和检测技术服务现代农业发展。</w:t>
      </w:r>
    </w:p>
    <w:p>
      <w:pPr>
        <w:spacing w:line="560" w:lineRule="exact"/>
        <w:ind w:firstLine="643" w:firstLineChars="200"/>
        <w:jc w:val="left"/>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20.1.2鼓励社会各界投入农业农村建设</w:t>
      </w:r>
    </w:p>
    <w:p>
      <w:pPr>
        <w:spacing w:line="560" w:lineRule="exact"/>
        <w:ind w:firstLine="643" w:firstLineChars="200"/>
        <w:rPr>
          <w:rFonts w:hint="default" w:ascii="Times New Roman" w:hAnsi="Times New Roman" w:eastAsia="仿宋_GB2312" w:cs="Times New Roman"/>
          <w:bCs/>
          <w:snapToGrid w:val="0"/>
          <w:color w:val="auto"/>
          <w:kern w:val="0"/>
          <w:sz w:val="32"/>
          <w:szCs w:val="32"/>
        </w:rPr>
      </w:pPr>
      <w:bookmarkStart w:id="841" w:name="_Toc3315"/>
      <w:r>
        <w:rPr>
          <w:rFonts w:hint="default" w:ascii="Times New Roman" w:hAnsi="Times New Roman" w:eastAsia="仿宋_GB2312" w:cs="Times New Roman"/>
          <w:b/>
          <w:snapToGrid w:val="0"/>
          <w:color w:val="auto"/>
          <w:kern w:val="0"/>
          <w:sz w:val="32"/>
          <w:szCs w:val="32"/>
          <w:lang w:eastAsia="zh-CN"/>
        </w:rPr>
        <w:t>（</w:t>
      </w:r>
      <w:r>
        <w:rPr>
          <w:rFonts w:hint="default" w:ascii="Times New Roman" w:hAnsi="Times New Roman" w:eastAsia="仿宋_GB2312" w:cs="Times New Roman"/>
          <w:b/>
          <w:snapToGrid w:val="0"/>
          <w:color w:val="auto"/>
          <w:kern w:val="0"/>
          <w:sz w:val="32"/>
          <w:szCs w:val="32"/>
          <w:lang w:val="en-US" w:eastAsia="zh-CN"/>
        </w:rPr>
        <w:t>1</w:t>
      </w:r>
      <w:r>
        <w:rPr>
          <w:rFonts w:hint="default" w:ascii="Times New Roman" w:hAnsi="Times New Roman" w:eastAsia="仿宋_GB2312" w:cs="Times New Roman"/>
          <w:b/>
          <w:snapToGrid w:val="0"/>
          <w:color w:val="auto"/>
          <w:kern w:val="0"/>
          <w:sz w:val="32"/>
          <w:szCs w:val="32"/>
          <w:lang w:eastAsia="zh-CN"/>
        </w:rPr>
        <w:t>）</w:t>
      </w:r>
      <w:r>
        <w:rPr>
          <w:rFonts w:hint="default" w:ascii="Times New Roman" w:hAnsi="Times New Roman" w:eastAsia="仿宋_GB2312" w:cs="Times New Roman"/>
          <w:b/>
          <w:snapToGrid w:val="0"/>
          <w:color w:val="auto"/>
          <w:kern w:val="0"/>
          <w:sz w:val="32"/>
          <w:szCs w:val="32"/>
        </w:rPr>
        <w:t>支持各类人才返乡。</w:t>
      </w:r>
      <w:r>
        <w:rPr>
          <w:rFonts w:hint="default" w:ascii="Times New Roman" w:hAnsi="Times New Roman" w:eastAsia="仿宋_GB2312" w:cs="Times New Roman"/>
          <w:bCs/>
          <w:snapToGrid w:val="0"/>
          <w:color w:val="auto"/>
          <w:kern w:val="0"/>
          <w:sz w:val="32"/>
          <w:szCs w:val="32"/>
        </w:rPr>
        <w:t>积极承接省</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万名紧缺专业大学生定向培养计划</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采取定向招生、定向培养、定向上岗方式，5年为基层培养一批急需紧缺专业大学本科生，毕业后回原籍定向就业。实施归巢创业计划，以乡情乡愁为纽带，吸引对乡村有情结的进城务工人员、退伍军人、退休职工等更多人才创办经济实体、投身现代农业，培养造就心怀农业、情系农村、视野宽阔、理念先进的</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新农人</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吸引支持党政干部、专家学者、医生教师、规划师、建筑师、律师、技能人才等，通过下乡担任志愿者、投资兴业、包村包项目、行医办学、捐资捐物、法律服务等方式，关心支持参与乡村振兴。做好选拔人才到基层一线服务和选拔基层人才访学研修工作，推动人才双向流动。发挥群团组织的优势和力量，支持民主党派、工商联、无党派人士等在乡村振兴中发挥积极作用。</w:t>
      </w:r>
      <w:bookmarkEnd w:id="841"/>
    </w:p>
    <w:p>
      <w:pPr>
        <w:spacing w:line="560" w:lineRule="exact"/>
        <w:ind w:firstLine="643" w:firstLineChars="200"/>
        <w:textAlignment w:val="bottom"/>
        <w:rPr>
          <w:rFonts w:hint="default" w:ascii="Times New Roman" w:hAnsi="Times New Roman" w:eastAsia="仿宋_GB2312" w:cs="Times New Roman"/>
          <w:bCs/>
          <w:snapToGrid w:val="0"/>
          <w:color w:val="auto"/>
          <w:sz w:val="32"/>
          <w:szCs w:val="32"/>
        </w:rPr>
      </w:pPr>
      <w:bookmarkStart w:id="842" w:name="_Toc26567"/>
      <w:bookmarkStart w:id="843" w:name="_Toc6040"/>
      <w:bookmarkStart w:id="844" w:name="_Toc16046"/>
      <w:bookmarkStart w:id="845" w:name="_Toc11241"/>
      <w:bookmarkStart w:id="846" w:name="_Toc30035"/>
      <w:r>
        <w:rPr>
          <w:rFonts w:hint="default" w:ascii="Times New Roman" w:hAnsi="Times New Roman" w:eastAsia="仿宋_GB2312" w:cs="Times New Roman"/>
          <w:b/>
          <w:bCs/>
          <w:snapToGrid w:val="0"/>
          <w:color w:val="auto"/>
          <w:sz w:val="32"/>
          <w:szCs w:val="32"/>
          <w:lang w:eastAsia="zh-CN"/>
        </w:rPr>
        <w:t>（</w:t>
      </w:r>
      <w:r>
        <w:rPr>
          <w:rFonts w:hint="default" w:ascii="Times New Roman" w:hAnsi="Times New Roman" w:eastAsia="仿宋_GB2312" w:cs="Times New Roman"/>
          <w:b/>
          <w:bCs/>
          <w:snapToGrid w:val="0"/>
          <w:color w:val="auto"/>
          <w:sz w:val="32"/>
          <w:szCs w:val="32"/>
          <w:lang w:val="en-US" w:eastAsia="zh-CN"/>
        </w:rPr>
        <w:t>2</w:t>
      </w:r>
      <w:r>
        <w:rPr>
          <w:rFonts w:hint="default" w:ascii="Times New Roman" w:hAnsi="Times New Roman" w:eastAsia="仿宋_GB2312" w:cs="Times New Roman"/>
          <w:b/>
          <w:bCs/>
          <w:snapToGrid w:val="0"/>
          <w:color w:val="auto"/>
          <w:sz w:val="32"/>
          <w:szCs w:val="32"/>
          <w:lang w:eastAsia="zh-CN"/>
        </w:rPr>
        <w:t>）</w:t>
      </w:r>
      <w:r>
        <w:rPr>
          <w:rFonts w:hint="default" w:ascii="Times New Roman" w:hAnsi="Times New Roman" w:eastAsia="仿宋_GB2312" w:cs="Times New Roman"/>
          <w:b/>
          <w:bCs/>
          <w:snapToGrid w:val="0"/>
          <w:color w:val="auto"/>
          <w:sz w:val="32"/>
          <w:szCs w:val="32"/>
        </w:rPr>
        <w:t>培育壮大新乡贤队伍。</w:t>
      </w:r>
      <w:r>
        <w:rPr>
          <w:rFonts w:hint="default" w:ascii="Times New Roman" w:hAnsi="Times New Roman" w:eastAsia="仿宋_GB2312" w:cs="Times New Roman"/>
          <w:bCs/>
          <w:snapToGrid w:val="0"/>
          <w:color w:val="auto"/>
          <w:sz w:val="32"/>
          <w:szCs w:val="32"/>
        </w:rPr>
        <w:t>实施新乡贤培育与成长工程，引导村内老党员、老干部、人大代表、退伍军人、经济文化能人等群体扎根本土，发现、培养、壮大新乡贤队伍。建立完善新乡贤吸纳机制，鼓励离退休党员干部、知识分子和工商界人士</w:t>
      </w:r>
      <w:r>
        <w:rPr>
          <w:rFonts w:hint="default" w:ascii="Times New Roman" w:hAnsi="Times New Roman" w:eastAsia="仿宋_GB2312" w:cs="Times New Roman"/>
          <w:bCs/>
          <w:snapToGrid w:val="0"/>
          <w:color w:val="auto"/>
          <w:sz w:val="32"/>
          <w:szCs w:val="32"/>
          <w:lang w:eastAsia="zh-CN"/>
        </w:rPr>
        <w:t>“</w:t>
      </w:r>
      <w:r>
        <w:rPr>
          <w:rFonts w:hint="default" w:ascii="Times New Roman" w:hAnsi="Times New Roman" w:eastAsia="仿宋_GB2312" w:cs="Times New Roman"/>
          <w:bCs/>
          <w:snapToGrid w:val="0"/>
          <w:color w:val="auto"/>
          <w:sz w:val="32"/>
          <w:szCs w:val="32"/>
        </w:rPr>
        <w:t>告老还乡</w:t>
      </w:r>
      <w:r>
        <w:rPr>
          <w:rFonts w:hint="default" w:ascii="Times New Roman" w:hAnsi="Times New Roman" w:eastAsia="仿宋_GB2312" w:cs="Times New Roman"/>
          <w:bCs/>
          <w:snapToGrid w:val="0"/>
          <w:color w:val="auto"/>
          <w:sz w:val="32"/>
          <w:szCs w:val="32"/>
          <w:lang w:eastAsia="zh-CN"/>
        </w:rPr>
        <w:t>”</w:t>
      </w:r>
      <w:r>
        <w:rPr>
          <w:rFonts w:hint="default" w:ascii="Times New Roman" w:hAnsi="Times New Roman" w:eastAsia="仿宋_GB2312" w:cs="Times New Roman"/>
          <w:bCs/>
          <w:snapToGrid w:val="0"/>
          <w:color w:val="auto"/>
          <w:sz w:val="32"/>
          <w:szCs w:val="32"/>
        </w:rPr>
        <w:t>，到乡村发挥余热、</w:t>
      </w:r>
      <w:r>
        <w:rPr>
          <w:rFonts w:hint="default" w:ascii="Times New Roman" w:hAnsi="Times New Roman" w:eastAsia="仿宋_GB2312" w:cs="Times New Roman"/>
          <w:bCs/>
          <w:snapToGrid w:val="0"/>
          <w:color w:val="auto"/>
          <w:spacing w:val="-6"/>
          <w:sz w:val="32"/>
          <w:szCs w:val="32"/>
        </w:rPr>
        <w:t>施展才能，实现宝贵人才资源从乡村流出再到返回乡村的良性循环。鼓励各地挖掘整理乡贤资源，研究制定吸引新乡贤的支持政策，吸引在外成功人士服务乡村振兴</w:t>
      </w:r>
      <w:r>
        <w:rPr>
          <w:rFonts w:hint="default" w:ascii="Times New Roman" w:hAnsi="Times New Roman" w:eastAsia="仿宋_GB2312" w:cs="Times New Roman"/>
          <w:bCs/>
          <w:snapToGrid w:val="0"/>
          <w:color w:val="auto"/>
          <w:sz w:val="32"/>
          <w:szCs w:val="32"/>
        </w:rPr>
        <w:t>。</w:t>
      </w:r>
      <w:bookmarkEnd w:id="842"/>
      <w:bookmarkEnd w:id="843"/>
      <w:bookmarkEnd w:id="844"/>
      <w:bookmarkEnd w:id="845"/>
      <w:bookmarkEnd w:id="846"/>
    </w:p>
    <w:p>
      <w:pPr>
        <w:spacing w:line="560" w:lineRule="exact"/>
        <w:ind w:firstLine="643" w:firstLineChars="200"/>
        <w:textAlignment w:val="bottom"/>
        <w:rPr>
          <w:rFonts w:hint="default" w:ascii="Times New Roman" w:hAnsi="Times New Roman" w:eastAsia="仿宋_GB2312" w:cs="Times New Roman"/>
          <w:bCs/>
          <w:snapToGrid w:val="0"/>
          <w:color w:val="auto"/>
          <w:sz w:val="32"/>
          <w:szCs w:val="32"/>
        </w:rPr>
      </w:pPr>
      <w:bookmarkStart w:id="847" w:name="_Toc12789"/>
      <w:bookmarkStart w:id="848" w:name="_Toc17758"/>
      <w:bookmarkStart w:id="849" w:name="_Toc7161"/>
      <w:bookmarkStart w:id="850" w:name="_Toc12942"/>
      <w:bookmarkStart w:id="851" w:name="_Toc22466"/>
      <w:r>
        <w:rPr>
          <w:rFonts w:hint="default" w:ascii="Times New Roman" w:hAnsi="Times New Roman" w:eastAsia="仿宋_GB2312" w:cs="Times New Roman"/>
          <w:b/>
          <w:bCs/>
          <w:snapToGrid w:val="0"/>
          <w:color w:val="auto"/>
          <w:sz w:val="32"/>
          <w:szCs w:val="32"/>
          <w:lang w:eastAsia="zh-CN"/>
        </w:rPr>
        <w:t>（</w:t>
      </w:r>
      <w:r>
        <w:rPr>
          <w:rFonts w:hint="default" w:ascii="Times New Roman" w:hAnsi="Times New Roman" w:eastAsia="仿宋_GB2312" w:cs="Times New Roman"/>
          <w:b/>
          <w:bCs/>
          <w:snapToGrid w:val="0"/>
          <w:color w:val="auto"/>
          <w:sz w:val="32"/>
          <w:szCs w:val="32"/>
          <w:lang w:val="en-US" w:eastAsia="zh-CN"/>
        </w:rPr>
        <w:t>3</w:t>
      </w:r>
      <w:r>
        <w:rPr>
          <w:rFonts w:hint="default" w:ascii="Times New Roman" w:hAnsi="Times New Roman" w:eastAsia="仿宋_GB2312" w:cs="Times New Roman"/>
          <w:b/>
          <w:bCs/>
          <w:snapToGrid w:val="0"/>
          <w:color w:val="auto"/>
          <w:sz w:val="32"/>
          <w:szCs w:val="32"/>
          <w:lang w:eastAsia="zh-CN"/>
        </w:rPr>
        <w:t>）</w:t>
      </w:r>
      <w:r>
        <w:rPr>
          <w:rFonts w:hint="default" w:ascii="Times New Roman" w:hAnsi="Times New Roman" w:eastAsia="仿宋_GB2312" w:cs="Times New Roman"/>
          <w:b/>
          <w:bCs/>
          <w:snapToGrid w:val="0"/>
          <w:color w:val="auto"/>
          <w:sz w:val="32"/>
          <w:szCs w:val="32"/>
        </w:rPr>
        <w:t>引导企业家下乡。</w:t>
      </w:r>
      <w:r>
        <w:rPr>
          <w:rFonts w:hint="default" w:ascii="Times New Roman" w:hAnsi="Times New Roman" w:eastAsia="仿宋_GB2312" w:cs="Times New Roman"/>
          <w:bCs/>
          <w:snapToGrid w:val="0"/>
          <w:color w:val="auto"/>
          <w:sz w:val="32"/>
          <w:szCs w:val="32"/>
        </w:rPr>
        <w:t>加快制定鼓励引导工商资本参与乡村振兴的实施意见，依法落实和完善融资贷款、配套设施建设补助、减税降费等扶持政策，鼓励工商企业家投资适合产业化、规模化、集约化经营的农业领域，发展设施农业、循环农业、智</w:t>
      </w:r>
      <w:r>
        <w:rPr>
          <w:rFonts w:hint="default" w:ascii="Times New Roman" w:hAnsi="Times New Roman" w:eastAsia="仿宋_GB2312" w:cs="Times New Roman"/>
          <w:bCs/>
          <w:snapToGrid w:val="0"/>
          <w:color w:val="auto"/>
          <w:kern w:val="0"/>
          <w:sz w:val="32"/>
          <w:szCs w:val="32"/>
        </w:rPr>
        <w:t>慧农业、</w:t>
      </w:r>
      <w:r>
        <w:rPr>
          <w:rFonts w:hint="default" w:ascii="Times New Roman" w:hAnsi="Times New Roman" w:eastAsia="仿宋_GB2312" w:cs="Times New Roman"/>
          <w:bCs/>
          <w:snapToGrid w:val="0"/>
          <w:color w:val="auto"/>
          <w:kern w:val="0"/>
          <w:sz w:val="32"/>
          <w:szCs w:val="32"/>
          <w:lang w:eastAsia="zh-CN"/>
        </w:rPr>
        <w:t>智能农业、</w:t>
      </w:r>
      <w:r>
        <w:rPr>
          <w:rFonts w:hint="default" w:ascii="Times New Roman" w:hAnsi="Times New Roman" w:eastAsia="仿宋_GB2312" w:cs="Times New Roman"/>
          <w:bCs/>
          <w:snapToGrid w:val="0"/>
          <w:color w:val="auto"/>
          <w:kern w:val="0"/>
          <w:sz w:val="32"/>
          <w:szCs w:val="32"/>
        </w:rPr>
        <w:t>休闲旅游、</w:t>
      </w:r>
      <w:r>
        <w:rPr>
          <w:rFonts w:hint="default" w:ascii="Times New Roman" w:hAnsi="Times New Roman" w:eastAsia="仿宋_GB2312" w:cs="Times New Roman"/>
          <w:bCs/>
          <w:snapToGrid w:val="0"/>
          <w:color w:val="auto"/>
          <w:sz w:val="32"/>
          <w:szCs w:val="32"/>
        </w:rPr>
        <w:t>环境整治等方面的综合经营，参与农村基础设施建设等，通过项目建设带动人才、技术、管理、资金、信息流向农村，为乡村振兴注入各类先进要素。</w:t>
      </w:r>
      <w:bookmarkEnd w:id="847"/>
      <w:bookmarkEnd w:id="848"/>
      <w:bookmarkEnd w:id="849"/>
      <w:bookmarkEnd w:id="850"/>
      <w:bookmarkEnd w:id="851"/>
    </w:p>
    <w:p>
      <w:pPr>
        <w:spacing w:line="560" w:lineRule="exact"/>
        <w:ind w:firstLine="643" w:firstLineChars="200"/>
        <w:jc w:val="left"/>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20.1.3优化人才发展环境</w:t>
      </w:r>
    </w:p>
    <w:p>
      <w:pPr>
        <w:spacing w:line="560" w:lineRule="exact"/>
        <w:ind w:firstLine="643" w:firstLineChars="200"/>
        <w:textAlignment w:val="bottom"/>
        <w:rPr>
          <w:rFonts w:hint="default" w:ascii="Times New Roman" w:hAnsi="Times New Roman" w:eastAsia="仿宋_GB2312" w:cs="Times New Roman"/>
          <w:bCs/>
          <w:snapToGrid w:val="0"/>
          <w:color w:val="auto"/>
          <w:kern w:val="0"/>
          <w:sz w:val="32"/>
          <w:szCs w:val="32"/>
        </w:rPr>
      </w:pPr>
      <w:bookmarkStart w:id="852" w:name="_Toc32119"/>
      <w:bookmarkStart w:id="853" w:name="_Toc6834"/>
      <w:bookmarkStart w:id="854" w:name="_Toc7988"/>
      <w:bookmarkStart w:id="855" w:name="_Toc226"/>
      <w:bookmarkStart w:id="856" w:name="_Toc31842"/>
      <w:bookmarkStart w:id="857" w:name="_Toc7565"/>
      <w:bookmarkStart w:id="858" w:name="_Toc18640"/>
      <w:bookmarkStart w:id="859" w:name="_Toc24762"/>
      <w:bookmarkStart w:id="860" w:name="_Toc27623"/>
      <w:bookmarkStart w:id="861" w:name="_Toc19938"/>
      <w:bookmarkStart w:id="862" w:name="_Toc25475"/>
      <w:r>
        <w:rPr>
          <w:rFonts w:hint="default" w:ascii="Times New Roman" w:hAnsi="Times New Roman" w:eastAsia="仿宋_GB2312" w:cs="Times New Roman"/>
          <w:b/>
          <w:snapToGrid w:val="0"/>
          <w:color w:val="auto"/>
          <w:kern w:val="0"/>
          <w:sz w:val="32"/>
          <w:szCs w:val="32"/>
          <w:lang w:eastAsia="zh-CN"/>
        </w:rPr>
        <w:t>（</w:t>
      </w:r>
      <w:r>
        <w:rPr>
          <w:rFonts w:hint="default" w:ascii="Times New Roman" w:hAnsi="Times New Roman" w:eastAsia="仿宋_GB2312" w:cs="Times New Roman"/>
          <w:b/>
          <w:snapToGrid w:val="0"/>
          <w:color w:val="auto"/>
          <w:kern w:val="0"/>
          <w:sz w:val="32"/>
          <w:szCs w:val="32"/>
          <w:lang w:val="en-US" w:eastAsia="zh-CN"/>
        </w:rPr>
        <w:t>1</w:t>
      </w:r>
      <w:r>
        <w:rPr>
          <w:rFonts w:hint="default" w:ascii="Times New Roman" w:hAnsi="Times New Roman" w:eastAsia="仿宋_GB2312" w:cs="Times New Roman"/>
          <w:b/>
          <w:snapToGrid w:val="0"/>
          <w:color w:val="auto"/>
          <w:kern w:val="0"/>
          <w:sz w:val="32"/>
          <w:szCs w:val="32"/>
          <w:lang w:eastAsia="zh-CN"/>
        </w:rPr>
        <w:t>）</w:t>
      </w:r>
      <w:r>
        <w:rPr>
          <w:rFonts w:hint="default" w:ascii="Times New Roman" w:hAnsi="Times New Roman" w:eastAsia="仿宋_GB2312" w:cs="Times New Roman"/>
          <w:b/>
          <w:snapToGrid w:val="0"/>
          <w:color w:val="auto"/>
          <w:kern w:val="0"/>
          <w:sz w:val="32"/>
          <w:szCs w:val="32"/>
        </w:rPr>
        <w:t>创新培养成长机制。</w:t>
      </w:r>
      <w:r>
        <w:rPr>
          <w:rFonts w:hint="default" w:ascii="Times New Roman" w:hAnsi="Times New Roman" w:eastAsia="仿宋_GB2312" w:cs="Times New Roman"/>
          <w:bCs/>
          <w:snapToGrid w:val="0"/>
          <w:color w:val="auto"/>
          <w:kern w:val="0"/>
          <w:sz w:val="32"/>
          <w:szCs w:val="32"/>
        </w:rPr>
        <w:t>创新人才教育培养模式，继续实施</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转身向内人才盘活</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行动，加大对现有各类人才的培养力度，特别是乡镇专业技术人才统筹培训；深化</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归巢创业行动</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依托发挥驻外流动党委、外地大英商会等优势，吸引大英籍各类人才柔性回归乡村，建立自主培养与人才引进相结合，学历教育、技能培训、实践锻炼等多措并举的农村人力资源开发机制；改进人才培养支持模式，制定各类人才培养和评价标准，开展各类人才评价与认定工作，开展农业职业经理人和农村实用人才评价工作，认定并支持一批带动能力强、有农业生产经验或一技之长的</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土专家</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田秀才</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和农村家庭能人，建设一支</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爱农业、懂技术、善经营</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的农村实用人才队伍；促进创新人才引进，健全省内外优秀科技人才引进机制，积极引进带着项目、技术的创新人才和创新团队来大英从事科研，加大对引进高层次人才开展项目研究等支持力度，最大程度实现产业、项目与人才的有机结合。</w:t>
      </w:r>
      <w:bookmarkEnd w:id="852"/>
      <w:bookmarkEnd w:id="853"/>
      <w:bookmarkEnd w:id="854"/>
      <w:bookmarkEnd w:id="855"/>
      <w:bookmarkEnd w:id="856"/>
      <w:bookmarkEnd w:id="857"/>
      <w:bookmarkEnd w:id="858"/>
      <w:bookmarkEnd w:id="859"/>
      <w:bookmarkEnd w:id="860"/>
      <w:bookmarkEnd w:id="861"/>
      <w:bookmarkEnd w:id="862"/>
    </w:p>
    <w:p>
      <w:pPr>
        <w:spacing w:line="560" w:lineRule="exact"/>
        <w:ind w:firstLine="643" w:firstLineChars="200"/>
        <w:textAlignment w:val="bottom"/>
        <w:rPr>
          <w:rFonts w:hint="default" w:ascii="Times New Roman" w:hAnsi="Times New Roman" w:eastAsia="仿宋_GB2312" w:cs="Times New Roman"/>
          <w:bCs/>
          <w:snapToGrid w:val="0"/>
          <w:color w:val="auto"/>
          <w:kern w:val="0"/>
          <w:sz w:val="32"/>
          <w:szCs w:val="32"/>
        </w:rPr>
      </w:pPr>
      <w:bookmarkStart w:id="863" w:name="_Toc7913"/>
      <w:bookmarkStart w:id="864" w:name="_Toc3574"/>
      <w:bookmarkStart w:id="865" w:name="_Toc23747"/>
      <w:bookmarkStart w:id="866" w:name="_Toc14406"/>
      <w:bookmarkStart w:id="867" w:name="_Toc2781"/>
      <w:bookmarkStart w:id="868" w:name="_Toc24210"/>
      <w:bookmarkStart w:id="869" w:name="_Toc4172"/>
      <w:bookmarkStart w:id="870" w:name="_Toc8229"/>
      <w:bookmarkStart w:id="871" w:name="_Toc30608"/>
      <w:bookmarkStart w:id="872" w:name="_Toc3793"/>
      <w:r>
        <w:rPr>
          <w:rFonts w:hint="default" w:ascii="Times New Roman" w:hAnsi="Times New Roman" w:eastAsia="仿宋_GB2312" w:cs="Times New Roman"/>
          <w:b/>
          <w:snapToGrid w:val="0"/>
          <w:color w:val="auto"/>
          <w:kern w:val="0"/>
          <w:sz w:val="32"/>
          <w:szCs w:val="32"/>
          <w:lang w:eastAsia="zh-CN"/>
        </w:rPr>
        <w:t>（</w:t>
      </w:r>
      <w:r>
        <w:rPr>
          <w:rFonts w:hint="default" w:ascii="Times New Roman" w:hAnsi="Times New Roman" w:eastAsia="仿宋_GB2312" w:cs="Times New Roman"/>
          <w:b/>
          <w:snapToGrid w:val="0"/>
          <w:color w:val="auto"/>
          <w:kern w:val="0"/>
          <w:sz w:val="32"/>
          <w:szCs w:val="32"/>
          <w:lang w:val="en-US" w:eastAsia="zh-CN"/>
        </w:rPr>
        <w:t>2</w:t>
      </w:r>
      <w:r>
        <w:rPr>
          <w:rFonts w:hint="default" w:ascii="Times New Roman" w:hAnsi="Times New Roman" w:eastAsia="仿宋_GB2312" w:cs="Times New Roman"/>
          <w:b/>
          <w:snapToGrid w:val="0"/>
          <w:color w:val="auto"/>
          <w:kern w:val="0"/>
          <w:sz w:val="32"/>
          <w:szCs w:val="32"/>
          <w:lang w:eastAsia="zh-CN"/>
        </w:rPr>
        <w:t>）</w:t>
      </w:r>
      <w:r>
        <w:rPr>
          <w:rFonts w:hint="default" w:ascii="Times New Roman" w:hAnsi="Times New Roman" w:eastAsia="仿宋_GB2312" w:cs="Times New Roman"/>
          <w:b/>
          <w:snapToGrid w:val="0"/>
          <w:color w:val="auto"/>
          <w:kern w:val="0"/>
          <w:sz w:val="32"/>
          <w:szCs w:val="32"/>
        </w:rPr>
        <w:t>完善管理服务机制。</w:t>
      </w:r>
      <w:r>
        <w:rPr>
          <w:rFonts w:hint="default" w:ascii="Times New Roman" w:hAnsi="Times New Roman" w:eastAsia="仿宋_GB2312" w:cs="Times New Roman"/>
          <w:bCs/>
          <w:snapToGrid w:val="0"/>
          <w:color w:val="auto"/>
          <w:kern w:val="0"/>
          <w:sz w:val="32"/>
          <w:szCs w:val="32"/>
        </w:rPr>
        <w:t>加强对人才工作的领导，推动人才管理职能向基层延伸，探索扩大乡镇用人主体自主权。实行</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岗编适度分离</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新机制，引导农业科技人员、专业技术人员向基层流动。加强对农业科技人员和</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乡土人才</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等人员的管理服务，使之成为农业农村发展的引领力量。加大实施服务基层项目人员的招聘力度，建立县级部门优秀年轻公职人员和引进高层次人才到乡镇挂职制度、到农村定期服务制度。鼓励周末工程师、科技人员到乡村发挥作用，搭建专家网络咨询平台，充分发挥院士（专家）工作站作用服务农业农村工作。进一步打破户籍、地域、身份、档案等制约，创造便利条件，畅通农民专业合作社、家庭农场、农业企业、农业社会化服务组织等生产经营主体中农业技术人员的职称申报渠道。城市中小学教师、医生晋升高级职称前，原则上要有1年以上农村基层工作服务经历。加强</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三农</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工作干部队伍培养、配备、管理和使用，制定并实施针对性培训计划，</w:t>
      </w:r>
      <w:r>
        <w:rPr>
          <w:rFonts w:hint="default" w:ascii="Times New Roman" w:hAnsi="Times New Roman" w:eastAsia="仿宋_GB2312" w:cs="Times New Roman"/>
          <w:bCs/>
          <w:snapToGrid w:val="0"/>
          <w:color w:val="auto"/>
          <w:kern w:val="0"/>
          <w:sz w:val="32"/>
          <w:szCs w:val="32"/>
          <w:lang w:val="zh-CN"/>
        </w:rPr>
        <w:t>继续实施“头雁招引培育”“职业村支书”“村级后备干部选育”三大计划，</w:t>
      </w:r>
      <w:r>
        <w:rPr>
          <w:rFonts w:hint="default" w:ascii="Times New Roman" w:hAnsi="Times New Roman" w:eastAsia="仿宋_GB2312" w:cs="Times New Roman"/>
          <w:bCs/>
          <w:snapToGrid w:val="0"/>
          <w:color w:val="auto"/>
          <w:kern w:val="0"/>
          <w:sz w:val="32"/>
          <w:szCs w:val="32"/>
        </w:rPr>
        <w:t>开辟优秀年轻干部来源，优化乡村治理人才队伍，全面提升服务</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三农</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工作的能力和水平。</w:t>
      </w:r>
      <w:bookmarkEnd w:id="863"/>
      <w:bookmarkEnd w:id="864"/>
      <w:bookmarkEnd w:id="865"/>
      <w:bookmarkEnd w:id="866"/>
      <w:bookmarkEnd w:id="867"/>
      <w:bookmarkEnd w:id="868"/>
      <w:bookmarkEnd w:id="869"/>
      <w:bookmarkEnd w:id="870"/>
      <w:bookmarkEnd w:id="871"/>
      <w:bookmarkEnd w:id="872"/>
    </w:p>
    <w:p>
      <w:pPr>
        <w:spacing w:line="560" w:lineRule="exact"/>
        <w:ind w:firstLine="643" w:firstLineChars="200"/>
        <w:textAlignment w:val="bottom"/>
        <w:rPr>
          <w:rFonts w:hint="default" w:ascii="Times New Roman" w:hAnsi="Times New Roman" w:eastAsia="仿宋_GB2312" w:cs="Times New Roman"/>
          <w:bCs/>
          <w:snapToGrid w:val="0"/>
          <w:color w:val="auto"/>
          <w:kern w:val="0"/>
          <w:sz w:val="32"/>
          <w:szCs w:val="32"/>
        </w:rPr>
      </w:pPr>
      <w:bookmarkStart w:id="873" w:name="_Toc12125"/>
      <w:bookmarkStart w:id="874" w:name="_Toc8219"/>
      <w:bookmarkStart w:id="875" w:name="_Toc754"/>
      <w:bookmarkStart w:id="876" w:name="_Toc2071"/>
      <w:bookmarkStart w:id="877" w:name="_Toc6851"/>
      <w:bookmarkStart w:id="878" w:name="_Toc8264"/>
      <w:bookmarkStart w:id="879" w:name="_Toc11906"/>
      <w:bookmarkStart w:id="880" w:name="_Toc3182"/>
      <w:bookmarkStart w:id="881" w:name="_Toc32733"/>
      <w:r>
        <w:rPr>
          <w:rFonts w:hint="default" w:ascii="Times New Roman" w:hAnsi="Times New Roman" w:eastAsia="仿宋_GB2312" w:cs="Times New Roman"/>
          <w:b/>
          <w:snapToGrid w:val="0"/>
          <w:color w:val="auto"/>
          <w:kern w:val="0"/>
          <w:sz w:val="32"/>
          <w:szCs w:val="32"/>
          <w:lang w:eastAsia="zh-CN"/>
        </w:rPr>
        <w:t>（</w:t>
      </w:r>
      <w:r>
        <w:rPr>
          <w:rFonts w:hint="default" w:ascii="Times New Roman" w:hAnsi="Times New Roman" w:eastAsia="仿宋_GB2312" w:cs="Times New Roman"/>
          <w:b/>
          <w:snapToGrid w:val="0"/>
          <w:color w:val="auto"/>
          <w:kern w:val="0"/>
          <w:sz w:val="32"/>
          <w:szCs w:val="32"/>
          <w:lang w:val="en-US" w:eastAsia="zh-CN"/>
        </w:rPr>
        <w:t>3</w:t>
      </w:r>
      <w:r>
        <w:rPr>
          <w:rFonts w:hint="default" w:ascii="Times New Roman" w:hAnsi="Times New Roman" w:eastAsia="仿宋_GB2312" w:cs="Times New Roman"/>
          <w:b/>
          <w:snapToGrid w:val="0"/>
          <w:color w:val="auto"/>
          <w:kern w:val="0"/>
          <w:sz w:val="32"/>
          <w:szCs w:val="32"/>
          <w:lang w:eastAsia="zh-CN"/>
        </w:rPr>
        <w:t>）</w:t>
      </w:r>
      <w:r>
        <w:rPr>
          <w:rFonts w:hint="default" w:ascii="Times New Roman" w:hAnsi="Times New Roman" w:eastAsia="仿宋_GB2312" w:cs="Times New Roman"/>
          <w:b/>
          <w:snapToGrid w:val="0"/>
          <w:color w:val="auto"/>
          <w:kern w:val="0"/>
          <w:sz w:val="32"/>
          <w:szCs w:val="32"/>
        </w:rPr>
        <w:t>健全激励使用机制。</w:t>
      </w:r>
      <w:r>
        <w:rPr>
          <w:rFonts w:hint="default" w:ascii="Times New Roman" w:hAnsi="Times New Roman" w:eastAsia="仿宋_GB2312" w:cs="Times New Roman"/>
          <w:bCs/>
          <w:snapToGrid w:val="0"/>
          <w:color w:val="auto"/>
          <w:kern w:val="0"/>
          <w:sz w:val="32"/>
          <w:szCs w:val="32"/>
        </w:rPr>
        <w:t>大力开发农业农村人才资源，激励农业农村人才发展产业和创新创业。培养和引进各类高层次创新人才，创新完善科技人才培养、引进、流动、激励等机制和配套政策。健全科技创新人才发展机制，着力建立和完善基层用人导向、利益驱动并重的人才评价激励机制，探索建立知识、技术等要素参与分配的有效机制，激发科技人员创新创业积极性，弘扬创新奉献精神。创新实施</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大英英才</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计划，健全人才表彰体系，加大对各类优秀人才表彰力度，支持和规范科技类激励机制设立。推进人才发展体制机制改革，落实好基层专业技术人才职称评聘、创业扶持、待遇保障等政策措施；在基层一线农业农村领域，适当增加高级专业技术岗位，采取</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定向评价、定向使用</w:t>
      </w:r>
      <w:r>
        <w:rPr>
          <w:rFonts w:hint="default" w:ascii="Times New Roman" w:hAnsi="Times New Roman" w:eastAsia="仿宋_GB2312" w:cs="Times New Roman"/>
          <w:bCs/>
          <w:snapToGrid w:val="0"/>
          <w:color w:val="auto"/>
          <w:kern w:val="0"/>
          <w:sz w:val="32"/>
          <w:szCs w:val="32"/>
          <w:lang w:eastAsia="zh-CN"/>
        </w:rPr>
        <w:t>”</w:t>
      </w:r>
      <w:r>
        <w:rPr>
          <w:rFonts w:hint="default" w:ascii="Times New Roman" w:hAnsi="Times New Roman" w:eastAsia="仿宋_GB2312" w:cs="Times New Roman"/>
          <w:bCs/>
          <w:snapToGrid w:val="0"/>
          <w:color w:val="auto"/>
          <w:kern w:val="0"/>
          <w:sz w:val="32"/>
          <w:szCs w:val="32"/>
        </w:rPr>
        <w:t>的方式；对长期扎根基层一线、作出突出贡献的农业技术人员，可适当放宽学历和任职年限要求。建立完善专家人才服务基层长效机制，积极引导各级各类专家人才通过柔性支持的方式向基层提供智力支持。取得农业职业经理人等级证书者享受相应扶持政策。加大各类优秀人才基层重要岗位使用力度，充分让人才发挥作用，保障人尽其才、才尽其用。</w:t>
      </w:r>
      <w:bookmarkEnd w:id="873"/>
      <w:bookmarkEnd w:id="874"/>
      <w:bookmarkEnd w:id="875"/>
      <w:bookmarkEnd w:id="876"/>
      <w:bookmarkEnd w:id="877"/>
      <w:bookmarkEnd w:id="878"/>
      <w:bookmarkEnd w:id="879"/>
      <w:bookmarkEnd w:id="880"/>
      <w:bookmarkEnd w:id="881"/>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882" w:name="_Toc19078"/>
      <w:bookmarkStart w:id="883" w:name="_Toc27883"/>
      <w:bookmarkStart w:id="884" w:name="_Toc24474"/>
      <w:bookmarkStart w:id="885" w:name="_Toc10848"/>
      <w:bookmarkStart w:id="886" w:name="_Toc49"/>
      <w:bookmarkStart w:id="887" w:name="_Toc8132"/>
      <w:bookmarkStart w:id="888" w:name="_Toc566"/>
      <w:bookmarkStart w:id="889" w:name="_Toc898"/>
      <w:r>
        <w:rPr>
          <w:rFonts w:hint="default" w:ascii="Times New Roman" w:hAnsi="Times New Roman" w:eastAsia="仿宋_GB2312" w:cs="Times New Roman"/>
          <w:b/>
          <w:color w:val="auto"/>
          <w:sz w:val="32"/>
          <w:szCs w:val="32"/>
          <w:lang w:val="zh-CN"/>
        </w:rPr>
        <w:t>20.2强化投入保障</w:t>
      </w:r>
      <w:bookmarkEnd w:id="882"/>
      <w:bookmarkEnd w:id="883"/>
      <w:bookmarkEnd w:id="884"/>
      <w:bookmarkEnd w:id="885"/>
      <w:bookmarkEnd w:id="886"/>
      <w:bookmarkEnd w:id="887"/>
      <w:bookmarkEnd w:id="888"/>
      <w:bookmarkEnd w:id="889"/>
    </w:p>
    <w:p>
      <w:pPr>
        <w:pStyle w:val="21"/>
        <w:spacing w:after="0"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20.2.1确保财政投入持续增长</w:t>
      </w:r>
    </w:p>
    <w:p>
      <w:pPr>
        <w:pStyle w:val="21"/>
        <w:spacing w:after="0" w:line="560" w:lineRule="exact"/>
        <w:ind w:firstLine="640" w:firstLineChars="200"/>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目前，我国支农财政资金占比仅在5%左右，不仅比西方发达国家低，也比落后的泰国（10%）等东南亚国家低。在未来相当长的一段时间内，各级用于</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三农</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的财政资金将呈较快增长趋势，大英县要切实做好</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三农</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工作，尽最大努力多争取上级财政支农资金，扩大县本级财政支农资金，为加快推进农业现代化和乡村振兴奠定坚实的资金保障。</w:t>
      </w:r>
      <w:r>
        <w:rPr>
          <w:rFonts w:hint="default" w:ascii="Times New Roman" w:hAnsi="Times New Roman" w:eastAsia="仿宋_GB2312" w:cs="Times New Roman"/>
          <w:b/>
          <w:color w:val="auto"/>
          <w:kern w:val="2"/>
          <w:sz w:val="32"/>
          <w:szCs w:val="32"/>
        </w:rPr>
        <w:t>一是</w:t>
      </w:r>
      <w:r>
        <w:rPr>
          <w:rFonts w:hint="default" w:ascii="Times New Roman" w:hAnsi="Times New Roman" w:eastAsia="仿宋_GB2312" w:cs="Times New Roman"/>
          <w:bCs/>
          <w:color w:val="auto"/>
          <w:kern w:val="2"/>
          <w:sz w:val="32"/>
          <w:szCs w:val="32"/>
        </w:rPr>
        <w:t>努力增加财政支农资金供给。有序扩大用于支持乡村振兴的专项债券发行规模。按照</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取之于农、主要用之于农</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要求，研究制定适合本地的土地出让收入使用范围进一步提高农业农村投入比例的意见。建立和完善主动争取上级支农财政资金考核办法，各镇（街）村（社）、涉农部门要主动向上衔接沟通、积极向下策划包装项目，参考上级政府政策调整、合理分配向上争取资金额度。制定本级财政逐年增加用于</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三农</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资金的相关制度，主要是二、三产业创税收入，率先落实和体现本级政府</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以城带乡、以工促农</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的政策部署。统筹整合好涉农资金，优先用于重大民生工程、优势产业发展，最大限度发挥财政资金效益。</w:t>
      </w:r>
      <w:r>
        <w:rPr>
          <w:rFonts w:hint="default" w:ascii="Times New Roman" w:hAnsi="Times New Roman" w:eastAsia="仿宋_GB2312" w:cs="Times New Roman"/>
          <w:b/>
          <w:color w:val="auto"/>
          <w:kern w:val="2"/>
          <w:sz w:val="32"/>
          <w:szCs w:val="32"/>
        </w:rPr>
        <w:t>二是</w:t>
      </w:r>
      <w:r>
        <w:rPr>
          <w:rFonts w:hint="default" w:ascii="Times New Roman" w:hAnsi="Times New Roman" w:eastAsia="仿宋_GB2312" w:cs="Times New Roman"/>
          <w:bCs/>
          <w:color w:val="auto"/>
          <w:kern w:val="2"/>
          <w:sz w:val="32"/>
          <w:szCs w:val="32"/>
        </w:rPr>
        <w:t>充分发挥财政资金撬动作用。建立现代农业产业融合发展基金，逐年扩大基金规模，持续推行民办公助，通过以奖代补、先建后补、一事一议等方式，完善政府引导、金融支持、工商参与、群众自筹、整合项目支持等多元投入机制。鼓励通过PPP模式、政府购买服务、</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投资+施工</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等方式，吸引社会资本参与农业发展和农村建设。推进信贷担保增信，增加县农业信贷担保公司注册资本金，积极与省、市农业信贷担保公司开展</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政银担</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合作，引导金融机构加大对优势产业的信贷投放。建立乡村振兴农业产业发展贷款风险补偿金，通过</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风险补偿金+银行</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风险补偿金+担保+银行</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等模式，撬动金融机构贷款发展农村产业。</w:t>
      </w:r>
    </w:p>
    <w:p>
      <w:pPr>
        <w:spacing w:line="560" w:lineRule="exact"/>
        <w:ind w:firstLine="643" w:firstLineChars="200"/>
        <w:jc w:val="left"/>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kern w:val="0"/>
          <w:sz w:val="32"/>
          <w:szCs w:val="32"/>
        </w:rPr>
        <w:t>20.2.2拓展金融资金投入范围</w:t>
      </w:r>
    </w:p>
    <w:p>
      <w:pPr>
        <w:pStyle w:val="20"/>
        <w:spacing w:before="0" w:beforeAutospacing="0" w:after="0" w:afterAutospacing="0" w:line="560" w:lineRule="exact"/>
        <w:ind w:firstLine="640" w:firstLineChars="200"/>
        <w:jc w:val="both"/>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金融是现代经济发展的中心，是国家和地方发展建设最大的资金来源，各地要把握好信贷资金投放政策，最大限度地拓宽金融资金投入范围，引导更多的信贷资金投入到农村产业发展和设施建设上来。</w:t>
      </w:r>
      <w:r>
        <w:rPr>
          <w:rFonts w:hint="default" w:ascii="Times New Roman" w:hAnsi="Times New Roman" w:eastAsia="仿宋_GB2312" w:cs="Times New Roman"/>
          <w:b/>
          <w:color w:val="auto"/>
          <w:kern w:val="2"/>
          <w:sz w:val="32"/>
          <w:szCs w:val="32"/>
        </w:rPr>
        <w:t>一是</w:t>
      </w:r>
      <w:r>
        <w:rPr>
          <w:rFonts w:hint="default" w:ascii="Times New Roman" w:hAnsi="Times New Roman" w:eastAsia="仿宋_GB2312" w:cs="Times New Roman"/>
          <w:bCs/>
          <w:color w:val="auto"/>
          <w:kern w:val="2"/>
          <w:sz w:val="32"/>
          <w:szCs w:val="32"/>
        </w:rPr>
        <w:t>用好国家金融货币政策。强化对</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三农</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信贷的货币、财税、监管政策正向激励，给予低成本资金支持，提高风险容忍度，优化精准奖补措施。对机构法人在县域、业务在县域的金融机构，适度扩大支农支小再贷款额度。加强考核引导，合理提升资金外流严重县的存贷比。鼓励商业银行发行</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三农</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小微企业等专项金融债券。落实农户小额贷款税收优惠政策。符合条件的家庭农场等新型农业经营主体可按规定享受现行小微企业相关贷款税收减免政策。发挥各级农业信贷担保体系作用，做大面向新型农业经营主体的担保业务。推动温室大棚、养殖圈舍、大型农机、土地经营权依法合规抵押融资。改进农村金融差异化监管体系，强化地方政府金融风险防范处置责任。鼓励全国性股份制银行、城市商业银行、农村中小金融机构向各县（市、区）发展网点，加快推进自动柜员机、助农取款服务点等基础金融服务在行政村区域全覆盖。</w:t>
      </w:r>
      <w:r>
        <w:rPr>
          <w:rFonts w:hint="default" w:ascii="Times New Roman" w:hAnsi="Times New Roman" w:eastAsia="仿宋_GB2312" w:cs="Times New Roman"/>
          <w:b/>
          <w:color w:val="auto"/>
          <w:kern w:val="2"/>
          <w:sz w:val="32"/>
          <w:szCs w:val="32"/>
        </w:rPr>
        <w:t>二是</w:t>
      </w:r>
      <w:r>
        <w:rPr>
          <w:rFonts w:hint="default" w:ascii="Times New Roman" w:hAnsi="Times New Roman" w:eastAsia="仿宋_GB2312" w:cs="Times New Roman"/>
          <w:bCs/>
          <w:color w:val="auto"/>
          <w:kern w:val="2"/>
          <w:sz w:val="32"/>
          <w:szCs w:val="32"/>
        </w:rPr>
        <w:t>创新金融服务手段和产品。探索制定金融机构服务乡村振兴考核评估办法。稳妥扩大农村普惠金融改革试点，积极开展县域农户、中小企业信用等级评价，加快构建线上线下相结合、</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银保担</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风险共担的普惠金融服务体系，推出更多免抵押、免担保、低利率、可持续的普惠金融产品。大力发展对新型农业经营主体信用贷、首贷业务。探索实施知识产权质押贷款、应收账款质押贷款、农业产品抵押贷款等新型金融业务，探索采用</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企业+</w:t>
      </w:r>
      <w:r>
        <w:rPr>
          <w:rFonts w:hint="default" w:ascii="Times New Roman" w:hAnsi="Times New Roman" w:eastAsia="仿宋_GB2312" w:cs="Times New Roman"/>
          <w:bCs/>
          <w:color w:val="auto"/>
          <w:kern w:val="2"/>
          <w:sz w:val="32"/>
          <w:szCs w:val="32"/>
          <w:lang w:eastAsia="zh-CN"/>
        </w:rPr>
        <w:t>农民专业合作社</w:t>
      </w:r>
      <w:r>
        <w:rPr>
          <w:rFonts w:hint="default" w:ascii="Times New Roman" w:hAnsi="Times New Roman" w:eastAsia="仿宋_GB2312" w:cs="Times New Roman"/>
          <w:bCs/>
          <w:color w:val="auto"/>
          <w:kern w:val="2"/>
          <w:sz w:val="32"/>
          <w:szCs w:val="32"/>
        </w:rPr>
        <w:t>+农户、企业+家庭农场（专业大户）</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等产业链融资方式，探索</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订单农业+保险+期货（权）</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试点。抓好农业保险保费补贴政策落实，督促保险机构及时足额理赔。</w:t>
      </w:r>
    </w:p>
    <w:p>
      <w:pPr>
        <w:spacing w:line="560" w:lineRule="exact"/>
        <w:ind w:firstLine="643" w:firstLineChars="200"/>
        <w:jc w:val="left"/>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kern w:val="0"/>
          <w:sz w:val="32"/>
          <w:szCs w:val="32"/>
        </w:rPr>
        <w:t>20.2.3引导社会资本更好参与</w:t>
      </w:r>
    </w:p>
    <w:p>
      <w:pPr>
        <w:pStyle w:val="20"/>
        <w:spacing w:before="0" w:beforeAutospacing="0" w:after="0" w:afterAutospacing="0" w:line="560" w:lineRule="exact"/>
        <w:ind w:firstLine="640" w:firstLineChars="200"/>
        <w:jc w:val="both"/>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党的十九大作出实施乡村振兴战略的重大决策，为社会资本投资农业农村开辟了广阔空间。加快制定出台社会资本投资农业农村的指导意见，加强指导和服务，明确支持的重点领域；充分利用和发挥政府投资基金的作用，支持孵化型、成长型、创新型社会资本投资项目。</w:t>
      </w:r>
      <w:r>
        <w:rPr>
          <w:rFonts w:hint="default" w:ascii="Times New Roman" w:hAnsi="Times New Roman" w:eastAsia="仿宋_GB2312" w:cs="Times New Roman"/>
          <w:b/>
          <w:color w:val="auto"/>
          <w:kern w:val="2"/>
          <w:sz w:val="32"/>
          <w:szCs w:val="32"/>
        </w:rPr>
        <w:t>一是</w:t>
      </w:r>
      <w:r>
        <w:rPr>
          <w:rFonts w:hint="default" w:ascii="Times New Roman" w:hAnsi="Times New Roman" w:eastAsia="仿宋_GB2312" w:cs="Times New Roman"/>
          <w:bCs/>
          <w:color w:val="auto"/>
          <w:kern w:val="2"/>
          <w:sz w:val="32"/>
          <w:szCs w:val="32"/>
        </w:rPr>
        <w:t>明确投资重点领域。坚持</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共享共荣、互利互惠</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原则，鼓励社会资本发挥自身优势，积极投资建设美丽宜居乡村（开展村企合作、盘活农村资产）、推动乡村产业集聚发展（产业布局向乡村延伸、深度开发特色农产品）、发展乡村旅游业（尤其是康养业）、发展乡村生活和农业生产服务业（创意园等）、发展优质高效农业（创建品牌、对接市场）、发展绿色循环产业（有机肥、秸秆饲料、生物质燃料等）、发展农业科技装备业。建立社会资本投入乡村振兴</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负面清单</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制度。社会资本投资农业农村，不得侵犯农民利益，不得侵害农村集体产权，不得改变土地用途，不得破坏农业综合生产能力，严禁以发展休闲农业、设施农业等为名开展违法违规非农建设，严禁农地非农化。</w:t>
      </w:r>
      <w:r>
        <w:rPr>
          <w:rFonts w:hint="default" w:ascii="Times New Roman" w:hAnsi="Times New Roman" w:eastAsia="仿宋_GB2312" w:cs="Times New Roman"/>
          <w:b/>
          <w:color w:val="auto"/>
          <w:kern w:val="2"/>
          <w:sz w:val="32"/>
          <w:szCs w:val="32"/>
        </w:rPr>
        <w:t>二是</w:t>
      </w:r>
      <w:r>
        <w:rPr>
          <w:rFonts w:hint="default" w:ascii="Times New Roman" w:hAnsi="Times New Roman" w:eastAsia="仿宋_GB2312" w:cs="Times New Roman"/>
          <w:bCs/>
          <w:color w:val="auto"/>
          <w:kern w:val="2"/>
          <w:sz w:val="32"/>
          <w:szCs w:val="32"/>
        </w:rPr>
        <w:t>构建支持政策体系。综合运用财政、土地、金融、税收等政策手段，发挥政策综合效应，创新政策落实路径，加快构建支持社会资本投入乡村振兴的政策体系。加大财政资金奖补力度。对社会资本投资建设运营农村生活污水、生活垃圾治理和农业废弃物综合利用等改善农村人居环境类公共服务项目，财政予以优先支持。将投资发展农产品产地加工、农产品冷链物流等促进一二三产融合类项目，纳入财政支持范围。对引入的可带动当地区域性产业发展的重大项目，可予以优先支持、重点支持。高质量实施乡村振兴PPP项目。全面加强政府与社会资本在乡村振兴领域的合作，充分利用社会资本在融资、建设、运营等方面专业优势，积极筛选培育适于采取PPP模式的乡村振兴领域项目。强化建设用地供给保障。利用收储农村闲置建设用地发展农村新产业新业态的，给予土地利用计划指标奖励。推进农村土地集约化利用。社会资本以</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村企合作</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模式投资村庄整治和整体流转经营耕地，通过村庄整治、土地整理等节约的建设用地可优先支持投资主体发展新产业新业态。农业规模经营必须兴建的看护类管理房、初加工等配套设施用地，可纳入设施农用地管理。强化金融支持。放大政府投资基金引导和撬动作用，吸引各类社会资本投资农业农村领域，对符合条件的县域金融机构当年涉农贷款平均余额同比增长超过10%的部分，财政部门可按照不超过1%的比例给予奖励。降低投资运营成本。严格落实农业生产用电价格、省级以上农业龙头企业用水征收水资源费减免等优惠政策。</w:t>
      </w:r>
      <w:r>
        <w:rPr>
          <w:rFonts w:hint="default" w:ascii="Times New Roman" w:hAnsi="Times New Roman" w:eastAsia="仿宋_GB2312" w:cs="Times New Roman"/>
          <w:b/>
          <w:color w:val="auto"/>
          <w:kern w:val="2"/>
          <w:sz w:val="32"/>
          <w:szCs w:val="32"/>
        </w:rPr>
        <w:t>三是</w:t>
      </w:r>
      <w:r>
        <w:rPr>
          <w:rFonts w:hint="default" w:ascii="Times New Roman" w:hAnsi="Times New Roman" w:eastAsia="仿宋_GB2312" w:cs="Times New Roman"/>
          <w:bCs/>
          <w:color w:val="auto"/>
          <w:kern w:val="2"/>
          <w:sz w:val="32"/>
          <w:szCs w:val="32"/>
        </w:rPr>
        <w:t>搭建投资对接服务平台。健全招商服务平台。建立乡村振兴招商引资机构，推广重大投资项目</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专员服务制</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，探索社会资本在农业农村领域投资增长机制和模式。建设创业孵化平台。建立农业农村产业发展融资指导服务机构，为乡村各类创业主体提供融资服务。探索建立</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三农</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财政金融协调合作机制，加强中长期合作机制研究。完善产权交易平台。建设科技创新平台。建立以企业为主体的创新协同机制，开展商业化技术创新与转化。打造人才集聚平台。面向省内外建立农业农村产业人才库，举办高校涉农毕业生专场招聘会，为企业吸引人才创造良好条件。全面推行</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企业订单、就业者选单、培训机构列单、政府补贴</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的培训服务模式，构建政府扶持、面向市场、多元化的农村人才培育平台。</w:t>
      </w:r>
      <w:r>
        <w:rPr>
          <w:rFonts w:hint="default" w:ascii="Times New Roman" w:hAnsi="Times New Roman" w:eastAsia="仿宋_GB2312" w:cs="Times New Roman"/>
          <w:b/>
          <w:color w:val="auto"/>
          <w:kern w:val="2"/>
          <w:sz w:val="32"/>
          <w:szCs w:val="32"/>
        </w:rPr>
        <w:t>四是</w:t>
      </w:r>
      <w:r>
        <w:rPr>
          <w:rFonts w:hint="default" w:ascii="Times New Roman" w:hAnsi="Times New Roman" w:eastAsia="仿宋_GB2312" w:cs="Times New Roman"/>
          <w:bCs/>
          <w:color w:val="auto"/>
          <w:kern w:val="2"/>
          <w:sz w:val="32"/>
          <w:szCs w:val="32"/>
        </w:rPr>
        <w:t>充分发挥工商联桥梁纽带作用，实施好全省</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万企兴万村</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行动。</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890" w:name="_Toc5632"/>
      <w:bookmarkStart w:id="891" w:name="_Toc12506"/>
      <w:bookmarkStart w:id="892" w:name="_Toc9382"/>
      <w:bookmarkStart w:id="893" w:name="_Toc327"/>
      <w:bookmarkStart w:id="894" w:name="_Toc1984"/>
      <w:bookmarkStart w:id="895" w:name="_Toc17657"/>
      <w:bookmarkStart w:id="896" w:name="_Toc11093"/>
      <w:bookmarkStart w:id="897" w:name="_Toc25202"/>
      <w:r>
        <w:rPr>
          <w:rFonts w:hint="default" w:ascii="Times New Roman" w:hAnsi="Times New Roman" w:eastAsia="仿宋_GB2312" w:cs="Times New Roman"/>
          <w:b/>
          <w:color w:val="auto"/>
          <w:sz w:val="32"/>
          <w:szCs w:val="32"/>
          <w:lang w:val="zh-CN"/>
        </w:rPr>
        <w:t>20.3强化科技保障</w:t>
      </w:r>
      <w:bookmarkEnd w:id="890"/>
      <w:bookmarkEnd w:id="891"/>
      <w:bookmarkEnd w:id="892"/>
      <w:bookmarkEnd w:id="893"/>
      <w:bookmarkEnd w:id="894"/>
      <w:bookmarkEnd w:id="895"/>
      <w:bookmarkEnd w:id="896"/>
      <w:bookmarkEnd w:id="897"/>
    </w:p>
    <w:p>
      <w:pPr>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农业现代化建设已经到了加快转变发展方式的新阶段，必须更加依靠科技打造发展新引擎，实现创新驱动、内生增长，促进农业质量效益和竞争力不断提升。</w:t>
      </w:r>
      <w:r>
        <w:rPr>
          <w:rFonts w:hint="default" w:ascii="Times New Roman" w:hAnsi="Times New Roman" w:eastAsia="仿宋_GB2312" w:cs="Times New Roman"/>
          <w:b/>
          <w:color w:val="auto"/>
          <w:sz w:val="32"/>
          <w:szCs w:val="32"/>
        </w:rPr>
        <w:t>一是</w:t>
      </w:r>
      <w:r>
        <w:rPr>
          <w:rFonts w:hint="default" w:ascii="Times New Roman" w:hAnsi="Times New Roman" w:eastAsia="仿宋_GB2312" w:cs="Times New Roman"/>
          <w:bCs/>
          <w:color w:val="auto"/>
          <w:sz w:val="32"/>
          <w:szCs w:val="32"/>
        </w:rPr>
        <w:t>要加大财政对农业科技的投入力度。完善稳定支持和适度竞争相协调的农业科研投入方式，设立县级农业科技创新专项基金，对新品种研发和新技术、新设备推广运用实行奖励和项目资金补助，提高基层农技推广机构的运行经费保障水平。</w:t>
      </w:r>
      <w:r>
        <w:rPr>
          <w:rFonts w:hint="default" w:ascii="Times New Roman" w:hAnsi="Times New Roman" w:eastAsia="仿宋_GB2312" w:cs="Times New Roman"/>
          <w:b/>
          <w:color w:val="auto"/>
          <w:sz w:val="32"/>
          <w:szCs w:val="32"/>
        </w:rPr>
        <w:t>二是</w:t>
      </w:r>
      <w:r>
        <w:rPr>
          <w:rFonts w:hint="default" w:ascii="Times New Roman" w:hAnsi="Times New Roman" w:eastAsia="仿宋_GB2312" w:cs="Times New Roman"/>
          <w:bCs/>
          <w:color w:val="auto"/>
          <w:sz w:val="32"/>
          <w:szCs w:val="32"/>
        </w:rPr>
        <w:t>要加强现代农业产业技术体系建设。鼓励和支持农业产业化龙头企业与省内外农业科研院（所）开展深度合作，加强农业生物技术研发，完善种质保护和科研育种工程，攻克关键核心技术，突破产业发展和生态建设瓶颈，扩大对特色优势农产品覆盖范围，面向农业产业链配置科技资源。</w:t>
      </w:r>
      <w:r>
        <w:rPr>
          <w:rFonts w:hint="default" w:ascii="Times New Roman" w:hAnsi="Times New Roman" w:eastAsia="仿宋_GB2312" w:cs="Times New Roman"/>
          <w:b/>
          <w:color w:val="auto"/>
          <w:sz w:val="32"/>
          <w:szCs w:val="32"/>
        </w:rPr>
        <w:t>三是</w:t>
      </w:r>
      <w:r>
        <w:rPr>
          <w:rFonts w:hint="default" w:ascii="Times New Roman" w:hAnsi="Times New Roman" w:eastAsia="仿宋_GB2312" w:cs="Times New Roman"/>
          <w:bCs/>
          <w:color w:val="auto"/>
          <w:sz w:val="32"/>
          <w:szCs w:val="32"/>
        </w:rPr>
        <w:t>要提升现代农业技术推广服务效能。深入实施科技特派员制度，发展壮大推广队伍建设，积极实施协同推广计划，利用APP、Web、公众号于一体的中国农技推广信息平台，实现精准高效的指导服务。</w:t>
      </w:r>
      <w:r>
        <w:rPr>
          <w:rFonts w:hint="default" w:ascii="Times New Roman" w:hAnsi="Times New Roman" w:eastAsia="仿宋_GB2312" w:cs="Times New Roman"/>
          <w:b/>
          <w:color w:val="auto"/>
          <w:sz w:val="32"/>
          <w:szCs w:val="32"/>
        </w:rPr>
        <w:t>四是</w:t>
      </w:r>
      <w:r>
        <w:rPr>
          <w:rFonts w:hint="default" w:ascii="Times New Roman" w:hAnsi="Times New Roman" w:eastAsia="仿宋_GB2312" w:cs="Times New Roman"/>
          <w:bCs/>
          <w:color w:val="auto"/>
          <w:sz w:val="32"/>
          <w:szCs w:val="32"/>
        </w:rPr>
        <w:t>要建设现代农业产业科技创新中心。支持农业企业、合作社等经营主体整合利用县内外的科技、人才、资金等优势资源，依托现代农业园区、农产品加工园区和种养殖业生产基地等载体，集中打造一批省市农业高新技术产业示范区、农业科技园区等创新平台，实现</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政产学研</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的深度结合。</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898" w:name="_Toc9411"/>
      <w:bookmarkStart w:id="899" w:name="_Toc9712"/>
      <w:bookmarkStart w:id="900" w:name="_Toc24179"/>
      <w:bookmarkStart w:id="901" w:name="_Toc1391"/>
      <w:bookmarkStart w:id="902" w:name="_Toc25994"/>
      <w:bookmarkStart w:id="903" w:name="_Toc30174"/>
      <w:bookmarkStart w:id="904" w:name="_Toc18820"/>
      <w:bookmarkStart w:id="905" w:name="_Toc23842"/>
      <w:r>
        <w:rPr>
          <w:rFonts w:hint="default" w:ascii="Times New Roman" w:hAnsi="Times New Roman" w:eastAsia="仿宋_GB2312" w:cs="Times New Roman"/>
          <w:b/>
          <w:color w:val="auto"/>
          <w:sz w:val="32"/>
          <w:szCs w:val="32"/>
        </w:rPr>
        <w:t>20.4破解用地难题</w:t>
      </w:r>
      <w:bookmarkEnd w:id="898"/>
      <w:bookmarkEnd w:id="899"/>
      <w:bookmarkEnd w:id="900"/>
      <w:bookmarkEnd w:id="901"/>
      <w:bookmarkEnd w:id="902"/>
      <w:bookmarkEnd w:id="903"/>
      <w:bookmarkEnd w:id="904"/>
      <w:bookmarkEnd w:id="905"/>
    </w:p>
    <w:p>
      <w:pPr>
        <w:spacing w:line="560" w:lineRule="exact"/>
        <w:ind w:firstLine="640" w:firstLineChars="200"/>
        <w:rPr>
          <w:rFonts w:hint="default" w:ascii="Times New Roman" w:hAnsi="Times New Roman" w:eastAsia="仿宋_GB2312" w:cs="Times New Roman"/>
          <w:color w:val="auto"/>
          <w:sz w:val="32"/>
          <w:szCs w:val="32"/>
          <w:highlight w:val="green"/>
        </w:rPr>
      </w:pPr>
      <w:r>
        <w:rPr>
          <w:rFonts w:hint="default" w:ascii="Times New Roman" w:hAnsi="Times New Roman" w:eastAsia="仿宋_GB2312" w:cs="Times New Roman"/>
          <w:color w:val="auto"/>
          <w:sz w:val="32"/>
          <w:szCs w:val="32"/>
        </w:rPr>
        <w:t>坚守耕地和永久基本农田保护红线，建立和完善乡村产业发展用地政策体系。</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明确用地类型和供地方式，实行分类管理。将农业种植养殖配建的保鲜冷藏、晾晒存贮、农机库房、分拣包装、废弃物处理、管理看护房等辅助设施用地纳入农用地管理，根据生产实际合理确定辅助设施用地规模上限。农业设施用地可以使用耕地。强化农业设施用地监管，严禁以农业设施用地为名从事非农建设。</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开展乡村全域土地综合整治试点，优化农村生产、生活、生态空间布局。在符合国土空间规划前提下，通过村庄整治、土地整理等方式节余的农村集体建设用地优先用于发展乡村产业项目。新编县乡级国土空间规划应安排不少于10%的建设用地指标，重点保障乡村产业发展用地，并按比例新增乡村产业用地指标。农村集体建设用地可以通过入股、租用等方式直接用于发展乡村产业。</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改革乡村建设用地审批。按照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放管服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改革要求，对农村集体建设用地审批进行全面梳理，简化审批审核程序，下放审批权限。推进乡村建设审批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多审合一、多证合一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改革。抓紧出台支持农村一、二、三产业融合发展用地的政策意见。</w:t>
      </w:r>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zh-CN" w:bidi="mn-Mong-CN"/>
        </w:rPr>
      </w:pPr>
      <w:bookmarkStart w:id="906" w:name="_Toc18867"/>
      <w:bookmarkStart w:id="907" w:name="_Toc4085"/>
      <w:bookmarkStart w:id="908" w:name="_Toc22336"/>
      <w:bookmarkStart w:id="909" w:name="_Toc1371"/>
      <w:bookmarkStart w:id="910" w:name="_Toc19041"/>
      <w:bookmarkStart w:id="911" w:name="_Toc11000"/>
      <w:bookmarkStart w:id="912" w:name="_Toc16986"/>
      <w:bookmarkStart w:id="913" w:name="_Toc10396"/>
      <w:r>
        <w:rPr>
          <w:rFonts w:hint="default" w:ascii="Times New Roman" w:hAnsi="Times New Roman" w:eastAsia="黑体" w:cs="Times New Roman"/>
          <w:color w:val="auto"/>
          <w:kern w:val="0"/>
          <w:sz w:val="32"/>
          <w:szCs w:val="32"/>
          <w:lang w:val="mn-Mong-CN" w:bidi="mn-Mong-CN"/>
        </w:rPr>
        <w:t xml:space="preserve">第二十一章  </w:t>
      </w:r>
      <w:bookmarkEnd w:id="906"/>
      <w:bookmarkEnd w:id="907"/>
      <w:bookmarkEnd w:id="908"/>
      <w:bookmarkEnd w:id="909"/>
      <w:r>
        <w:rPr>
          <w:rFonts w:hint="default" w:ascii="Times New Roman" w:hAnsi="Times New Roman" w:eastAsia="黑体" w:cs="Times New Roman"/>
          <w:color w:val="auto"/>
          <w:kern w:val="0"/>
          <w:sz w:val="32"/>
          <w:szCs w:val="32"/>
          <w:lang w:val="mn-Mong-CN" w:bidi="mn-Mong-CN"/>
        </w:rPr>
        <w:t>强化推进农业农村现代化法制保障</w:t>
      </w:r>
      <w:bookmarkEnd w:id="910"/>
      <w:bookmarkEnd w:id="911"/>
      <w:bookmarkEnd w:id="912"/>
      <w:bookmarkEnd w:id="913"/>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914" w:name="_Toc4641"/>
      <w:bookmarkStart w:id="915" w:name="_Toc12258"/>
      <w:bookmarkStart w:id="916" w:name="_Toc15896"/>
      <w:bookmarkStart w:id="917" w:name="_Toc14133"/>
      <w:bookmarkStart w:id="918" w:name="_Toc16744"/>
      <w:r>
        <w:rPr>
          <w:rFonts w:hint="default" w:ascii="Times New Roman" w:hAnsi="Times New Roman" w:eastAsia="仿宋_GB2312" w:cs="Times New Roman"/>
          <w:b/>
          <w:color w:val="auto"/>
          <w:sz w:val="32"/>
          <w:szCs w:val="32"/>
          <w:lang w:val="zh-CN"/>
        </w:rPr>
        <w:t>21.1</w:t>
      </w:r>
      <w:bookmarkEnd w:id="914"/>
      <w:bookmarkEnd w:id="915"/>
      <w:bookmarkEnd w:id="916"/>
      <w:bookmarkEnd w:id="917"/>
      <w:r>
        <w:rPr>
          <w:rFonts w:hint="default" w:ascii="Times New Roman" w:hAnsi="Times New Roman" w:eastAsia="仿宋_GB2312" w:cs="Times New Roman"/>
          <w:b/>
          <w:color w:val="auto"/>
          <w:sz w:val="32"/>
          <w:szCs w:val="32"/>
          <w:lang w:val="zh-CN"/>
        </w:rPr>
        <w:t>推进新时代农业农村普法工作</w:t>
      </w:r>
      <w:bookmarkEnd w:id="918"/>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snapToGrid w:val="0"/>
          <w:color w:val="auto"/>
          <w:kern w:val="0"/>
          <w:sz w:val="32"/>
          <w:szCs w:val="32"/>
        </w:rPr>
        <w:t>以贯彻落实《</w:t>
      </w:r>
      <w:r>
        <w:rPr>
          <w:rFonts w:hint="default" w:ascii="Times New Roman" w:hAnsi="Times New Roman" w:eastAsia="仿宋_GB2312" w:cs="Times New Roman"/>
          <w:bCs/>
          <w:snapToGrid w:val="0"/>
          <w:color w:val="auto"/>
          <w:kern w:val="0"/>
          <w:sz w:val="32"/>
          <w:szCs w:val="32"/>
          <w:lang w:eastAsia="zh-CN"/>
        </w:rPr>
        <w:t>中华人民共和国</w:t>
      </w:r>
      <w:r>
        <w:rPr>
          <w:rFonts w:hint="default" w:ascii="Times New Roman" w:hAnsi="Times New Roman" w:eastAsia="仿宋_GB2312" w:cs="Times New Roman"/>
          <w:bCs/>
          <w:snapToGrid w:val="0"/>
          <w:color w:val="auto"/>
          <w:kern w:val="0"/>
          <w:sz w:val="32"/>
          <w:szCs w:val="32"/>
        </w:rPr>
        <w:t>乡村振兴促进法》为抓手，全面深入学习贯彻农业农村相关法律法规和规则，增强懂法、用法、守法意识。做好新时代法制宣传工作，保障乡村振兴战略实施，从思想上尽快从注重农业法治建设向注重农业农村法治建设转变，从注重依靠政策促进向注重依靠政策和法治共同促进转变，从注重产业发展保障向注重产业发展和农民权益协同保障转变，力争使法治在推进加快构建农业高质量发展新格局、农业农村绿色发展新格局、农民增收新格局、农村社会事业发展新格局、乡村治理新格局上发挥重要支撑保障作用。</w:t>
      </w:r>
      <w:r>
        <w:rPr>
          <w:rFonts w:hint="default" w:ascii="Times New Roman" w:hAnsi="Times New Roman" w:eastAsia="仿宋_GB2312" w:cs="Times New Roman"/>
          <w:bCs/>
          <w:snapToGrid w:val="0"/>
          <w:color w:val="auto"/>
          <w:kern w:val="0"/>
          <w:sz w:val="32"/>
          <w:szCs w:val="32"/>
          <w:lang w:val="en-US" w:eastAsia="zh-CN"/>
        </w:rPr>
        <w:t>严格落实普法责任制</w:t>
      </w:r>
      <w:r>
        <w:rPr>
          <w:rFonts w:hint="default" w:ascii="Times New Roman" w:hAnsi="Times New Roman" w:eastAsia="仿宋_GB2312" w:cs="Times New Roman"/>
          <w:bCs/>
          <w:snapToGrid w:val="0"/>
          <w:color w:val="auto"/>
          <w:kern w:val="0"/>
          <w:sz w:val="32"/>
          <w:szCs w:val="32"/>
        </w:rPr>
        <w:t>。加快推进乡村振兴，健全自治、法治、德治相结合的乡村治理</w:t>
      </w:r>
      <w:r>
        <w:rPr>
          <w:rFonts w:hint="default" w:ascii="Times New Roman" w:hAnsi="Times New Roman" w:eastAsia="仿宋_GB2312" w:cs="Times New Roman"/>
          <w:color w:val="auto"/>
          <w:sz w:val="32"/>
          <w:szCs w:val="32"/>
        </w:rPr>
        <w:t>体系，领导干部要发挥表率作用，带头学法用法，提高依法行政能力。严格落实普法责任制，加大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八五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普法规划落实力度，切实做到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谁执法谁普法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谁主管谁普法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谁服务谁普法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将普法融入农业农村管理、农业行政执法和农村公共服务的各环节和全过程，强化广大干部依法办事能力和农民群众依法维权意识。创新法治宣传教育的方式方法，充分运用新媒体新技术，组织开展多种形式、农民群众喜闻乐见的宣传教育活动，推动法律进乡村、进学校、进社区、进企业，树立法治精神，建设法治文化，增强农业农村系统厉行法治的积极性和主动性，营造办事依法、遇事找法、解决问题用法、化解矛盾靠法的良好法治环境。</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919" w:name="_Toc3044"/>
      <w:r>
        <w:rPr>
          <w:rFonts w:hint="default" w:ascii="Times New Roman" w:hAnsi="Times New Roman" w:eastAsia="仿宋_GB2312" w:cs="Times New Roman"/>
          <w:b/>
          <w:color w:val="auto"/>
          <w:sz w:val="32"/>
          <w:szCs w:val="32"/>
        </w:rPr>
        <w:t>21.2依法</w:t>
      </w:r>
      <w:r>
        <w:rPr>
          <w:rFonts w:hint="default" w:ascii="Times New Roman" w:hAnsi="Times New Roman" w:eastAsia="仿宋_GB2312" w:cs="Times New Roman"/>
          <w:b/>
          <w:color w:val="auto"/>
          <w:sz w:val="32"/>
          <w:szCs w:val="32"/>
          <w:lang w:val="zh-CN"/>
        </w:rPr>
        <w:t>规范农村经济社会发展秩序</w:t>
      </w:r>
      <w:bookmarkEnd w:id="919"/>
    </w:p>
    <w:p>
      <w:pPr>
        <w:spacing w:line="560" w:lineRule="exact"/>
        <w:ind w:firstLine="640" w:firstLineChars="200"/>
        <w:rPr>
          <w:rFonts w:hint="default" w:ascii="Times New Roman" w:hAnsi="Times New Roman" w:eastAsia="仿宋_GB2312" w:cs="Times New Roman"/>
          <w:bCs/>
          <w:snapToGrid w:val="0"/>
          <w:color w:val="auto"/>
          <w:kern w:val="0"/>
          <w:sz w:val="32"/>
          <w:szCs w:val="32"/>
        </w:rPr>
      </w:pPr>
      <w:r>
        <w:rPr>
          <w:rFonts w:hint="default" w:ascii="Times New Roman" w:hAnsi="Times New Roman" w:eastAsia="仿宋_GB2312" w:cs="Times New Roman"/>
          <w:bCs/>
          <w:snapToGrid w:val="0"/>
          <w:color w:val="auto"/>
          <w:kern w:val="0"/>
          <w:sz w:val="32"/>
          <w:szCs w:val="32"/>
          <w:lang w:val="en-US" w:eastAsia="zh-CN"/>
        </w:rPr>
        <w:t>依法推进乡村振兴工作，严格执行现行涉农法律法规，积极推进乡村振兴促进法、农村集体经济组织法、农村土地承包法、土地管理法、城乡规划法、农产品质量安全法等法律法规的实施，在规划编制、项目安排、资金使用、监督管理等方面，提高规范化、制度化、法治化水平。</w:t>
      </w:r>
      <w:r>
        <w:rPr>
          <w:rFonts w:hint="default" w:ascii="Times New Roman" w:hAnsi="Times New Roman" w:eastAsia="仿宋_GB2312" w:cs="Times New Roman"/>
          <w:bCs/>
          <w:snapToGrid w:val="0"/>
          <w:color w:val="auto"/>
          <w:kern w:val="0"/>
          <w:sz w:val="32"/>
          <w:szCs w:val="32"/>
        </w:rPr>
        <w:t>依法规范和监督涉及种子、农药、兽药、肥料、饲料、动植物检疫、渔政渔港、农机监理、农产品质量安全等领域的经营活动。围绕实施乡村振兴战略，加强对土地制度改革、农业绿色发展、乡村建设治理等领域的执法监督。</w:t>
      </w:r>
      <w:r>
        <w:rPr>
          <w:rFonts w:hint="default" w:ascii="Times New Roman" w:hAnsi="Times New Roman" w:eastAsia="仿宋_GB2312" w:cs="Times New Roman"/>
          <w:bCs/>
          <w:snapToGrid w:val="0"/>
          <w:color w:val="auto"/>
          <w:kern w:val="0"/>
          <w:sz w:val="32"/>
          <w:szCs w:val="32"/>
          <w:lang w:val="en-US" w:eastAsia="zh-CN"/>
        </w:rPr>
        <w:t>严守耕地红线，严守水环境治理底线，严格农村土地承包、农村宅基地管理，</w:t>
      </w:r>
      <w:r>
        <w:rPr>
          <w:rFonts w:hint="default" w:ascii="Times New Roman" w:hAnsi="Times New Roman" w:eastAsia="仿宋_GB2312" w:cs="Times New Roman"/>
          <w:bCs/>
          <w:snapToGrid w:val="0"/>
          <w:color w:val="auto"/>
          <w:kern w:val="0"/>
          <w:sz w:val="32"/>
          <w:szCs w:val="32"/>
        </w:rPr>
        <w:t>依法打击乱占耕地、销售假冒伪劣农资、扰乱农贸市场秩序等坑农害农和影响群众食品安全行为。</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920" w:name="_Toc32045"/>
      <w:r>
        <w:rPr>
          <w:rFonts w:hint="default" w:ascii="Times New Roman" w:hAnsi="Times New Roman" w:eastAsia="仿宋_GB2312" w:cs="Times New Roman"/>
          <w:b/>
          <w:color w:val="auto"/>
          <w:sz w:val="32"/>
          <w:szCs w:val="32"/>
        </w:rPr>
        <w:t>21.3加强农业综合执法队伍建设</w:t>
      </w:r>
      <w:bookmarkEnd w:id="920"/>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快推进农业综合行政执法改革，推动农业行政执法更加规范高效。大英县要按照中央和四川省、遂宁市关于深化农业综合行政执法改革的要求，全面整合农业系统执法队伍，理顺职责分工，强化条件保障，坚持重心下移、资源下沉，加快构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权责明晰、上下贯通、指挥顺畅、运行高效、保障有力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农业综合行政执法体系。规范农村基层行政执法工作，严格按照法定职责和权限执法。加强农业执法规范化建设，健全执法机构设置，统一执法服装和标识，规范执法办案流程，加强执法平台建设，加强基层行政执法人员业务培训，严格实施执法人员持证上岗和资格管理制度。加强行政执法监督，完善行政复议和应诉工作机制，强化重大执法决定合法性审查，保证严格依法办案。</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加强执法队伍建设。</w:t>
      </w:r>
      <w:r>
        <w:rPr>
          <w:rFonts w:hint="default" w:ascii="Times New Roman" w:hAnsi="Times New Roman" w:eastAsia="仿宋_GB2312" w:cs="Times New Roman"/>
          <w:color w:val="auto"/>
          <w:sz w:val="32"/>
          <w:szCs w:val="32"/>
        </w:rPr>
        <w:t>全面推进农业农村法治建设，必须大力提高法治工作队伍思想政治素质、业务工作能力、职业道德水准，着力建设一支忠于党、忠于国家、忠于人民、忠于法律、懂农业、爱农村、爱农民的农业农村法治工作队伍。坚持人才培养和干部使用的政治方向，将政治建设放在首位，打造一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政治过硬、责任过硬、能力过硬、作风过硬</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法治专业化工作队伍。构建从符合条件的律师、法学专家中招录人才的激励约束机制，健全从政法专业毕业生中招录人才的规范便捷机制，吸引法治人才充实到农业农村法治工作队伍。健全农产品质量安全和渔政村级协管员队伍，推进网格化监管。加强对现有人员的专业化培训，力争用3—5年时间对基层法治骨干和执法人员轮训一遍，全面提升执法人员的执法能力和专业水平。推动完善法律顾问制度，加强公职律师队伍建设，凝聚各方资源和智慧，形成工作合力，为乡村治理提供人才支撑。</w:t>
      </w:r>
    </w:p>
    <w:p>
      <w:pPr>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加强农业综合执法。</w:t>
      </w:r>
      <w:r>
        <w:rPr>
          <w:rFonts w:hint="default" w:ascii="Times New Roman" w:hAnsi="Times New Roman" w:eastAsia="仿宋_GB2312" w:cs="Times New Roman"/>
          <w:color w:val="auto"/>
          <w:sz w:val="32"/>
          <w:szCs w:val="32"/>
        </w:rPr>
        <w:t>规范执法事项。全面清理、优化和精简执法事项，加强对行政处罚、行政强制事项的源头治理，实行执法事项清单管理制度，并依法及时动态调整。坚持执法事项于法有据，凡没有法律法规规章依据的执法事项一律取消，对长期未发生且没有实施必要的、交叉重复的执法事项要及时清理，最大限度减少不必要的执法事项，综合运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双随机、一公开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监管、信用监管、联合执法、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互联网＋执法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新型监管机制，增强执法时效性，提升执法效能。健全执法制度。全面推行行政执法公示、执法全过程记录、重大执法决定法制审核三项制度。注重依靠科技手段改进执法方式，严格限制自由裁量权，规范自由裁量权行使。完善行政执法程序，落实行政执法责任制，推行执法办案评议考核制度，建立健全奖惩分明的执法评价体系。严格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谁执法、谁普法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普法责任制，全面推动以案释法，将普法融入执法办案的全过程。创新工作机制。建立县农业农村部门内部分工协作机制，加强综合行政执法队伍与行业管理、技术推广、检验检测等其他机构的协作配合，提高执法效能。完善与其他执法部门的协调配合机制，创新在乡镇开展综合执法改革，加强与市场监管、生态环境、自然资源、公安等部门的情况通报和案情会商，发挥联合执法作用。建立执法预警体系和突发性事件快速反应体系，形成事前预防、事中检查、事后查处有机结合的长效监管机制。加强信用监管，建立失信联合惩戒制度。健全农业行政执法与刑事司法的衔接机制，明确移送标准和程序，准确、及时打击违法犯罪行为。制定执法方案。明确涉农执法检查内容、执法频率和执法检查面，重点开展春秋季种子市场专项治理、农资打假夏季百日行动、动物卫生和饲料兽药监管、打击私屠滥宰专项检查、禁渔期和禁渔区违法捕鱼专项治理、农产品质量安全专项整治、农机和大型工程机械设备安全监管等执法活动，坚持日常巡查、集中检查、专项行动相结合原则，加大农业、牧业、渔业、粮食等执法检查频度，严肃查处各类违法行为，保障农业生产安全和农产品质量安全。深入推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双随机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一公开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监管，在市场监管领域推行综合行政执法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综合查一次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，减少企业受检频次。</w:t>
      </w:r>
    </w:p>
    <w:p>
      <w:pPr>
        <w:spacing w:line="560" w:lineRule="exact"/>
        <w:ind w:firstLine="643" w:firstLineChars="200"/>
        <w:rPr>
          <w:rFonts w:hint="default" w:ascii="Times New Roman" w:hAnsi="Times New Roman" w:eastAsia="黑体" w:cs="Times New Roman"/>
          <w:color w:val="auto"/>
          <w:kern w:val="0"/>
          <w:sz w:val="28"/>
          <w:szCs w:val="28"/>
          <w:lang w:val="mn-Mong-CN" w:bidi="mn-Mong-CN"/>
        </w:rPr>
      </w:pPr>
      <w:r>
        <w:rPr>
          <w:rFonts w:hint="default" w:ascii="Times New Roman" w:hAnsi="Times New Roman" w:eastAsia="仿宋_GB2312" w:cs="Times New Roman"/>
          <w:b/>
          <w:bCs/>
          <w:color w:val="auto"/>
          <w:sz w:val="32"/>
          <w:szCs w:val="32"/>
        </w:rPr>
        <w:t>强化执法行为监督。</w:t>
      </w:r>
      <w:r>
        <w:rPr>
          <w:rFonts w:hint="default" w:ascii="Times New Roman" w:hAnsi="Times New Roman" w:eastAsia="仿宋_GB2312" w:cs="Times New Roman"/>
          <w:color w:val="auto"/>
          <w:sz w:val="32"/>
          <w:szCs w:val="32"/>
        </w:rPr>
        <w:t>完善内部、层级和外部监督机制，建立领导干部违法干预执法活动和插手具体违法案件查处责任追究制度，实行干预留痕和记录，防止部门保护主义。坚持以公开为常态、不公开为例外原则，推进行政许可、行政处罚结果公开，主动接受群众监督。健全完善农业农村领域执法工作投诉举报处理机制和行政处罚裁量基准制度，做到有权必有责、用权受监督、违法必追究、侵权须赔偿。</w:t>
      </w:r>
      <w:bookmarkStart w:id="921" w:name="_Toc26761"/>
      <w:bookmarkStart w:id="922" w:name="_Toc23693"/>
      <w:bookmarkStart w:id="923" w:name="_Toc10190"/>
      <w:bookmarkStart w:id="924" w:name="_Toc12488"/>
      <w:bookmarkStart w:id="925" w:name="_Toc15512"/>
      <w:bookmarkStart w:id="926" w:name="_Toc4658"/>
      <w:bookmarkStart w:id="927" w:name="_Toc2420"/>
    </w:p>
    <w:p>
      <w:pPr>
        <w:spacing w:before="312" w:beforeLines="100" w:after="312" w:afterLines="100" w:line="560" w:lineRule="exact"/>
        <w:jc w:val="center"/>
        <w:outlineLvl w:val="1"/>
        <w:rPr>
          <w:rFonts w:hint="default" w:ascii="Times New Roman" w:hAnsi="Times New Roman" w:eastAsia="黑体" w:cs="Times New Roman"/>
          <w:color w:val="auto"/>
          <w:kern w:val="0"/>
          <w:sz w:val="32"/>
          <w:szCs w:val="32"/>
          <w:lang w:val="mn-Mong-CN" w:bidi="mn-Mong-CN"/>
        </w:rPr>
      </w:pPr>
      <w:bookmarkStart w:id="928" w:name="_Toc22731"/>
      <w:r>
        <w:rPr>
          <w:rFonts w:hint="default" w:ascii="Times New Roman" w:hAnsi="Times New Roman" w:eastAsia="黑体" w:cs="Times New Roman"/>
          <w:color w:val="auto"/>
          <w:kern w:val="0"/>
          <w:sz w:val="32"/>
          <w:szCs w:val="32"/>
          <w:lang w:val="mn-Mong-CN" w:bidi="mn-Mong-CN"/>
        </w:rPr>
        <w:t>第二十二章  规划引领统筹实施</w:t>
      </w:r>
      <w:bookmarkEnd w:id="921"/>
      <w:bookmarkEnd w:id="922"/>
      <w:bookmarkEnd w:id="923"/>
      <w:bookmarkEnd w:id="924"/>
      <w:bookmarkEnd w:id="925"/>
      <w:bookmarkEnd w:id="926"/>
      <w:bookmarkEnd w:id="927"/>
      <w:bookmarkEnd w:id="928"/>
    </w:p>
    <w:p>
      <w:pPr>
        <w:pStyle w:val="21"/>
        <w:spacing w:after="0" w:line="560" w:lineRule="exact"/>
        <w:ind w:firstLine="640" w:firstLineChars="200"/>
        <w:rPr>
          <w:rFonts w:hint="default" w:ascii="Times New Roman" w:hAnsi="Times New Roman" w:eastAsia="仿宋_GB2312" w:cs="Times New Roman"/>
          <w:color w:val="auto"/>
          <w:sz w:val="32"/>
          <w:szCs w:val="32"/>
          <w:shd w:val="clear" w:color="auto" w:fill="FFFFFF"/>
          <w:lang w:val="zh-CN"/>
        </w:rPr>
      </w:pPr>
      <w:r>
        <w:rPr>
          <w:rFonts w:hint="default" w:ascii="Times New Roman" w:hAnsi="Times New Roman" w:eastAsia="仿宋_GB2312" w:cs="Times New Roman"/>
          <w:color w:val="auto"/>
          <w:sz w:val="32"/>
          <w:szCs w:val="32"/>
          <w:shd w:val="clear" w:color="auto" w:fill="FFFFFF"/>
          <w:lang w:val="zh-CN"/>
        </w:rPr>
        <w:t>规划的生命力在于实施，必须坚持党对规划工作的集中统一领导，充分调动各方面的积极性、主动性和创造性，形成推动规划实施的强大合力，将美好蓝图切实转化为发展实效。</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929" w:name="_Toc4722"/>
      <w:bookmarkStart w:id="930" w:name="_Toc31271"/>
      <w:bookmarkStart w:id="931" w:name="_Toc18402"/>
      <w:bookmarkStart w:id="932" w:name="_Toc20684"/>
      <w:bookmarkStart w:id="933" w:name="_Toc22363"/>
      <w:bookmarkStart w:id="934" w:name="_Toc4945"/>
      <w:bookmarkStart w:id="935" w:name="_Toc14134"/>
      <w:bookmarkStart w:id="936" w:name="_Toc12475"/>
      <w:r>
        <w:rPr>
          <w:rFonts w:hint="default" w:ascii="Times New Roman" w:hAnsi="Times New Roman" w:eastAsia="仿宋_GB2312" w:cs="Times New Roman"/>
          <w:b/>
          <w:color w:val="auto"/>
          <w:sz w:val="32"/>
          <w:szCs w:val="32"/>
        </w:rPr>
        <w:t>22.1健全统一规划体系</w:t>
      </w:r>
      <w:bookmarkEnd w:id="929"/>
      <w:bookmarkEnd w:id="930"/>
      <w:bookmarkEnd w:id="931"/>
      <w:bookmarkEnd w:id="932"/>
      <w:bookmarkEnd w:id="933"/>
      <w:bookmarkEnd w:id="934"/>
      <w:bookmarkEnd w:id="935"/>
      <w:bookmarkEnd w:id="936"/>
    </w:p>
    <w:p>
      <w:pPr>
        <w:pStyle w:val="21"/>
        <w:spacing w:after="0"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参照《中共中央 国务院关于统一规划体系更好发挥国家发展规划战略导向作用的意见》要求，加快建立</w:t>
      </w:r>
      <w:r>
        <w:rPr>
          <w:rFonts w:hint="default" w:ascii="Times New Roman" w:hAnsi="Times New Roman" w:eastAsia="仿宋_GB2312" w:cs="Times New Roman"/>
          <w:bCs/>
          <w:snapToGrid w:val="0"/>
          <w:color w:val="auto"/>
          <w:kern w:val="0"/>
          <w:sz w:val="32"/>
          <w:szCs w:val="32"/>
          <w:lang w:val="en-US" w:eastAsia="zh-CN" w:bidi="ar-SA"/>
        </w:rPr>
        <w:t>以大英县“十四五”农业农村发展规划《纲要》为统领，以国土空间规划为基础，以专项规划、区域规划</w:t>
      </w:r>
      <w:r>
        <w:rPr>
          <w:rFonts w:hint="default" w:ascii="Times New Roman" w:hAnsi="Times New Roman" w:eastAsia="仿宋_GB2312" w:cs="Times New Roman"/>
          <w:color w:val="auto"/>
          <w:sz w:val="32"/>
          <w:szCs w:val="32"/>
          <w:shd w:val="clear" w:color="auto" w:fill="FFFFFF"/>
        </w:rPr>
        <w:t>为支撑，由县、乡两级规划共同组成，定位准确、边界清晰、功能互补、统一衔接的</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两级四类</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县乡规划体系。</w:t>
      </w:r>
      <w:r>
        <w:rPr>
          <w:rFonts w:hint="default" w:ascii="Times New Roman" w:hAnsi="Times New Roman" w:eastAsia="仿宋_GB2312" w:cs="Times New Roman"/>
          <w:color w:val="auto"/>
          <w:sz w:val="32"/>
          <w:szCs w:val="32"/>
          <w:shd w:val="clear" w:color="auto" w:fill="FFFFFF"/>
          <w:lang w:val="zh-TW"/>
        </w:rPr>
        <w:t>突出规划引领，结合县级国土空间总体规划编制，</w:t>
      </w:r>
      <w:r>
        <w:rPr>
          <w:rFonts w:hint="default" w:ascii="Times New Roman" w:hAnsi="Times New Roman" w:eastAsia="仿宋_GB2312" w:cs="Times New Roman"/>
          <w:color w:val="auto"/>
          <w:sz w:val="32"/>
          <w:szCs w:val="32"/>
          <w:shd w:val="clear" w:color="auto" w:fill="FFFFFF"/>
        </w:rPr>
        <w:t>按照</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多镇合一</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多村合一</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多种模式，</w:t>
      </w:r>
      <w:r>
        <w:rPr>
          <w:rFonts w:hint="default" w:ascii="Times New Roman" w:hAnsi="Times New Roman" w:eastAsia="仿宋_GB2312" w:cs="Times New Roman"/>
          <w:color w:val="auto"/>
          <w:sz w:val="32"/>
          <w:szCs w:val="32"/>
          <w:shd w:val="clear" w:color="auto" w:fill="FFFFFF"/>
          <w:lang w:val="zh-TW" w:eastAsia="zh-CN"/>
        </w:rPr>
        <w:t>“</w:t>
      </w:r>
      <w:r>
        <w:rPr>
          <w:rFonts w:hint="default" w:ascii="Times New Roman" w:hAnsi="Times New Roman" w:eastAsia="仿宋_GB2312" w:cs="Times New Roman"/>
          <w:color w:val="auto"/>
          <w:sz w:val="32"/>
          <w:szCs w:val="32"/>
          <w:shd w:val="clear" w:color="auto" w:fill="FFFFFF"/>
          <w:lang w:val="zh-TW"/>
        </w:rPr>
        <w:t>多规合一</w:t>
      </w:r>
      <w:r>
        <w:rPr>
          <w:rFonts w:hint="default" w:ascii="Times New Roman" w:hAnsi="Times New Roman" w:eastAsia="仿宋_GB2312" w:cs="Times New Roman"/>
          <w:color w:val="auto"/>
          <w:sz w:val="32"/>
          <w:szCs w:val="32"/>
          <w:shd w:val="clear" w:color="auto" w:fill="FFFFFF"/>
          <w:lang w:val="zh-TW" w:eastAsia="zh-CN"/>
        </w:rPr>
        <w:t>”</w:t>
      </w:r>
      <w:r>
        <w:rPr>
          <w:rFonts w:hint="default" w:ascii="Times New Roman" w:hAnsi="Times New Roman" w:eastAsia="仿宋_GB2312" w:cs="Times New Roman"/>
          <w:color w:val="auto"/>
          <w:sz w:val="32"/>
          <w:szCs w:val="32"/>
          <w:shd w:val="clear" w:color="auto" w:fill="FFFFFF"/>
        </w:rPr>
        <w:t>编制好镇国土空间总体规划和实用性村庄规划、乡村产业发展规划。加强乡村建设风貌管控和引导，系统性保护自然风光、田园景观、传统村落和村镇历史文化资源。</w:t>
      </w:r>
      <w:r>
        <w:rPr>
          <w:rFonts w:hint="default" w:ascii="Times New Roman" w:hAnsi="Times New Roman" w:eastAsia="仿宋_GB2312" w:cs="Times New Roman"/>
          <w:b/>
          <w:bCs/>
          <w:color w:val="auto"/>
          <w:sz w:val="32"/>
          <w:szCs w:val="32"/>
          <w:shd w:val="clear" w:color="auto" w:fill="FFFFFF"/>
        </w:rPr>
        <w:t>一是</w:t>
      </w:r>
      <w:r>
        <w:rPr>
          <w:rFonts w:hint="default" w:ascii="Times New Roman" w:hAnsi="Times New Roman" w:eastAsia="仿宋_GB2312" w:cs="Times New Roman"/>
          <w:color w:val="auto"/>
          <w:sz w:val="32"/>
          <w:szCs w:val="32"/>
          <w:shd w:val="clear" w:color="auto" w:fill="FFFFFF"/>
        </w:rPr>
        <w:t>强化</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十四五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大英县农业农村发展规划《纲要》的统领作用。从经济社会发展层面来看，县域经济实际上被分为县城经济和农村经济两</w:t>
      </w:r>
      <w:r>
        <w:rPr>
          <w:rFonts w:hint="default" w:ascii="Times New Roman" w:hAnsi="Times New Roman" w:eastAsia="仿宋_GB2312" w:cs="Times New Roman"/>
          <w:bCs/>
          <w:snapToGrid w:val="0"/>
          <w:color w:val="auto"/>
          <w:kern w:val="0"/>
          <w:sz w:val="32"/>
          <w:szCs w:val="32"/>
          <w:lang w:val="en-US" w:eastAsia="zh-CN" w:bidi="ar-SA"/>
        </w:rPr>
        <w:t>大部分，县城经济为城乡经济的纽带，县城经济和农村经济是在一个层面上，县级农业农村发展规划与县级农业发展规划是有着本质上的区别，县级农业农村发展规</w:t>
      </w:r>
      <w:r>
        <w:rPr>
          <w:rFonts w:hint="default" w:ascii="Times New Roman" w:hAnsi="Times New Roman" w:eastAsia="仿宋_GB2312" w:cs="Times New Roman"/>
          <w:color w:val="auto"/>
          <w:sz w:val="32"/>
          <w:szCs w:val="32"/>
          <w:shd w:val="clear" w:color="auto" w:fill="FFFFFF"/>
        </w:rPr>
        <w:t>划应与县级经济社会发展规划一样纳入人大审批执行。县级空间规划要细化落实</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十四五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农业农村发展规划《纲要》提出的国土空间开发保护要求，为重大任务和重大工程项目落地实施提供空间保障。在科技创新、基础设施、绿色转型、民生保障等领域编制一批县级涉农专项规划，细化时间表和路线图。乡级规划（主要是《乡村产业发展规划》和《美丽乡村建设规划》）（乡人大代表审议通过、乡镇党委班子集体审定）既要加强与县级规划的衔接、形成全县</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一盘棋</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又要因地制宜，发挥比较优势、突出地方特色。</w:t>
      </w:r>
      <w:r>
        <w:rPr>
          <w:rFonts w:hint="default" w:ascii="Times New Roman" w:hAnsi="Times New Roman" w:eastAsia="仿宋_GB2312" w:cs="Times New Roman"/>
          <w:b/>
          <w:bCs/>
          <w:color w:val="auto"/>
          <w:sz w:val="32"/>
          <w:szCs w:val="32"/>
          <w:shd w:val="clear" w:color="auto" w:fill="FFFFFF"/>
        </w:rPr>
        <w:t>二是</w:t>
      </w:r>
      <w:r>
        <w:rPr>
          <w:rFonts w:hint="default" w:ascii="Times New Roman" w:hAnsi="Times New Roman" w:eastAsia="仿宋_GB2312" w:cs="Times New Roman"/>
          <w:color w:val="auto"/>
          <w:sz w:val="32"/>
          <w:szCs w:val="32"/>
          <w:shd w:val="clear" w:color="auto" w:fill="FFFFFF"/>
        </w:rPr>
        <w:t>加强两级四类规划的衔接协调。</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十四五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县级专项规划、区域规划、空间规划在报请审批前，须就规划目标、重要政策、项目布局、风险防控等，与</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十四五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农业农村发展规划《纲要》进行统筹衔接。各类规划之间要按程序做好衔接，避免矛盾冲突。乡级发展建设规划在报请乡级人民代表讨论通过审定前，按程序与大英县</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十四五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农业农村发展规划《纲要》进行衔接。</w:t>
      </w:r>
      <w:r>
        <w:rPr>
          <w:rFonts w:hint="default" w:ascii="Times New Roman" w:hAnsi="Times New Roman" w:eastAsia="仿宋_GB2312" w:cs="Times New Roman"/>
          <w:b/>
          <w:bCs/>
          <w:color w:val="auto"/>
          <w:sz w:val="32"/>
          <w:szCs w:val="32"/>
          <w:shd w:val="clear" w:color="auto" w:fill="FFFFFF"/>
        </w:rPr>
        <w:t>三是</w:t>
      </w:r>
      <w:r>
        <w:rPr>
          <w:rFonts w:hint="default" w:ascii="Times New Roman" w:hAnsi="Times New Roman" w:eastAsia="仿宋_GB2312" w:cs="Times New Roman"/>
          <w:color w:val="auto"/>
          <w:sz w:val="32"/>
          <w:szCs w:val="32"/>
          <w:shd w:val="clear" w:color="auto" w:fill="FFFFFF"/>
        </w:rPr>
        <w:t>健全规划统筹管理制度。严格按照县政府批准实施的</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十四五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县级专项规划编制目录清单、空间规划编制目录清单和区域规划年度审批计划，开展规划编制工作，推动规划数量减下来、质量提上去。各部门自行编制或批准的各类规划要及时做好备案。发挥规划管理信息平台作用，将各类规划的编制和实施过程纳入统一管理，加强信息互联互通、归集共享，有效提高规划管理水平和效率。</w:t>
      </w:r>
    </w:p>
    <w:p>
      <w:pPr>
        <w:spacing w:line="560" w:lineRule="exact"/>
        <w:ind w:firstLine="643" w:firstLineChars="200"/>
        <w:jc w:val="left"/>
        <w:outlineLvl w:val="2"/>
        <w:rPr>
          <w:rFonts w:hint="default" w:ascii="Times New Roman" w:hAnsi="Times New Roman" w:eastAsia="仿宋_GB2312" w:cs="Times New Roman"/>
          <w:b/>
          <w:color w:val="auto"/>
          <w:sz w:val="32"/>
          <w:szCs w:val="32"/>
          <w:lang w:val="zh-CN"/>
        </w:rPr>
      </w:pPr>
      <w:bookmarkStart w:id="937" w:name="_Toc8817"/>
      <w:bookmarkStart w:id="938" w:name="_Toc12070"/>
      <w:bookmarkStart w:id="939" w:name="_Toc30241"/>
      <w:bookmarkStart w:id="940" w:name="_Toc1871"/>
      <w:bookmarkStart w:id="941" w:name="_Toc26301"/>
      <w:bookmarkStart w:id="942" w:name="_Toc32491"/>
      <w:bookmarkStart w:id="943" w:name="_Toc16941"/>
      <w:bookmarkStart w:id="944" w:name="_Toc21348"/>
      <w:r>
        <w:rPr>
          <w:rFonts w:hint="default" w:ascii="Times New Roman" w:hAnsi="Times New Roman" w:eastAsia="仿宋_GB2312" w:cs="Times New Roman"/>
          <w:b/>
          <w:color w:val="auto"/>
          <w:sz w:val="32"/>
          <w:szCs w:val="32"/>
        </w:rPr>
        <w:t>22.2健全政策协同机制</w:t>
      </w:r>
      <w:bookmarkEnd w:id="937"/>
      <w:bookmarkEnd w:id="938"/>
      <w:bookmarkEnd w:id="939"/>
      <w:bookmarkEnd w:id="940"/>
      <w:bookmarkEnd w:id="941"/>
      <w:bookmarkEnd w:id="942"/>
      <w:bookmarkEnd w:id="943"/>
      <w:bookmarkEnd w:id="944"/>
    </w:p>
    <w:p>
      <w:pPr>
        <w:pStyle w:val="21"/>
        <w:spacing w:after="0" w:line="56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加快构建发展规划、财政、金融等政策协调和工作协同机制。</w:t>
      </w:r>
      <w:r>
        <w:rPr>
          <w:rFonts w:hint="default" w:ascii="Times New Roman" w:hAnsi="Times New Roman" w:eastAsia="仿宋_GB2312" w:cs="Times New Roman"/>
          <w:b/>
          <w:bCs/>
          <w:color w:val="auto"/>
          <w:sz w:val="32"/>
          <w:szCs w:val="32"/>
          <w:shd w:val="clear" w:color="auto" w:fill="FFFFFF"/>
        </w:rPr>
        <w:t>一是</w:t>
      </w:r>
      <w:r>
        <w:rPr>
          <w:rFonts w:hint="default" w:ascii="Times New Roman" w:hAnsi="Times New Roman" w:eastAsia="仿宋_GB2312" w:cs="Times New Roman"/>
          <w:color w:val="auto"/>
          <w:sz w:val="32"/>
          <w:szCs w:val="32"/>
          <w:shd w:val="clear" w:color="auto" w:fill="FFFFFF"/>
        </w:rPr>
        <w:t>强化年度计划与</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十四五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农业农村发展规划《纲要》的衔接。年度计划是五年规划实施的重要支撑。要按照短期调控目标服从长期发展目标、短期政策与长期政策衔接配合的要求，将</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十四五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农业农村发展规划《纲要》确定的主要指标分解纳入年度指标体系并做好年度间综合平衡，按照《纲要》明确的发展方向确定年度工作重点，通过滚动实施确保五年目标任务如期实现。</w:t>
      </w:r>
      <w:r>
        <w:rPr>
          <w:rFonts w:hint="default" w:ascii="Times New Roman" w:hAnsi="Times New Roman" w:eastAsia="仿宋_GB2312" w:cs="Times New Roman"/>
          <w:b/>
          <w:bCs/>
          <w:color w:val="auto"/>
          <w:sz w:val="32"/>
          <w:szCs w:val="32"/>
          <w:shd w:val="clear" w:color="auto" w:fill="FFFFFF"/>
        </w:rPr>
        <w:t>二是</w:t>
      </w:r>
      <w:r>
        <w:rPr>
          <w:rFonts w:hint="default" w:ascii="Times New Roman" w:hAnsi="Times New Roman" w:eastAsia="仿宋_GB2312" w:cs="Times New Roman"/>
          <w:color w:val="auto"/>
          <w:sz w:val="32"/>
          <w:szCs w:val="32"/>
          <w:shd w:val="clear" w:color="auto" w:fill="FFFFFF"/>
        </w:rPr>
        <w:t>强化各类政策对</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十四五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农业农村发展规划《纲要》实施的保障支撑作用。加强中期财政规划、年度预算与</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十四五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农业农村发展规划《纲要》实施的衔接协调，县以上财政性资金优先投向《纲要》确定的重大任务和重大工程项目。坚持</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项目跟着规划走、资金要素跟着项目走</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，对纳入</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十四五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农业农村发展规划《纲要》的重大工程项目，简化审批核准程序，优先保障规划选址、土地供应和资金安排。地方金融机构和部分国有商业银行要响应国家优先发展农业农村政策，充分考虑</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十四五</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农业农村发展规划目标、经济发展形势等，以市场化手段引导金融资源支持《纲要》明确的重点领域和薄弱环节。</w:t>
      </w:r>
    </w:p>
    <w:p>
      <w:pPr>
        <w:spacing w:line="560" w:lineRule="exact"/>
        <w:ind w:firstLine="643" w:firstLineChars="200"/>
        <w:jc w:val="left"/>
        <w:outlineLvl w:val="2"/>
        <w:rPr>
          <w:rFonts w:hint="default" w:ascii="Times New Roman" w:hAnsi="Times New Roman" w:eastAsia="仿宋_GB2312" w:cs="Times New Roman"/>
          <w:b/>
          <w:color w:val="auto"/>
          <w:sz w:val="32"/>
          <w:szCs w:val="32"/>
        </w:rPr>
      </w:pPr>
      <w:bookmarkStart w:id="945" w:name="_Toc21995"/>
      <w:bookmarkStart w:id="946" w:name="_Toc6946"/>
      <w:bookmarkStart w:id="947" w:name="_Toc30572"/>
      <w:bookmarkStart w:id="948" w:name="_Toc8144"/>
      <w:bookmarkStart w:id="949" w:name="_Toc12400"/>
      <w:bookmarkStart w:id="950" w:name="_Toc2533"/>
      <w:bookmarkStart w:id="951" w:name="_Toc13005"/>
      <w:bookmarkStart w:id="952" w:name="_Toc11901"/>
      <w:r>
        <w:rPr>
          <w:rFonts w:hint="default" w:ascii="Times New Roman" w:hAnsi="Times New Roman" w:eastAsia="仿宋_GB2312" w:cs="Times New Roman"/>
          <w:b/>
          <w:color w:val="auto"/>
          <w:sz w:val="32"/>
          <w:szCs w:val="32"/>
        </w:rPr>
        <w:t>22.3完善规划实施机制</w:t>
      </w:r>
      <w:bookmarkEnd w:id="945"/>
      <w:bookmarkEnd w:id="946"/>
      <w:bookmarkEnd w:id="947"/>
      <w:bookmarkEnd w:id="948"/>
      <w:bookmarkEnd w:id="949"/>
      <w:bookmarkEnd w:id="950"/>
      <w:bookmarkEnd w:id="951"/>
      <w:bookmarkEnd w:id="952"/>
    </w:p>
    <w:p>
      <w:pPr>
        <w:pBdr>
          <w:bottom w:val="single" w:color="FFFFFF" w:sz="4" w:space="31"/>
        </w:pBdr>
        <w:spacing w:line="580" w:lineRule="exact"/>
        <w:ind w:firstLine="640" w:firstLineChars="200"/>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仿宋_GB2312" w:cs="Times New Roman"/>
          <w:color w:val="auto"/>
          <w:kern w:val="0"/>
          <w:sz w:val="32"/>
          <w:szCs w:val="32"/>
          <w:shd w:val="clear" w:color="auto" w:fill="FFFFFF"/>
        </w:rPr>
        <w:t>突出整体性、系统性、协调性、先导性、独特性，结合乡村振兴重大工作任务，强化示范村为引领，统筹谋划、试点先行、分步实施、梯次推进思路，有序推动宜居宜业宜游乡村建设工作。在规划实施过程中，动员各方面力量、灵活采取各种方式落实好规划任务，及时调整执行偏差，确保规划目标顺利完成。加强规划实施评估考核，对约束性指标和经济调节、市场监管、公共服务、生态环境保护等政府履责要求，要细化实施责任、严格跟踪考核机制。进一步健全</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年度监测分析—中期评估—总结评估</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的规划评估体系，将评估结果作为改进政府工作和绩效考核的重要依据，并依法自觉接受人大监督。</w:t>
      </w:r>
    </w:p>
    <w:p>
      <w:pPr>
        <w:spacing w:line="560" w:lineRule="exact"/>
        <w:ind w:firstLine="560" w:firstLineChars="200"/>
        <w:jc w:val="left"/>
        <w:rPr>
          <w:rFonts w:hint="default" w:ascii="Times New Roman" w:hAnsi="Times New Roman" w:eastAsia="黑体" w:cs="Times New Roman"/>
          <w:color w:val="auto"/>
          <w:kern w:val="0"/>
          <w:sz w:val="28"/>
          <w:szCs w:val="28"/>
          <w:lang w:val="mn-Mong-CN" w:bidi="mn-Mong-CN"/>
        </w:rPr>
      </w:pPr>
    </w:p>
    <w:p>
      <w:pPr>
        <w:spacing w:line="560" w:lineRule="exact"/>
        <w:ind w:firstLine="560" w:firstLineChars="200"/>
        <w:jc w:val="left"/>
        <w:rPr>
          <w:rFonts w:hint="default" w:ascii="Times New Roman" w:hAnsi="Times New Roman" w:eastAsia="黑体" w:cs="Times New Roman"/>
          <w:color w:val="auto"/>
          <w:kern w:val="0"/>
          <w:sz w:val="28"/>
          <w:szCs w:val="28"/>
          <w:lang w:val="mn-Mong-CN" w:bidi="mn-Mong-CN"/>
        </w:rPr>
      </w:pPr>
    </w:p>
    <w:p>
      <w:pPr>
        <w:pStyle w:val="27"/>
        <w:rPr>
          <w:rFonts w:hint="default" w:ascii="Times New Roman" w:hAnsi="Times New Roman" w:eastAsia="黑体" w:cs="Times New Roman"/>
          <w:color w:val="auto"/>
          <w:kern w:val="0"/>
          <w:sz w:val="28"/>
          <w:szCs w:val="28"/>
          <w:lang w:val="mn-Mong-CN" w:bidi="mn-Mong-CN"/>
        </w:rPr>
      </w:pPr>
    </w:p>
    <w:p>
      <w:pPr>
        <w:spacing w:line="560" w:lineRule="exact"/>
        <w:ind w:firstLine="640" w:firstLineChars="200"/>
        <w:jc w:val="left"/>
        <w:rPr>
          <w:rFonts w:hint="default" w:ascii="Times New Roman" w:hAnsi="Times New Roman" w:eastAsia="仿宋_GB2312" w:cs="Times New Roman"/>
          <w:color w:val="auto"/>
          <w:kern w:val="0"/>
          <w:sz w:val="32"/>
          <w:szCs w:val="32"/>
          <w:lang w:val="mn-Mong-CN" w:bidi="mn-Mong-CN"/>
        </w:rPr>
      </w:pPr>
      <w:r>
        <w:rPr>
          <w:rFonts w:hint="default" w:ascii="Times New Roman" w:hAnsi="Times New Roman" w:eastAsia="仿宋_GB2312" w:cs="Times New Roman"/>
          <w:color w:val="auto"/>
          <w:kern w:val="0"/>
          <w:sz w:val="32"/>
          <w:szCs w:val="32"/>
          <w:lang w:val="mn-Mong-CN" w:bidi="mn-Mong-CN"/>
        </w:rPr>
        <w:t>名词解释（按规划文本中出现的先后为序）：</w:t>
      </w:r>
    </w:p>
    <w:p>
      <w:pPr>
        <w:spacing w:line="560" w:lineRule="exact"/>
        <w:ind w:firstLine="643" w:firstLineChars="200"/>
        <w:jc w:val="left"/>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1.大英县现代农业发展的</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一核三业六带</w:t>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空间布局。</w:t>
      </w:r>
    </w:p>
    <w:p>
      <w:pPr>
        <w:spacing w:line="560" w:lineRule="exact"/>
        <w:ind w:firstLine="643" w:firstLineChars="200"/>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一核</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Cs/>
          <w:color w:val="auto"/>
          <w:sz w:val="32"/>
          <w:szCs w:val="32"/>
        </w:rPr>
        <w:t>即以保障粮食安全和生猪等重要农产品有效供给为核心；</w:t>
      </w:r>
    </w:p>
    <w:p>
      <w:pPr>
        <w:spacing w:line="560" w:lineRule="exact"/>
        <w:ind w:firstLine="643" w:firstLineChars="200"/>
        <w:jc w:val="left"/>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三业</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Cs/>
          <w:color w:val="auto"/>
          <w:sz w:val="32"/>
          <w:szCs w:val="32"/>
        </w:rPr>
        <w:t>即培育</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三个主导产业</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z w:val="32"/>
          <w:szCs w:val="32"/>
        </w:rPr>
        <w:t>优质粮油</w:t>
      </w:r>
      <w:r>
        <w:rPr>
          <w:rFonts w:hint="default" w:ascii="Times New Roman" w:hAnsi="Times New Roman" w:eastAsia="仿宋_GB2312" w:cs="Times New Roman"/>
          <w:bCs/>
          <w:color w:val="auto"/>
          <w:sz w:val="32"/>
          <w:szCs w:val="32"/>
        </w:rPr>
        <w:t>（以玉峰为核心区，辐射河边、象山，建设省级优质粮油现代农业园区），</w:t>
      </w:r>
      <w:r>
        <w:rPr>
          <w:rFonts w:hint="default" w:ascii="Times New Roman" w:hAnsi="Times New Roman" w:eastAsia="仿宋_GB2312" w:cs="Times New Roman"/>
          <w:b/>
          <w:bCs w:val="0"/>
          <w:color w:val="auto"/>
          <w:sz w:val="32"/>
          <w:szCs w:val="32"/>
        </w:rPr>
        <w:t>优质中药材</w:t>
      </w:r>
      <w:r>
        <w:rPr>
          <w:rFonts w:hint="default" w:ascii="Times New Roman" w:hAnsi="Times New Roman" w:eastAsia="仿宋_GB2312" w:cs="Times New Roman"/>
          <w:bCs/>
          <w:color w:val="auto"/>
          <w:sz w:val="32"/>
          <w:szCs w:val="32"/>
        </w:rPr>
        <w:t>（以隆盛为核心区，围绕农环线和</w:t>
      </w:r>
      <w:r>
        <w:rPr>
          <w:rFonts w:hint="default" w:ascii="Times New Roman" w:hAnsi="Times New Roman" w:eastAsia="仿宋_GB2312" w:cs="Times New Roman"/>
          <w:bCs/>
          <w:snapToGrid w:val="0"/>
          <w:color w:val="auto"/>
          <w:kern w:val="0"/>
          <w:sz w:val="32"/>
          <w:szCs w:val="32"/>
        </w:rPr>
        <w:t>遂大快捷通道带动金元，</w:t>
      </w:r>
      <w:r>
        <w:rPr>
          <w:rFonts w:hint="default" w:ascii="Times New Roman" w:hAnsi="Times New Roman" w:eastAsia="仿宋_GB2312" w:cs="Times New Roman"/>
          <w:bCs/>
          <w:snapToGrid w:val="0"/>
          <w:color w:val="auto"/>
          <w:kern w:val="0"/>
          <w:sz w:val="32"/>
          <w:szCs w:val="32"/>
          <w:lang w:val="en-US" w:eastAsia="zh-CN"/>
        </w:rPr>
        <w:t>培育</w:t>
      </w:r>
      <w:r>
        <w:rPr>
          <w:rFonts w:hint="default" w:ascii="Times New Roman" w:hAnsi="Times New Roman" w:eastAsia="仿宋_GB2312" w:cs="Times New Roman"/>
          <w:bCs/>
          <w:snapToGrid w:val="0"/>
          <w:color w:val="auto"/>
          <w:kern w:val="0"/>
          <w:sz w:val="32"/>
          <w:szCs w:val="32"/>
        </w:rPr>
        <w:t>国家级优质中药材现代农业</w:t>
      </w:r>
      <w:r>
        <w:rPr>
          <w:rFonts w:hint="default" w:ascii="Times New Roman" w:hAnsi="Times New Roman" w:eastAsia="仿宋_GB2312" w:cs="Times New Roman"/>
          <w:bCs/>
          <w:snapToGrid w:val="0"/>
          <w:color w:val="auto"/>
          <w:kern w:val="0"/>
          <w:sz w:val="32"/>
          <w:szCs w:val="32"/>
          <w:lang w:val="en-US" w:eastAsia="zh-CN"/>
        </w:rPr>
        <w:t>产业园</w:t>
      </w:r>
      <w:r>
        <w:rPr>
          <w:rFonts w:hint="default" w:ascii="Times New Roman" w:hAnsi="Times New Roman" w:eastAsia="仿宋_GB2312" w:cs="Times New Roman"/>
          <w:bCs/>
          <w:snapToGrid w:val="0"/>
          <w:color w:val="auto"/>
          <w:kern w:val="0"/>
          <w:sz w:val="32"/>
          <w:szCs w:val="32"/>
        </w:rPr>
        <w:t>），</w:t>
      </w:r>
      <w:r>
        <w:rPr>
          <w:rFonts w:hint="default" w:ascii="Times New Roman" w:hAnsi="Times New Roman" w:eastAsia="仿宋_GB2312" w:cs="Times New Roman"/>
          <w:b/>
          <w:bCs w:val="0"/>
          <w:color w:val="auto"/>
          <w:sz w:val="32"/>
          <w:szCs w:val="32"/>
        </w:rPr>
        <w:t>优质柑橘</w:t>
      </w:r>
      <w:r>
        <w:rPr>
          <w:rFonts w:hint="default" w:ascii="Times New Roman" w:hAnsi="Times New Roman" w:eastAsia="仿宋_GB2312" w:cs="Times New Roman"/>
          <w:bCs/>
          <w:color w:val="auto"/>
          <w:sz w:val="32"/>
          <w:szCs w:val="32"/>
        </w:rPr>
        <w:t>（以蓬莱为核心，辐射卓筒井、河边、天保，建设省级优质柑橘现代农业园区）三大主导产业；</w:t>
      </w:r>
    </w:p>
    <w:p>
      <w:pPr>
        <w:spacing w:line="560" w:lineRule="exact"/>
        <w:ind w:firstLine="643"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六带</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Cs/>
          <w:color w:val="auto"/>
          <w:sz w:val="32"/>
          <w:szCs w:val="32"/>
        </w:rPr>
        <w:t>即建设</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六个特色产业带</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z w:val="32"/>
          <w:szCs w:val="32"/>
        </w:rPr>
        <w:t>一是</w:t>
      </w:r>
      <w:r>
        <w:rPr>
          <w:rFonts w:hint="default" w:ascii="Times New Roman" w:hAnsi="Times New Roman" w:eastAsia="仿宋_GB2312" w:cs="Times New Roman"/>
          <w:bCs/>
          <w:color w:val="auto"/>
          <w:sz w:val="32"/>
          <w:szCs w:val="32"/>
        </w:rPr>
        <w:t>以蓬莱通仙为核心，辐射象山、隆盛，发展优质</w:t>
      </w:r>
      <w:r>
        <w:rPr>
          <w:rFonts w:hint="default" w:ascii="Times New Roman" w:hAnsi="Times New Roman" w:eastAsia="仿宋_GB2312" w:cs="Times New Roman"/>
          <w:b/>
          <w:bCs w:val="0"/>
          <w:color w:val="auto"/>
          <w:sz w:val="32"/>
          <w:szCs w:val="32"/>
        </w:rPr>
        <w:t>青花椒产业带</w:t>
      </w:r>
      <w:r>
        <w:rPr>
          <w:rFonts w:hint="default" w:ascii="Times New Roman" w:hAnsi="Times New Roman" w:eastAsia="仿宋_GB2312" w:cs="Times New Roman"/>
          <w:bCs/>
          <w:color w:val="auto"/>
          <w:sz w:val="32"/>
          <w:szCs w:val="32"/>
        </w:rPr>
        <w:t>，建成青花椒现代农业园区；</w:t>
      </w:r>
      <w:r>
        <w:rPr>
          <w:rFonts w:hint="default" w:ascii="Times New Roman" w:hAnsi="Times New Roman" w:eastAsia="仿宋_GB2312" w:cs="Times New Roman"/>
          <w:b/>
          <w:bCs w:val="0"/>
          <w:color w:val="auto"/>
          <w:sz w:val="32"/>
          <w:szCs w:val="32"/>
        </w:rPr>
        <w:t>二是</w:t>
      </w:r>
      <w:r>
        <w:rPr>
          <w:rFonts w:hint="default" w:ascii="Times New Roman" w:hAnsi="Times New Roman" w:eastAsia="仿宋_GB2312" w:cs="Times New Roman"/>
          <w:bCs/>
          <w:color w:val="auto"/>
          <w:sz w:val="32"/>
          <w:szCs w:val="32"/>
        </w:rPr>
        <w:t>以卓筒井为核心，发展优质</w:t>
      </w:r>
      <w:r>
        <w:rPr>
          <w:rFonts w:hint="default" w:ascii="Times New Roman" w:hAnsi="Times New Roman" w:eastAsia="仿宋_GB2312" w:cs="Times New Roman"/>
          <w:b/>
          <w:bCs w:val="0"/>
          <w:color w:val="auto"/>
          <w:sz w:val="32"/>
          <w:szCs w:val="32"/>
        </w:rPr>
        <w:t>甜桃产业带</w:t>
      </w:r>
      <w:r>
        <w:rPr>
          <w:rFonts w:hint="default" w:ascii="Times New Roman" w:hAnsi="Times New Roman" w:eastAsia="仿宋_GB2312" w:cs="Times New Roman"/>
          <w:bCs/>
          <w:color w:val="auto"/>
          <w:sz w:val="32"/>
          <w:szCs w:val="32"/>
        </w:rPr>
        <w:t>，建成市级甜桃现代农业园区；</w:t>
      </w:r>
      <w:r>
        <w:rPr>
          <w:rFonts w:hint="default" w:ascii="Times New Roman" w:hAnsi="Times New Roman" w:eastAsia="仿宋_GB2312" w:cs="Times New Roman"/>
          <w:b/>
          <w:bCs w:val="0"/>
          <w:color w:val="auto"/>
          <w:sz w:val="32"/>
          <w:szCs w:val="32"/>
        </w:rPr>
        <w:t>三是</w:t>
      </w:r>
      <w:r>
        <w:rPr>
          <w:rFonts w:hint="default" w:ascii="Times New Roman" w:hAnsi="Times New Roman" w:eastAsia="仿宋_GB2312" w:cs="Times New Roman"/>
          <w:bCs/>
          <w:color w:val="auto"/>
          <w:sz w:val="32"/>
          <w:szCs w:val="32"/>
        </w:rPr>
        <w:t>以河边为核心，发展优质</w:t>
      </w:r>
      <w:r>
        <w:rPr>
          <w:rFonts w:hint="default" w:ascii="Times New Roman" w:hAnsi="Times New Roman" w:eastAsia="仿宋_GB2312" w:cs="Times New Roman"/>
          <w:b/>
          <w:bCs w:val="0"/>
          <w:color w:val="auto"/>
          <w:sz w:val="32"/>
          <w:szCs w:val="32"/>
        </w:rPr>
        <w:t>柠檬产业带</w:t>
      </w:r>
      <w:r>
        <w:rPr>
          <w:rFonts w:hint="default" w:ascii="Times New Roman" w:hAnsi="Times New Roman" w:eastAsia="仿宋_GB2312" w:cs="Times New Roman"/>
          <w:bCs/>
          <w:color w:val="auto"/>
          <w:sz w:val="32"/>
          <w:szCs w:val="32"/>
        </w:rPr>
        <w:t>，建成柠檬现代农业园区；</w:t>
      </w:r>
      <w:r>
        <w:rPr>
          <w:rFonts w:hint="default" w:ascii="Times New Roman" w:hAnsi="Times New Roman" w:eastAsia="仿宋_GB2312" w:cs="Times New Roman"/>
          <w:b/>
          <w:bCs w:val="0"/>
          <w:color w:val="auto"/>
          <w:sz w:val="32"/>
          <w:szCs w:val="32"/>
        </w:rPr>
        <w:t>四是</w:t>
      </w:r>
      <w:r>
        <w:rPr>
          <w:rFonts w:hint="default" w:ascii="Times New Roman" w:hAnsi="Times New Roman" w:eastAsia="仿宋_GB2312" w:cs="Times New Roman"/>
          <w:bCs/>
          <w:color w:val="auto"/>
          <w:sz w:val="32"/>
          <w:szCs w:val="32"/>
        </w:rPr>
        <w:t>以郪江、涪江水资源优势，支持象山、隆盛、回马发展绿色</w:t>
      </w:r>
      <w:r>
        <w:rPr>
          <w:rFonts w:hint="default" w:ascii="Times New Roman" w:hAnsi="Times New Roman" w:eastAsia="仿宋_GB2312" w:cs="Times New Roman"/>
          <w:b/>
          <w:bCs w:val="0"/>
          <w:color w:val="auto"/>
          <w:sz w:val="32"/>
          <w:szCs w:val="32"/>
        </w:rPr>
        <w:t>蔬菜产业带</w:t>
      </w:r>
      <w:r>
        <w:rPr>
          <w:rFonts w:hint="default" w:ascii="Times New Roman" w:hAnsi="Times New Roman" w:eastAsia="仿宋_GB2312" w:cs="Times New Roman"/>
          <w:bCs/>
          <w:color w:val="auto"/>
          <w:sz w:val="32"/>
          <w:szCs w:val="32"/>
        </w:rPr>
        <w:t>，建成蔬菜现代农业园区；</w:t>
      </w:r>
      <w:r>
        <w:rPr>
          <w:rFonts w:hint="default" w:ascii="Times New Roman" w:hAnsi="Times New Roman" w:eastAsia="仿宋_GB2312" w:cs="Times New Roman"/>
          <w:b/>
          <w:bCs w:val="0"/>
          <w:color w:val="auto"/>
          <w:sz w:val="32"/>
          <w:szCs w:val="32"/>
        </w:rPr>
        <w:t>五是</w:t>
      </w:r>
      <w:r>
        <w:rPr>
          <w:rFonts w:hint="default" w:ascii="Times New Roman" w:hAnsi="Times New Roman" w:eastAsia="仿宋_GB2312" w:cs="Times New Roman"/>
          <w:bCs/>
          <w:color w:val="auto"/>
          <w:sz w:val="32"/>
          <w:szCs w:val="32"/>
        </w:rPr>
        <w:t>以金元、天保为核心，发展</w:t>
      </w:r>
      <w:r>
        <w:rPr>
          <w:rFonts w:hint="default" w:ascii="Times New Roman" w:hAnsi="Times New Roman" w:eastAsia="仿宋_GB2312" w:cs="Times New Roman"/>
          <w:b/>
          <w:bCs w:val="0"/>
          <w:color w:val="auto"/>
          <w:sz w:val="32"/>
          <w:szCs w:val="32"/>
        </w:rPr>
        <w:t>种养循环产业带</w:t>
      </w:r>
      <w:r>
        <w:rPr>
          <w:rFonts w:hint="default" w:ascii="Times New Roman" w:hAnsi="Times New Roman" w:eastAsia="仿宋_GB2312" w:cs="Times New Roman"/>
          <w:bCs/>
          <w:color w:val="auto"/>
          <w:sz w:val="32"/>
          <w:szCs w:val="32"/>
        </w:rPr>
        <w:t>，建成种养循环产业园区；</w:t>
      </w:r>
      <w:r>
        <w:rPr>
          <w:rFonts w:hint="default" w:ascii="Times New Roman" w:hAnsi="Times New Roman" w:eastAsia="仿宋_GB2312" w:cs="Times New Roman"/>
          <w:b/>
          <w:bCs w:val="0"/>
          <w:color w:val="auto"/>
          <w:sz w:val="32"/>
          <w:szCs w:val="32"/>
        </w:rPr>
        <w:t>六是</w:t>
      </w:r>
      <w:r>
        <w:rPr>
          <w:rFonts w:hint="default" w:ascii="Times New Roman" w:hAnsi="Times New Roman" w:eastAsia="仿宋_GB2312" w:cs="Times New Roman"/>
          <w:bCs/>
          <w:color w:val="auto"/>
          <w:sz w:val="32"/>
          <w:szCs w:val="32"/>
        </w:rPr>
        <w:t>以遂大快捷通道和蓬乐路沿线，发展</w:t>
      </w:r>
      <w:r>
        <w:rPr>
          <w:rFonts w:hint="default" w:ascii="Times New Roman" w:hAnsi="Times New Roman" w:eastAsia="仿宋_GB2312" w:cs="Times New Roman"/>
          <w:b/>
          <w:bCs w:val="0"/>
          <w:color w:val="auto"/>
          <w:sz w:val="32"/>
          <w:szCs w:val="32"/>
        </w:rPr>
        <w:t>休闲农业带</w:t>
      </w:r>
      <w:r>
        <w:rPr>
          <w:rFonts w:hint="default" w:ascii="Times New Roman" w:hAnsi="Times New Roman" w:eastAsia="仿宋_GB2312" w:cs="Times New Roman"/>
          <w:bCs/>
          <w:color w:val="auto"/>
          <w:sz w:val="32"/>
          <w:szCs w:val="32"/>
        </w:rPr>
        <w:t>，提升乡村旅游业态和质量，争创全国休闲农业重点县。</w:t>
      </w:r>
    </w:p>
    <w:p>
      <w:pPr>
        <w:spacing w:line="560" w:lineRule="exact"/>
        <w:ind w:firstLine="643"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2.智慧农业。</w:t>
      </w:r>
      <w:r>
        <w:rPr>
          <w:rFonts w:hint="default" w:ascii="Times New Roman" w:hAnsi="Times New Roman" w:eastAsia="仿宋_GB2312" w:cs="Times New Roman"/>
          <w:bCs/>
          <w:color w:val="auto"/>
          <w:sz w:val="32"/>
          <w:szCs w:val="32"/>
        </w:rPr>
        <w:t>就是将</w:t>
      </w:r>
      <w:r>
        <w:rPr>
          <w:rFonts w:hint="default" w:ascii="Times New Roman" w:hAnsi="Times New Roman" w:eastAsia="仿宋_GB2312" w:cs="Times New Roman"/>
          <w:bCs/>
          <w:color w:val="auto"/>
          <w:sz w:val="32"/>
          <w:szCs w:val="32"/>
        </w:rPr>
        <w:fldChar w:fldCharType="begin"/>
      </w:r>
      <w:r>
        <w:rPr>
          <w:rFonts w:hint="default" w:ascii="Times New Roman" w:hAnsi="Times New Roman" w:eastAsia="仿宋_GB2312" w:cs="Times New Roman"/>
          <w:sz w:val="32"/>
          <w:szCs w:val="32"/>
        </w:rPr>
        <w:instrText xml:space="preserve">HYPERLINK "https://baike.baidu.com/item/%E7%89%A9%E8%81%94%E7%BD%91"</w:instrText>
      </w:r>
      <w:r>
        <w:rPr>
          <w:rFonts w:hint="default" w:ascii="Times New Roman" w:hAnsi="Times New Roman" w:eastAsia="仿宋_GB2312" w:cs="Times New Roman"/>
          <w:bCs/>
          <w:color w:val="auto"/>
          <w:sz w:val="32"/>
          <w:szCs w:val="32"/>
        </w:rPr>
        <w:fldChar w:fldCharType="separate"/>
      </w:r>
      <w:r>
        <w:rPr>
          <w:rFonts w:hint="default" w:ascii="Times New Roman" w:hAnsi="Times New Roman" w:eastAsia="仿宋_GB2312" w:cs="Times New Roman"/>
          <w:bCs/>
          <w:color w:val="auto"/>
          <w:sz w:val="32"/>
          <w:szCs w:val="32"/>
        </w:rPr>
        <w:t>物联网</w:t>
      </w:r>
      <w:r>
        <w:rPr>
          <w:rFonts w:hint="default" w:ascii="Times New Roman" w:hAnsi="Times New Roman" w:eastAsia="仿宋_GB2312" w:cs="Times New Roman"/>
          <w:bCs/>
          <w:color w:val="auto"/>
          <w:sz w:val="32"/>
          <w:szCs w:val="32"/>
        </w:rPr>
        <w:fldChar w:fldCharType="end"/>
      </w:r>
      <w:r>
        <w:rPr>
          <w:rFonts w:hint="default" w:ascii="Times New Roman" w:hAnsi="Times New Roman" w:eastAsia="仿宋_GB2312" w:cs="Times New Roman"/>
          <w:bCs/>
          <w:color w:val="auto"/>
          <w:sz w:val="32"/>
          <w:szCs w:val="32"/>
        </w:rPr>
        <w:t>技术运用到</w:t>
      </w:r>
      <w:r>
        <w:rPr>
          <w:rFonts w:hint="default" w:ascii="Times New Roman" w:hAnsi="Times New Roman" w:eastAsia="仿宋_GB2312" w:cs="Times New Roman"/>
          <w:bCs/>
          <w:color w:val="auto"/>
          <w:sz w:val="32"/>
          <w:szCs w:val="32"/>
        </w:rPr>
        <w:fldChar w:fldCharType="begin"/>
      </w:r>
      <w:r>
        <w:rPr>
          <w:rFonts w:hint="default" w:ascii="Times New Roman" w:hAnsi="Times New Roman" w:eastAsia="仿宋_GB2312" w:cs="Times New Roman"/>
          <w:sz w:val="32"/>
          <w:szCs w:val="32"/>
        </w:rPr>
        <w:instrText xml:space="preserve">HYPERLINK "https://baike.baidu.com/item/%E4%BC%A0%E7%BB%9F%E5%86%9C%E4%B8%9A/2029517"</w:instrText>
      </w:r>
      <w:r>
        <w:rPr>
          <w:rFonts w:hint="default" w:ascii="Times New Roman" w:hAnsi="Times New Roman" w:eastAsia="仿宋_GB2312" w:cs="Times New Roman"/>
          <w:bCs/>
          <w:color w:val="auto"/>
          <w:sz w:val="32"/>
          <w:szCs w:val="32"/>
        </w:rPr>
        <w:fldChar w:fldCharType="separate"/>
      </w:r>
      <w:r>
        <w:rPr>
          <w:rFonts w:hint="default" w:ascii="Times New Roman" w:hAnsi="Times New Roman" w:eastAsia="仿宋_GB2312" w:cs="Times New Roman"/>
          <w:bCs/>
          <w:color w:val="auto"/>
          <w:sz w:val="32"/>
          <w:szCs w:val="32"/>
        </w:rPr>
        <w:t>传统农业</w:t>
      </w:r>
      <w:r>
        <w:rPr>
          <w:rFonts w:hint="default" w:ascii="Times New Roman" w:hAnsi="Times New Roman" w:eastAsia="仿宋_GB2312" w:cs="Times New Roman"/>
          <w:bCs/>
          <w:color w:val="auto"/>
          <w:sz w:val="32"/>
          <w:szCs w:val="32"/>
        </w:rPr>
        <w:fldChar w:fldCharType="end"/>
      </w:r>
      <w:r>
        <w:rPr>
          <w:rFonts w:hint="default" w:ascii="Times New Roman" w:hAnsi="Times New Roman" w:eastAsia="仿宋_GB2312" w:cs="Times New Roman"/>
          <w:bCs/>
          <w:color w:val="auto"/>
          <w:sz w:val="32"/>
          <w:szCs w:val="32"/>
        </w:rPr>
        <w:t>中去，运用</w:t>
      </w:r>
      <w:r>
        <w:rPr>
          <w:rFonts w:hint="default" w:ascii="Times New Roman" w:hAnsi="Times New Roman" w:eastAsia="仿宋_GB2312" w:cs="Times New Roman"/>
          <w:bCs/>
          <w:color w:val="auto"/>
          <w:sz w:val="32"/>
          <w:szCs w:val="32"/>
        </w:rPr>
        <w:fldChar w:fldCharType="begin"/>
      </w:r>
      <w:r>
        <w:rPr>
          <w:rFonts w:hint="default" w:ascii="Times New Roman" w:hAnsi="Times New Roman" w:eastAsia="仿宋_GB2312" w:cs="Times New Roman"/>
          <w:sz w:val="32"/>
          <w:szCs w:val="32"/>
        </w:rPr>
        <w:instrText xml:space="preserve">HYPERLINK "https://baike.baidu.com/item/%E4%BC%A0%E6%84%9F%E5%99%A8/26757"</w:instrText>
      </w:r>
      <w:r>
        <w:rPr>
          <w:rFonts w:hint="default" w:ascii="Times New Roman" w:hAnsi="Times New Roman" w:eastAsia="仿宋_GB2312" w:cs="Times New Roman"/>
          <w:bCs/>
          <w:color w:val="auto"/>
          <w:sz w:val="32"/>
          <w:szCs w:val="32"/>
        </w:rPr>
        <w:fldChar w:fldCharType="separate"/>
      </w:r>
      <w:r>
        <w:rPr>
          <w:rFonts w:hint="default" w:ascii="Times New Roman" w:hAnsi="Times New Roman" w:eastAsia="仿宋_GB2312" w:cs="Times New Roman"/>
          <w:bCs/>
          <w:color w:val="auto"/>
          <w:sz w:val="32"/>
          <w:szCs w:val="32"/>
        </w:rPr>
        <w:t>传感器</w:t>
      </w:r>
      <w:r>
        <w:rPr>
          <w:rFonts w:hint="default" w:ascii="Times New Roman" w:hAnsi="Times New Roman" w:eastAsia="仿宋_GB2312" w:cs="Times New Roman"/>
          <w:bCs/>
          <w:color w:val="auto"/>
          <w:sz w:val="32"/>
          <w:szCs w:val="32"/>
        </w:rPr>
        <w:fldChar w:fldCharType="end"/>
      </w:r>
      <w:r>
        <w:rPr>
          <w:rFonts w:hint="default" w:ascii="Times New Roman" w:hAnsi="Times New Roman" w:eastAsia="仿宋_GB2312" w:cs="Times New Roman"/>
          <w:bCs/>
          <w:color w:val="auto"/>
          <w:sz w:val="32"/>
          <w:szCs w:val="32"/>
        </w:rPr>
        <w:t>和</w:t>
      </w:r>
      <w:r>
        <w:rPr>
          <w:rFonts w:hint="default" w:ascii="Times New Roman" w:hAnsi="Times New Roman" w:eastAsia="仿宋_GB2312" w:cs="Times New Roman"/>
          <w:bCs/>
          <w:color w:val="auto"/>
          <w:sz w:val="32"/>
          <w:szCs w:val="32"/>
        </w:rPr>
        <w:fldChar w:fldCharType="begin"/>
      </w:r>
      <w:r>
        <w:rPr>
          <w:rFonts w:hint="default" w:ascii="Times New Roman" w:hAnsi="Times New Roman" w:eastAsia="仿宋_GB2312" w:cs="Times New Roman"/>
          <w:sz w:val="32"/>
          <w:szCs w:val="32"/>
        </w:rPr>
        <w:instrText xml:space="preserve">HYPERLINK "https://baike.baidu.com/item/%E8%BD%AF%E4%BB%B6/12053"</w:instrText>
      </w:r>
      <w:r>
        <w:rPr>
          <w:rFonts w:hint="default" w:ascii="Times New Roman" w:hAnsi="Times New Roman" w:eastAsia="仿宋_GB2312" w:cs="Times New Roman"/>
          <w:bCs/>
          <w:color w:val="auto"/>
          <w:sz w:val="32"/>
          <w:szCs w:val="32"/>
        </w:rPr>
        <w:fldChar w:fldCharType="separate"/>
      </w:r>
      <w:r>
        <w:rPr>
          <w:rFonts w:hint="default" w:ascii="Times New Roman" w:hAnsi="Times New Roman" w:eastAsia="仿宋_GB2312" w:cs="Times New Roman"/>
          <w:bCs/>
          <w:color w:val="auto"/>
          <w:sz w:val="32"/>
          <w:szCs w:val="32"/>
        </w:rPr>
        <w:t>软件</w:t>
      </w:r>
      <w:r>
        <w:rPr>
          <w:rFonts w:hint="default" w:ascii="Times New Roman" w:hAnsi="Times New Roman" w:eastAsia="仿宋_GB2312" w:cs="Times New Roman"/>
          <w:bCs/>
          <w:color w:val="auto"/>
          <w:sz w:val="32"/>
          <w:szCs w:val="32"/>
        </w:rPr>
        <w:fldChar w:fldCharType="end"/>
      </w:r>
      <w:r>
        <w:rPr>
          <w:rFonts w:hint="default" w:ascii="Times New Roman" w:hAnsi="Times New Roman" w:eastAsia="仿宋_GB2312" w:cs="Times New Roman"/>
          <w:bCs/>
          <w:color w:val="auto"/>
          <w:sz w:val="32"/>
          <w:szCs w:val="32"/>
        </w:rPr>
        <w:t>通过移动平台或者电脑平台对农业生产进行控制，使传统农业更具有</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智慧</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。除了精准感知、控制与决策管理外，从广泛意义上讲，智慧农业还包括</w:t>
      </w:r>
      <w:r>
        <w:rPr>
          <w:rFonts w:hint="default" w:ascii="Times New Roman" w:hAnsi="Times New Roman" w:eastAsia="仿宋_GB2312" w:cs="Times New Roman"/>
          <w:bCs/>
          <w:color w:val="auto"/>
          <w:sz w:val="32"/>
          <w:szCs w:val="32"/>
        </w:rPr>
        <w:fldChar w:fldCharType="begin"/>
      </w:r>
      <w:r>
        <w:rPr>
          <w:rFonts w:hint="default" w:ascii="Times New Roman" w:hAnsi="Times New Roman" w:eastAsia="仿宋_GB2312" w:cs="Times New Roman"/>
          <w:sz w:val="32"/>
          <w:szCs w:val="32"/>
        </w:rPr>
        <w:instrText xml:space="preserve">HYPERLINK "https://baike.baidu.com/item/%E5%86%9C%E4%B8%9A%E7%94%B5%E5%AD%90%E5%95%86%E5%8A%A1/1515495"</w:instrText>
      </w:r>
      <w:r>
        <w:rPr>
          <w:rFonts w:hint="default" w:ascii="Times New Roman" w:hAnsi="Times New Roman" w:eastAsia="仿宋_GB2312" w:cs="Times New Roman"/>
          <w:bCs/>
          <w:color w:val="auto"/>
          <w:sz w:val="32"/>
          <w:szCs w:val="32"/>
        </w:rPr>
        <w:fldChar w:fldCharType="separate"/>
      </w:r>
      <w:r>
        <w:rPr>
          <w:rFonts w:hint="default" w:ascii="Times New Roman" w:hAnsi="Times New Roman" w:eastAsia="仿宋_GB2312" w:cs="Times New Roman"/>
          <w:bCs/>
          <w:color w:val="auto"/>
          <w:sz w:val="32"/>
          <w:szCs w:val="32"/>
        </w:rPr>
        <w:t>农业电子商务</w:t>
      </w:r>
      <w:r>
        <w:rPr>
          <w:rFonts w:hint="default" w:ascii="Times New Roman" w:hAnsi="Times New Roman" w:eastAsia="仿宋_GB2312" w:cs="Times New Roman"/>
          <w:bCs/>
          <w:color w:val="auto"/>
          <w:sz w:val="32"/>
          <w:szCs w:val="32"/>
        </w:rPr>
        <w:fldChar w:fldCharType="end"/>
      </w:r>
      <w:r>
        <w:rPr>
          <w:rFonts w:hint="default" w:ascii="Times New Roman" w:hAnsi="Times New Roman" w:eastAsia="仿宋_GB2312" w:cs="Times New Roman"/>
          <w:bCs/>
          <w:color w:val="auto"/>
          <w:sz w:val="32"/>
          <w:szCs w:val="32"/>
        </w:rPr>
        <w:t>、食品溯源防伪、农业休闲旅游、农业信息服务等方面的内容。</w:t>
      </w:r>
    </w:p>
    <w:p>
      <w:pPr>
        <w:spacing w:line="560" w:lineRule="exact"/>
        <w:ind w:firstLine="640" w:firstLineChars="200"/>
        <w:rPr>
          <w:rFonts w:hint="default" w:ascii="Times New Roman" w:hAnsi="Times New Roman" w:eastAsia="仿宋_GB2312" w:cs="Times New Roman"/>
          <w:bCs/>
          <w:snapToGrid w:val="0"/>
          <w:color w:val="auto"/>
          <w:kern w:val="0"/>
          <w:sz w:val="32"/>
          <w:szCs w:val="32"/>
          <w:lang w:eastAsia="zh-CN"/>
        </w:rPr>
      </w:pPr>
      <w:r>
        <w:rPr>
          <w:rFonts w:hint="default" w:ascii="Times New Roman" w:hAnsi="Times New Roman" w:eastAsia="仿宋_GB2312" w:cs="Times New Roman"/>
          <w:bCs/>
          <w:snapToGrid w:val="0"/>
          <w:color w:val="auto"/>
          <w:kern w:val="0"/>
          <w:sz w:val="32"/>
          <w:szCs w:val="32"/>
        </w:rPr>
        <w:t>3.</w:t>
      </w:r>
      <w:r>
        <w:rPr>
          <w:rFonts w:hint="default" w:ascii="Times New Roman" w:hAnsi="Times New Roman" w:eastAsia="仿宋_GB2312" w:cs="Times New Roman"/>
          <w:bCs/>
          <w:snapToGrid w:val="0"/>
          <w:color w:val="auto"/>
          <w:kern w:val="0"/>
          <w:sz w:val="32"/>
          <w:szCs w:val="32"/>
          <w:lang w:eastAsia="zh-CN"/>
        </w:rPr>
        <w:t>智能农业。</w:t>
      </w:r>
      <w:r>
        <w:rPr>
          <w:rFonts w:hint="default" w:ascii="Times New Roman" w:hAnsi="Times New Roman" w:eastAsia="仿宋_GB2312" w:cs="Times New Roman"/>
          <w:bCs/>
          <w:snapToGrid w:val="0"/>
          <w:color w:val="auto"/>
          <w:kern w:val="0"/>
          <w:sz w:val="32"/>
          <w:szCs w:val="32"/>
        </w:rPr>
        <w:t>或称工厂化农业，是指在相对可控的环境条件下，采用工业化生产，实现集约高效可持续发展的现代超前农业生产方式，就是农业先进设施与陆地相配套、具有高度的技术规范和高效益的集约化规模经营的生产方式。</w:t>
      </w:r>
    </w:p>
    <w:p>
      <w:pPr>
        <w:spacing w:line="560" w:lineRule="exact"/>
        <w:ind w:firstLine="643"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lang w:val="en-US" w:eastAsia="zh-CN"/>
        </w:rPr>
        <w:t>4.</w:t>
      </w:r>
      <w:r>
        <w:rPr>
          <w:rFonts w:hint="default" w:ascii="Times New Roman" w:hAnsi="Times New Roman" w:eastAsia="仿宋_GB2312" w:cs="Times New Roman"/>
          <w:b/>
          <w:color w:val="auto"/>
          <w:sz w:val="32"/>
          <w:szCs w:val="32"/>
        </w:rPr>
        <w:t>有机农业。</w:t>
      </w:r>
      <w:r>
        <w:rPr>
          <w:rFonts w:hint="default" w:ascii="Times New Roman" w:hAnsi="Times New Roman" w:eastAsia="仿宋_GB2312" w:cs="Times New Roman"/>
          <w:bCs/>
          <w:color w:val="auto"/>
          <w:sz w:val="32"/>
          <w:szCs w:val="32"/>
        </w:rPr>
        <w:t>是遵照一定的有机农业生产标准，在生产中不采用基因工程获得的生物及其产物，不使用化学合成的农药、</w:t>
      </w:r>
      <w:r>
        <w:rPr>
          <w:rFonts w:hint="default" w:ascii="Times New Roman" w:hAnsi="Times New Roman" w:eastAsia="仿宋_GB2312" w:cs="Times New Roman"/>
          <w:bCs/>
          <w:color w:val="auto"/>
          <w:sz w:val="32"/>
          <w:szCs w:val="32"/>
        </w:rPr>
        <w:fldChar w:fldCharType="begin"/>
      </w:r>
      <w:r>
        <w:rPr>
          <w:rFonts w:hint="default" w:ascii="Times New Roman" w:hAnsi="Times New Roman" w:eastAsia="仿宋_GB2312" w:cs="Times New Roman"/>
          <w:sz w:val="32"/>
          <w:szCs w:val="32"/>
        </w:rPr>
        <w:instrText xml:space="preserve">HYPERLINK "https://baike.baidu.com/item/%E5%8C%96%E8%82%A5"</w:instrText>
      </w:r>
      <w:r>
        <w:rPr>
          <w:rFonts w:hint="default" w:ascii="Times New Roman" w:hAnsi="Times New Roman" w:eastAsia="仿宋_GB2312" w:cs="Times New Roman"/>
          <w:bCs/>
          <w:color w:val="auto"/>
          <w:sz w:val="32"/>
          <w:szCs w:val="32"/>
        </w:rPr>
        <w:fldChar w:fldCharType="separate"/>
      </w:r>
      <w:r>
        <w:rPr>
          <w:rFonts w:hint="default" w:ascii="Times New Roman" w:hAnsi="Times New Roman" w:eastAsia="仿宋_GB2312" w:cs="Times New Roman"/>
          <w:bCs/>
          <w:color w:val="auto"/>
          <w:sz w:val="32"/>
          <w:szCs w:val="32"/>
        </w:rPr>
        <w:t>化肥</w:t>
      </w:r>
      <w:r>
        <w:rPr>
          <w:rFonts w:hint="default" w:ascii="Times New Roman" w:hAnsi="Times New Roman" w:eastAsia="仿宋_GB2312" w:cs="Times New Roman"/>
          <w:bCs/>
          <w:color w:val="auto"/>
          <w:sz w:val="32"/>
          <w:szCs w:val="32"/>
        </w:rPr>
        <w:fldChar w:fldCharType="end"/>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rPr>
        <w:fldChar w:fldCharType="begin"/>
      </w:r>
      <w:r>
        <w:rPr>
          <w:rFonts w:hint="default" w:ascii="Times New Roman" w:hAnsi="Times New Roman" w:eastAsia="仿宋_GB2312" w:cs="Times New Roman"/>
          <w:sz w:val="32"/>
          <w:szCs w:val="32"/>
        </w:rPr>
        <w:instrText xml:space="preserve">HYPERLINK "https://baike.baidu.com/item/%E7%94%9F%E9%95%BF%E8%B0%83%E8%8A%82%E5%89%82"</w:instrText>
      </w:r>
      <w:r>
        <w:rPr>
          <w:rFonts w:hint="default" w:ascii="Times New Roman" w:hAnsi="Times New Roman" w:eastAsia="仿宋_GB2312" w:cs="Times New Roman"/>
          <w:bCs/>
          <w:color w:val="auto"/>
          <w:sz w:val="32"/>
          <w:szCs w:val="32"/>
        </w:rPr>
        <w:fldChar w:fldCharType="separate"/>
      </w:r>
      <w:r>
        <w:rPr>
          <w:rFonts w:hint="default" w:ascii="Times New Roman" w:hAnsi="Times New Roman" w:eastAsia="仿宋_GB2312" w:cs="Times New Roman"/>
          <w:bCs/>
          <w:color w:val="auto"/>
          <w:sz w:val="32"/>
          <w:szCs w:val="32"/>
        </w:rPr>
        <w:t>生长调节剂</w:t>
      </w:r>
      <w:r>
        <w:rPr>
          <w:rFonts w:hint="default" w:ascii="Times New Roman" w:hAnsi="Times New Roman" w:eastAsia="仿宋_GB2312" w:cs="Times New Roman"/>
          <w:bCs/>
          <w:color w:val="auto"/>
          <w:sz w:val="32"/>
          <w:szCs w:val="32"/>
        </w:rPr>
        <w:fldChar w:fldCharType="end"/>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rPr>
        <w:fldChar w:fldCharType="begin"/>
      </w:r>
      <w:r>
        <w:rPr>
          <w:rFonts w:hint="default" w:ascii="Times New Roman" w:hAnsi="Times New Roman" w:eastAsia="仿宋_GB2312" w:cs="Times New Roman"/>
          <w:sz w:val="32"/>
          <w:szCs w:val="32"/>
        </w:rPr>
        <w:instrText xml:space="preserve">HYPERLINK "https://baike.baidu.com/item/%E9%A5%B2%E6%96%99%E6%B7%BB%E5%8A%A0%E5%89%82"</w:instrText>
      </w:r>
      <w:r>
        <w:rPr>
          <w:rFonts w:hint="default" w:ascii="Times New Roman" w:hAnsi="Times New Roman" w:eastAsia="仿宋_GB2312" w:cs="Times New Roman"/>
          <w:bCs/>
          <w:color w:val="auto"/>
          <w:sz w:val="32"/>
          <w:szCs w:val="32"/>
        </w:rPr>
        <w:fldChar w:fldCharType="separate"/>
      </w:r>
      <w:r>
        <w:rPr>
          <w:rFonts w:hint="default" w:ascii="Times New Roman" w:hAnsi="Times New Roman" w:eastAsia="仿宋_GB2312" w:cs="Times New Roman"/>
          <w:bCs/>
          <w:color w:val="auto"/>
          <w:sz w:val="32"/>
          <w:szCs w:val="32"/>
        </w:rPr>
        <w:t>饲料添加剂</w:t>
      </w:r>
      <w:r>
        <w:rPr>
          <w:rFonts w:hint="default" w:ascii="Times New Roman" w:hAnsi="Times New Roman" w:eastAsia="仿宋_GB2312" w:cs="Times New Roman"/>
          <w:bCs/>
          <w:color w:val="auto"/>
          <w:sz w:val="32"/>
          <w:szCs w:val="32"/>
        </w:rPr>
        <w:fldChar w:fldCharType="end"/>
      </w:r>
      <w:r>
        <w:rPr>
          <w:rFonts w:hint="default" w:ascii="Times New Roman" w:hAnsi="Times New Roman" w:eastAsia="仿宋_GB2312" w:cs="Times New Roman"/>
          <w:bCs/>
          <w:color w:val="auto"/>
          <w:sz w:val="32"/>
          <w:szCs w:val="32"/>
        </w:rPr>
        <w:t>等物质，遵循自然规律和</w:t>
      </w:r>
      <w:r>
        <w:rPr>
          <w:rFonts w:hint="default" w:ascii="Times New Roman" w:hAnsi="Times New Roman" w:eastAsia="仿宋_GB2312" w:cs="Times New Roman"/>
          <w:bCs/>
          <w:color w:val="auto"/>
          <w:sz w:val="32"/>
          <w:szCs w:val="32"/>
        </w:rPr>
        <w:fldChar w:fldCharType="begin"/>
      </w:r>
      <w:r>
        <w:rPr>
          <w:rFonts w:hint="default" w:ascii="Times New Roman" w:hAnsi="Times New Roman" w:eastAsia="仿宋_GB2312" w:cs="Times New Roman"/>
          <w:sz w:val="32"/>
          <w:szCs w:val="32"/>
        </w:rPr>
        <w:instrText xml:space="preserve">HYPERLINK "https://baike.baidu.com/item/%E7%94%9F%E6%80%81%E5%AD%A6%E5%8E%9F%E7%90%86"</w:instrText>
      </w:r>
      <w:r>
        <w:rPr>
          <w:rFonts w:hint="default" w:ascii="Times New Roman" w:hAnsi="Times New Roman" w:eastAsia="仿宋_GB2312" w:cs="Times New Roman"/>
          <w:bCs/>
          <w:color w:val="auto"/>
          <w:sz w:val="32"/>
          <w:szCs w:val="32"/>
        </w:rPr>
        <w:fldChar w:fldCharType="separate"/>
      </w:r>
      <w:r>
        <w:rPr>
          <w:rFonts w:hint="default" w:ascii="Times New Roman" w:hAnsi="Times New Roman" w:eastAsia="仿宋_GB2312" w:cs="Times New Roman"/>
          <w:bCs/>
          <w:color w:val="auto"/>
          <w:sz w:val="32"/>
          <w:szCs w:val="32"/>
        </w:rPr>
        <w:t>生态学原理</w:t>
      </w:r>
      <w:r>
        <w:rPr>
          <w:rFonts w:hint="default" w:ascii="Times New Roman" w:hAnsi="Times New Roman" w:eastAsia="仿宋_GB2312" w:cs="Times New Roman"/>
          <w:bCs/>
          <w:color w:val="auto"/>
          <w:sz w:val="32"/>
          <w:szCs w:val="32"/>
        </w:rPr>
        <w:fldChar w:fldCharType="end"/>
      </w:r>
      <w:r>
        <w:rPr>
          <w:rFonts w:hint="default" w:ascii="Times New Roman" w:hAnsi="Times New Roman" w:eastAsia="仿宋_GB2312" w:cs="Times New Roman"/>
          <w:bCs/>
          <w:color w:val="auto"/>
          <w:sz w:val="32"/>
          <w:szCs w:val="32"/>
        </w:rPr>
        <w:t>，协调种植业和养殖业的平衡，采用一系列可持续发展的</w:t>
      </w:r>
      <w:r>
        <w:rPr>
          <w:rFonts w:hint="default" w:ascii="Times New Roman" w:hAnsi="Times New Roman" w:eastAsia="仿宋_GB2312" w:cs="Times New Roman"/>
          <w:bCs/>
          <w:color w:val="auto"/>
          <w:sz w:val="32"/>
          <w:szCs w:val="32"/>
        </w:rPr>
        <w:fldChar w:fldCharType="begin"/>
      </w:r>
      <w:r>
        <w:rPr>
          <w:rFonts w:hint="default" w:ascii="Times New Roman" w:hAnsi="Times New Roman" w:eastAsia="仿宋_GB2312" w:cs="Times New Roman"/>
          <w:sz w:val="32"/>
          <w:szCs w:val="32"/>
        </w:rPr>
        <w:instrText xml:space="preserve">HYPERLINK "https://baike.baidu.com/item/%E5%86%9C%E4%B8%9A%E6%8A%80%E6%9C%AF"</w:instrText>
      </w:r>
      <w:r>
        <w:rPr>
          <w:rFonts w:hint="default" w:ascii="Times New Roman" w:hAnsi="Times New Roman" w:eastAsia="仿宋_GB2312" w:cs="Times New Roman"/>
          <w:bCs/>
          <w:color w:val="auto"/>
          <w:sz w:val="32"/>
          <w:szCs w:val="32"/>
        </w:rPr>
        <w:fldChar w:fldCharType="separate"/>
      </w:r>
      <w:r>
        <w:rPr>
          <w:rFonts w:hint="default" w:ascii="Times New Roman" w:hAnsi="Times New Roman" w:eastAsia="仿宋_GB2312" w:cs="Times New Roman"/>
          <w:bCs/>
          <w:color w:val="auto"/>
          <w:sz w:val="32"/>
          <w:szCs w:val="32"/>
        </w:rPr>
        <w:t>农业技术</w:t>
      </w:r>
      <w:r>
        <w:rPr>
          <w:rFonts w:hint="default" w:ascii="Times New Roman" w:hAnsi="Times New Roman" w:eastAsia="仿宋_GB2312" w:cs="Times New Roman"/>
          <w:bCs/>
          <w:color w:val="auto"/>
          <w:sz w:val="32"/>
          <w:szCs w:val="32"/>
        </w:rPr>
        <w:fldChar w:fldCharType="end"/>
      </w:r>
      <w:r>
        <w:rPr>
          <w:rFonts w:hint="default" w:ascii="Times New Roman" w:hAnsi="Times New Roman" w:eastAsia="仿宋_GB2312" w:cs="Times New Roman"/>
          <w:bCs/>
          <w:color w:val="auto"/>
          <w:sz w:val="32"/>
          <w:szCs w:val="32"/>
        </w:rPr>
        <w:t>以维持持续稳定的农业生产体系的一种</w:t>
      </w:r>
      <w:r>
        <w:rPr>
          <w:rFonts w:hint="default" w:ascii="Times New Roman" w:hAnsi="Times New Roman" w:eastAsia="仿宋_GB2312" w:cs="Times New Roman"/>
          <w:bCs/>
          <w:color w:val="auto"/>
          <w:sz w:val="32"/>
          <w:szCs w:val="32"/>
        </w:rPr>
        <w:fldChar w:fldCharType="begin"/>
      </w:r>
      <w:r>
        <w:rPr>
          <w:rFonts w:hint="default" w:ascii="Times New Roman" w:hAnsi="Times New Roman" w:eastAsia="仿宋_GB2312" w:cs="Times New Roman"/>
          <w:sz w:val="32"/>
          <w:szCs w:val="32"/>
        </w:rPr>
        <w:instrText xml:space="preserve">HYPERLINK "https://baike.baidu.com/item/%E5%86%9C%E4%B8%9A%E7%94%9F%E4%BA%A7%E6%96%B9%E5%BC%8F"</w:instrText>
      </w:r>
      <w:r>
        <w:rPr>
          <w:rFonts w:hint="default" w:ascii="Times New Roman" w:hAnsi="Times New Roman" w:eastAsia="仿宋_GB2312" w:cs="Times New Roman"/>
          <w:bCs/>
          <w:color w:val="auto"/>
          <w:sz w:val="32"/>
          <w:szCs w:val="32"/>
        </w:rPr>
        <w:fldChar w:fldCharType="separate"/>
      </w:r>
      <w:r>
        <w:rPr>
          <w:rFonts w:hint="default" w:ascii="Times New Roman" w:hAnsi="Times New Roman" w:eastAsia="仿宋_GB2312" w:cs="Times New Roman"/>
          <w:bCs/>
          <w:color w:val="auto"/>
          <w:sz w:val="32"/>
          <w:szCs w:val="32"/>
        </w:rPr>
        <w:t>农业生产方式</w:t>
      </w:r>
      <w:r>
        <w:rPr>
          <w:rFonts w:hint="default" w:ascii="Times New Roman" w:hAnsi="Times New Roman" w:eastAsia="仿宋_GB2312" w:cs="Times New Roman"/>
          <w:bCs/>
          <w:color w:val="auto"/>
          <w:sz w:val="32"/>
          <w:szCs w:val="32"/>
        </w:rPr>
        <w:fldChar w:fldCharType="end"/>
      </w:r>
      <w:r>
        <w:rPr>
          <w:rFonts w:hint="default" w:ascii="Times New Roman" w:hAnsi="Times New Roman" w:eastAsia="仿宋_GB2312" w:cs="Times New Roman"/>
          <w:bCs/>
          <w:color w:val="auto"/>
          <w:sz w:val="32"/>
          <w:szCs w:val="32"/>
        </w:rPr>
        <w:t>。</w:t>
      </w:r>
    </w:p>
    <w:p>
      <w:pPr>
        <w:pStyle w:val="29"/>
        <w:spacing w:line="560" w:lineRule="exact"/>
        <w:ind w:firstLine="643" w:firstLineChars="200"/>
        <w:jc w:val="both"/>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lang w:val="en-US" w:eastAsia="zh-CN" w:bidi="ar-SA"/>
        </w:rPr>
        <w:t>5.第六产业。</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第六产业</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概念最早是日本农业学者今村奈良臣在20世纪90年代提出的，也称</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六次产业</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，与我国一直提倡的让农业</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接二连三</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内涵一致，即鼓励农户搞多种经营，延长产业链条，不仅种植农作物（第一产业），而且从事农产品加工（第二产业）与流通、销售农产品及其加工产品（第三产业），以获得更多的增值价值，为农业和农村的可持续发展、农民增收开辟光明前景。由于1、2、3之和、之积均等于6，因此称之为</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第六产业</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。后来，今村奈良臣进一步强调，</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第六产业</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是第一、第二、第三产业的乘积，</w:t>
      </w:r>
      <w:r>
        <w:rPr>
          <w:rFonts w:hint="default" w:ascii="Times New Roman" w:hAnsi="Times New Roman" w:eastAsia="仿宋_GB2312" w:cs="Times New Roman"/>
          <w:b/>
          <w:bCs w:val="0"/>
          <w:color w:val="auto"/>
          <w:kern w:val="2"/>
          <w:sz w:val="32"/>
          <w:szCs w:val="32"/>
        </w:rPr>
        <w:t>意在强调农村一二三产业的融合发展</w:t>
      </w:r>
      <w:r>
        <w:rPr>
          <w:rFonts w:hint="default" w:ascii="Times New Roman" w:hAnsi="Times New Roman" w:eastAsia="仿宋_GB2312" w:cs="Times New Roman"/>
          <w:bCs/>
          <w:color w:val="auto"/>
          <w:kern w:val="2"/>
          <w:sz w:val="32"/>
          <w:szCs w:val="32"/>
        </w:rPr>
        <w:t>，基于产业链延伸和产业范围拓展，推进农村一二三产业之间的整合和链接。</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第六产业</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也就是真正的农业现代化，核心在于</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一体化</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和</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融合</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，其本质是一、二、三产业相互融合，成为一体；将农业变成综合产业，把产加销融为一体，提高流通效率，实现产品增值，从整体上提高包括特产在内的农业经济效益。</w:t>
      </w:r>
    </w:p>
    <w:p>
      <w:pPr>
        <w:pStyle w:val="29"/>
        <w:spacing w:line="560" w:lineRule="exact"/>
        <w:ind w:firstLine="643" w:firstLineChars="200"/>
        <w:jc w:val="both"/>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lang w:val="en-US" w:eastAsia="zh-CN" w:bidi="ar-SA"/>
        </w:rPr>
        <w:t>6.数字农业。</w:t>
      </w:r>
      <w:r>
        <w:rPr>
          <w:rFonts w:hint="default" w:ascii="Times New Roman" w:hAnsi="Times New Roman" w:eastAsia="仿宋_GB2312" w:cs="Times New Roman"/>
          <w:bCs/>
          <w:color w:val="auto"/>
          <w:kern w:val="2"/>
          <w:sz w:val="32"/>
          <w:szCs w:val="32"/>
        </w:rPr>
        <w:t>是指将</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"https://baike.baidu.com/item/%E9%81%A5%E6%84%9F/1240667"</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遥感</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"https://baike.baidu.com/item/%E5%9C%B0%E7%90%86%E4%BF%A1%E6%81%AF%E7%B3%BB%E7%BB%9F/171830"</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地理信息系统</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"https://baike.baidu.com/item/%E5%85%A8%E7%90%83%E5%AE%9A%E4%BD%8D%E7%B3%BB%E7%BB%9F/1240960"</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全球定位系统</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"https://baike.baidu.com/item/%E8%AE%A1%E7%AE%97%E6%9C%BA%E6%8A%80%E6%9C%AF/1127562"</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计算机技术</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、通信和网络技术、</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"https://baike.baidu.com/item/%E8%87%AA%E5%8A%A8%E5%8C%96%E6%8A%80%E6%9C%AF/2675223"</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自动化技术</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等高新技术与地理学、农学、生态学、植物生理学、土壤学等基础学科有机地结合起来，实现在农业生产过程中对农作物、土壤从宏观到微观的实时监测，以实现对</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"https://baike.baidu.com/item/%E5%86%9C%E4%BD%9C%E7%89%A9/2868861"</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农作物</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生长、发育状况、病虫害、水肥状况以及相应的环境进行定期信息获取，生成动态空间信息系统，对农业生产中的现象、过程进行模拟，达到合理利用农业资源，降低生产成本，改善生态环境，提高农作物产品和质量的目的。数字农业是将信息作为农业生产要素，用</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"https://baike.baidu.com/item/%E7%8E%B0%E4%BB%A3%E4%BF%A1%E6%81%AF%E6%8A%80%E6%9C%AF/2426261"</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现代信息技术</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对农业对象、环境和全过程进行可视化表达、数字化设计、信息化管理的现代农业。</w:t>
      </w:r>
    </w:p>
    <w:p>
      <w:pPr>
        <w:pStyle w:val="29"/>
        <w:spacing w:line="560" w:lineRule="exact"/>
        <w:ind w:firstLine="643" w:firstLineChars="200"/>
        <w:jc w:val="both"/>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color w:val="auto"/>
          <w:kern w:val="2"/>
          <w:sz w:val="32"/>
          <w:szCs w:val="32"/>
          <w:lang w:val="en-US" w:eastAsia="zh-CN" w:bidi="ar-SA"/>
        </w:rPr>
        <w:t>7.创意农业。</w:t>
      </w:r>
      <w:r>
        <w:rPr>
          <w:rFonts w:hint="default" w:ascii="Times New Roman" w:hAnsi="Times New Roman" w:eastAsia="仿宋_GB2312" w:cs="Times New Roman"/>
          <w:bCs/>
          <w:color w:val="auto"/>
          <w:kern w:val="2"/>
          <w:sz w:val="32"/>
          <w:szCs w:val="32"/>
        </w:rPr>
        <w:t>起源于20世纪90年代后期，是指有效地将科技和人文要素融入农业生产，进一步拓展农业功能、整合资源，把传统农业发展</w:t>
      </w:r>
      <w:r>
        <w:rPr>
          <w:rFonts w:hint="default" w:ascii="Times New Roman" w:hAnsi="Times New Roman" w:eastAsia="仿宋_GB2312" w:cs="Times New Roman"/>
          <w:bCs/>
          <w:color w:val="auto"/>
          <w:kern w:val="2"/>
          <w:sz w:val="32"/>
          <w:szCs w:val="32"/>
          <w:lang w:eastAsia="zh-CN"/>
        </w:rPr>
        <w:t>融</w:t>
      </w:r>
      <w:r>
        <w:rPr>
          <w:rFonts w:hint="default" w:ascii="Times New Roman" w:hAnsi="Times New Roman" w:eastAsia="仿宋_GB2312" w:cs="Times New Roman"/>
          <w:bCs/>
          <w:color w:val="auto"/>
          <w:kern w:val="2"/>
          <w:sz w:val="32"/>
          <w:szCs w:val="32"/>
        </w:rPr>
        <w:t>为生产、生活、生态为一体的现代农业。有</w:t>
      </w:r>
      <w:r>
        <w:rPr>
          <w:rFonts w:hint="default" w:ascii="Times New Roman" w:hAnsi="Times New Roman" w:eastAsia="仿宋_GB2312" w:cs="Times New Roman"/>
          <w:b/>
          <w:color w:val="auto"/>
          <w:kern w:val="2"/>
          <w:sz w:val="32"/>
          <w:szCs w:val="32"/>
          <w:lang w:eastAsia="zh-CN"/>
        </w:rPr>
        <w:t>“</w:t>
      </w:r>
      <w:r>
        <w:rPr>
          <w:rFonts w:hint="default" w:ascii="Times New Roman" w:hAnsi="Times New Roman" w:eastAsia="仿宋_GB2312" w:cs="Times New Roman"/>
          <w:b/>
          <w:color w:val="auto"/>
          <w:kern w:val="2"/>
          <w:sz w:val="32"/>
          <w:szCs w:val="32"/>
        </w:rPr>
        <w:t>四大层次</w:t>
      </w:r>
      <w:r>
        <w:rPr>
          <w:rFonts w:hint="default" w:ascii="Times New Roman" w:hAnsi="Times New Roman" w:eastAsia="仿宋_GB2312" w:cs="Times New Roman"/>
          <w:b/>
          <w:color w:val="auto"/>
          <w:kern w:val="2"/>
          <w:sz w:val="32"/>
          <w:szCs w:val="32"/>
          <w:lang w:eastAsia="zh-CN"/>
        </w:rPr>
        <w:t>”</w:t>
      </w:r>
      <w:r>
        <w:rPr>
          <w:rFonts w:hint="default" w:ascii="Times New Roman" w:hAnsi="Times New Roman" w:eastAsia="仿宋_GB2312" w:cs="Times New Roman"/>
          <w:bCs/>
          <w:color w:val="auto"/>
          <w:kern w:val="2"/>
          <w:sz w:val="32"/>
          <w:szCs w:val="32"/>
        </w:rPr>
        <w:t>：</w:t>
      </w:r>
      <w:r>
        <w:rPr>
          <w:rFonts w:hint="default" w:ascii="Times New Roman" w:hAnsi="Times New Roman" w:eastAsia="仿宋_GB2312" w:cs="Times New Roman"/>
          <w:b/>
          <w:bCs w:val="0"/>
          <w:color w:val="auto"/>
          <w:kern w:val="2"/>
          <w:sz w:val="32"/>
          <w:szCs w:val="32"/>
        </w:rPr>
        <w:t>一是</w:t>
      </w:r>
      <w:r>
        <w:rPr>
          <w:rFonts w:hint="default" w:ascii="Times New Roman" w:hAnsi="Times New Roman" w:eastAsia="仿宋_GB2312" w:cs="Times New Roman"/>
          <w:b/>
          <w:color w:val="auto"/>
          <w:kern w:val="2"/>
          <w:sz w:val="32"/>
          <w:szCs w:val="32"/>
        </w:rPr>
        <w:t>创意产品</w:t>
      </w:r>
      <w:r>
        <w:rPr>
          <w:rFonts w:hint="default" w:ascii="Times New Roman" w:hAnsi="Times New Roman" w:eastAsia="仿宋_GB2312" w:cs="Times New Roman"/>
          <w:bCs/>
          <w:color w:val="auto"/>
          <w:kern w:val="2"/>
          <w:sz w:val="32"/>
          <w:szCs w:val="32"/>
        </w:rPr>
        <w:t>，其打造目标是，让农产品由实用功能型消费向文化审美型消费转变，实现农产品的多重功能；其重点包括农产品的形态加工与农作物的科技改造。</w:t>
      </w:r>
      <w:r>
        <w:rPr>
          <w:rFonts w:hint="default" w:ascii="Times New Roman" w:hAnsi="Times New Roman" w:eastAsia="仿宋_GB2312" w:cs="Times New Roman"/>
          <w:b/>
          <w:bCs w:val="0"/>
          <w:color w:val="auto"/>
          <w:kern w:val="2"/>
          <w:sz w:val="32"/>
          <w:szCs w:val="32"/>
        </w:rPr>
        <w:t>二是</w:t>
      </w:r>
      <w:r>
        <w:rPr>
          <w:rFonts w:hint="default" w:ascii="Times New Roman" w:hAnsi="Times New Roman" w:eastAsia="仿宋_GB2312" w:cs="Times New Roman"/>
          <w:b/>
          <w:color w:val="auto"/>
          <w:kern w:val="2"/>
          <w:sz w:val="32"/>
          <w:szCs w:val="32"/>
        </w:rPr>
        <w:t>创意景观</w:t>
      </w:r>
      <w:r>
        <w:rPr>
          <w:rFonts w:hint="default" w:ascii="Times New Roman" w:hAnsi="Times New Roman" w:eastAsia="仿宋_GB2312" w:cs="Times New Roman"/>
          <w:bCs/>
          <w:color w:val="auto"/>
          <w:kern w:val="2"/>
          <w:sz w:val="32"/>
          <w:szCs w:val="32"/>
        </w:rPr>
        <w:t>，在于营造创意化的自然与人文环境，重点针对农业田园与民居庭院。</w:t>
      </w:r>
      <w:r>
        <w:rPr>
          <w:rFonts w:hint="default" w:ascii="Times New Roman" w:hAnsi="Times New Roman" w:eastAsia="仿宋_GB2312" w:cs="Times New Roman"/>
          <w:b/>
          <w:bCs w:val="0"/>
          <w:color w:val="auto"/>
          <w:kern w:val="2"/>
          <w:sz w:val="32"/>
          <w:szCs w:val="32"/>
        </w:rPr>
        <w:t>三是</w:t>
      </w:r>
      <w:r>
        <w:rPr>
          <w:rFonts w:hint="default" w:ascii="Times New Roman" w:hAnsi="Times New Roman" w:eastAsia="仿宋_GB2312" w:cs="Times New Roman"/>
          <w:b/>
          <w:color w:val="auto"/>
          <w:kern w:val="2"/>
          <w:sz w:val="32"/>
          <w:szCs w:val="32"/>
        </w:rPr>
        <w:t>创意民俗</w:t>
      </w:r>
      <w:r>
        <w:rPr>
          <w:rFonts w:hint="default" w:ascii="Times New Roman" w:hAnsi="Times New Roman" w:eastAsia="仿宋_GB2312" w:cs="Times New Roman"/>
          <w:bCs/>
          <w:color w:val="auto"/>
          <w:kern w:val="2"/>
          <w:sz w:val="32"/>
          <w:szCs w:val="32"/>
        </w:rPr>
        <w:t>，秉持</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创造未来的遗产</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理念，采取既</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严肃地传承</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又</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合理的创新</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态度，把时代文化与流行元素，融入到民俗文化之中，创新新的民俗文化，让民俗伴随时代的变迁，活化发展。</w:t>
      </w:r>
      <w:r>
        <w:rPr>
          <w:rFonts w:hint="default" w:ascii="Times New Roman" w:hAnsi="Times New Roman" w:eastAsia="仿宋_GB2312" w:cs="Times New Roman"/>
          <w:b/>
          <w:bCs w:val="0"/>
          <w:color w:val="auto"/>
          <w:kern w:val="2"/>
          <w:sz w:val="32"/>
          <w:szCs w:val="32"/>
        </w:rPr>
        <w:t>四是</w:t>
      </w:r>
      <w:r>
        <w:rPr>
          <w:rFonts w:hint="default" w:ascii="Times New Roman" w:hAnsi="Times New Roman" w:eastAsia="仿宋_GB2312" w:cs="Times New Roman"/>
          <w:b/>
          <w:color w:val="auto"/>
          <w:kern w:val="2"/>
          <w:sz w:val="32"/>
          <w:szCs w:val="32"/>
        </w:rPr>
        <w:t>创意生活</w:t>
      </w:r>
      <w:r>
        <w:rPr>
          <w:rFonts w:hint="default" w:ascii="Times New Roman" w:hAnsi="Times New Roman" w:eastAsia="仿宋_GB2312" w:cs="Times New Roman"/>
          <w:bCs/>
          <w:color w:val="auto"/>
          <w:kern w:val="2"/>
          <w:sz w:val="32"/>
          <w:szCs w:val="32"/>
        </w:rPr>
        <w:t>，是综合了农产品、农业创意与民俗的创意，通过凝练乡村生活的主题理念，发展乡村创意产业，实现对传统乡村文化的改进与产业结构的调整，实现对乡村的创意改进与创新建设</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最终达到现代新村建设与可持续发展的目标。</w:t>
      </w:r>
    </w:p>
    <w:p>
      <w:pPr>
        <w:pStyle w:val="29"/>
        <w:spacing w:line="560" w:lineRule="exact"/>
        <w:ind w:firstLine="643" w:firstLineChars="200"/>
        <w:jc w:val="both"/>
        <w:rPr>
          <w:rFonts w:hint="default" w:ascii="Times New Roman" w:hAnsi="Times New Roman" w:eastAsia="仿宋_GB2312" w:cs="Times New Roman"/>
          <w:bCs/>
          <w:color w:val="auto"/>
          <w:kern w:val="2"/>
          <w:sz w:val="28"/>
          <w:szCs w:val="28"/>
        </w:rPr>
      </w:pPr>
      <w:r>
        <w:rPr>
          <w:rFonts w:hint="default" w:ascii="Times New Roman" w:hAnsi="Times New Roman" w:eastAsia="仿宋_GB2312" w:cs="Times New Roman"/>
          <w:b/>
          <w:color w:val="auto"/>
          <w:kern w:val="2"/>
          <w:sz w:val="32"/>
          <w:szCs w:val="32"/>
        </w:rPr>
        <w:t>国外发达国家创意农业模式：法国</w:t>
      </w:r>
      <w:r>
        <w:rPr>
          <w:rFonts w:hint="default" w:ascii="Times New Roman" w:hAnsi="Times New Roman" w:eastAsia="仿宋_GB2312" w:cs="Times New Roman"/>
          <w:bCs/>
          <w:color w:val="auto"/>
          <w:kern w:val="2"/>
          <w:sz w:val="32"/>
          <w:szCs w:val="32"/>
        </w:rPr>
        <w:t>创意农业属于环保生态功能为主的创意农业，是以</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"https://baike.baidu.com/item/%E5%A4%A7%E7%94%B0%E4%BD%9C%E7%89%A9/4381024"</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大田作物</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为主，采取较大规模的专业化农场生产，逐步减少小型农场。</w:t>
      </w:r>
      <w:r>
        <w:rPr>
          <w:rFonts w:hint="default" w:ascii="Times New Roman" w:hAnsi="Times New Roman" w:eastAsia="仿宋_GB2312" w:cs="Times New Roman"/>
          <w:b/>
          <w:color w:val="auto"/>
          <w:kern w:val="2"/>
          <w:sz w:val="32"/>
          <w:szCs w:val="32"/>
        </w:rPr>
        <w:t>德国</w:t>
      </w:r>
      <w:r>
        <w:rPr>
          <w:rFonts w:hint="default" w:ascii="Times New Roman" w:hAnsi="Times New Roman" w:eastAsia="仿宋_GB2312" w:cs="Times New Roman"/>
          <w:bCs/>
          <w:color w:val="auto"/>
          <w:kern w:val="2"/>
          <w:sz w:val="32"/>
          <w:szCs w:val="32"/>
        </w:rPr>
        <w:t>创意农业属于生活社会功能性的创意农业，主要形式是</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"https://baike.baidu.com/item/%E4%BC%91%E9%97%B2%E5%86%9C%E5%BA%84"</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休闲农庄</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和</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"https://baike.baidu.com/item/%E5%B8%82%E6%B0%91%E5%86%9C%E5%9B%AD"</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市民农园</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。市民农园是利用城市地区或近郊区之农地、规划成小块出租给市民收取租金，承租市民可在农地上种花、草、蔬菜果树等，让市民享受耕种与体验田园生活以及接近大自然的乐趣。</w:t>
      </w:r>
      <w:r>
        <w:rPr>
          <w:rFonts w:hint="default" w:ascii="Times New Roman" w:hAnsi="Times New Roman" w:eastAsia="仿宋_GB2312" w:cs="Times New Roman"/>
          <w:b/>
          <w:color w:val="auto"/>
          <w:kern w:val="2"/>
          <w:sz w:val="32"/>
          <w:szCs w:val="32"/>
        </w:rPr>
        <w:t>荷兰</w:t>
      </w:r>
      <w:r>
        <w:rPr>
          <w:rFonts w:hint="default" w:ascii="Times New Roman" w:hAnsi="Times New Roman" w:eastAsia="仿宋_GB2312" w:cs="Times New Roman"/>
          <w:bCs/>
          <w:color w:val="auto"/>
          <w:kern w:val="2"/>
          <w:sz w:val="32"/>
          <w:szCs w:val="32"/>
        </w:rPr>
        <w:t>创意农业是以</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"https://baike.baidu.com/item/%E5%88%9B%E6%B1%87"</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创汇</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经济功能为主的创意农业。重点发展具有设施园艺技术辐射、园艺产品集散、农业生态观光功能和地区专业分工的创意农业生产体系。</w:t>
      </w:r>
      <w:r>
        <w:rPr>
          <w:rFonts w:hint="default" w:ascii="Times New Roman" w:hAnsi="Times New Roman" w:eastAsia="仿宋_GB2312" w:cs="Times New Roman"/>
          <w:b/>
          <w:color w:val="auto"/>
          <w:kern w:val="2"/>
          <w:sz w:val="32"/>
          <w:szCs w:val="32"/>
        </w:rPr>
        <w:t>日本</w:t>
      </w:r>
      <w:r>
        <w:rPr>
          <w:rFonts w:hint="default" w:ascii="Times New Roman" w:hAnsi="Times New Roman" w:eastAsia="仿宋_GB2312" w:cs="Times New Roman"/>
          <w:bCs/>
          <w:color w:val="auto"/>
          <w:kern w:val="2"/>
          <w:sz w:val="32"/>
          <w:szCs w:val="32"/>
        </w:rPr>
        <w:t>创意农业发展重点是</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"https://baike.baidu.com/item/%E8%AE%BE%E6%96%BD%E5%86%9C%E4%B8%9A"</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设施农业</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、加工农业、观光</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"https://baike.baidu.com/item/%E4%BC%91%E9%97%B2%E5%86%9C%E4%B8%9A"</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休闲农业</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、多样化农业，属于综合功能的创意农业，重点开发农业的绿色、环保、体验、休闲和示范功能，建设以</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"https://baike.baidu.com/item/%E9%AB%98%E6%96%B0%E6%8A%80%E6%9C%AF%E4%BA%A7%E4%B8%9A/7246934"</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高新技术产业</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和镶嵌式多功能的</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绿岛农业</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为两大特征。</w:t>
      </w:r>
      <w:r>
        <w:rPr>
          <w:rFonts w:hint="default" w:ascii="Times New Roman" w:hAnsi="Times New Roman" w:eastAsia="仿宋_GB2312" w:cs="Times New Roman"/>
          <w:b/>
          <w:color w:val="auto"/>
          <w:kern w:val="2"/>
          <w:sz w:val="32"/>
          <w:szCs w:val="32"/>
        </w:rPr>
        <w:t>美国</w:t>
      </w:r>
      <w:r>
        <w:rPr>
          <w:rFonts w:hint="default" w:ascii="Times New Roman" w:hAnsi="Times New Roman" w:eastAsia="仿宋_GB2312" w:cs="Times New Roman"/>
          <w:bCs/>
          <w:color w:val="auto"/>
          <w:kern w:val="2"/>
          <w:sz w:val="32"/>
          <w:szCs w:val="32"/>
        </w:rPr>
        <w:t>创意农业</w:t>
      </w:r>
      <w:r>
        <w:rPr>
          <w:rFonts w:hint="default" w:ascii="Times New Roman" w:hAnsi="Times New Roman" w:eastAsia="仿宋_GB2312" w:cs="Times New Roman"/>
          <w:b/>
          <w:bCs w:val="0"/>
          <w:color w:val="auto"/>
          <w:kern w:val="2"/>
          <w:sz w:val="32"/>
          <w:szCs w:val="32"/>
        </w:rPr>
        <w:t>一是</w:t>
      </w:r>
      <w:r>
        <w:rPr>
          <w:rFonts w:hint="default" w:ascii="Times New Roman" w:hAnsi="Times New Roman" w:eastAsia="仿宋_GB2312" w:cs="Times New Roman"/>
          <w:bCs/>
          <w:color w:val="auto"/>
          <w:kern w:val="2"/>
          <w:sz w:val="32"/>
          <w:szCs w:val="32"/>
        </w:rPr>
        <w:t>重视教育</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 xml:space="preserve">积极提高国民农业创意性； </w:t>
      </w:r>
      <w:r>
        <w:rPr>
          <w:rFonts w:hint="default" w:ascii="Times New Roman" w:hAnsi="Times New Roman" w:eastAsia="仿宋_GB2312" w:cs="Times New Roman"/>
          <w:b/>
          <w:bCs w:val="0"/>
          <w:color w:val="auto"/>
          <w:kern w:val="2"/>
          <w:sz w:val="32"/>
          <w:szCs w:val="32"/>
        </w:rPr>
        <w:t>二是</w:t>
      </w:r>
      <w:r>
        <w:rPr>
          <w:rFonts w:hint="default" w:ascii="Times New Roman" w:hAnsi="Times New Roman" w:eastAsia="仿宋_GB2312" w:cs="Times New Roman"/>
          <w:bCs/>
          <w:color w:val="auto"/>
          <w:kern w:val="2"/>
          <w:sz w:val="32"/>
          <w:szCs w:val="32"/>
        </w:rPr>
        <w:t>拥有</w:t>
      </w:r>
      <w:r>
        <w:rPr>
          <w:rFonts w:hint="default" w:ascii="Times New Roman" w:hAnsi="Times New Roman" w:eastAsia="仿宋_GB2312" w:cs="Times New Roman"/>
          <w:bCs/>
          <w:color w:val="auto"/>
          <w:kern w:val="2"/>
          <w:sz w:val="32"/>
          <w:szCs w:val="32"/>
        </w:rPr>
        <w:fldChar w:fldCharType="begin"/>
      </w:r>
      <w:r>
        <w:rPr>
          <w:rFonts w:hint="default" w:ascii="Times New Roman" w:hAnsi="Times New Roman" w:eastAsia="仿宋_GB2312" w:cs="Times New Roman"/>
          <w:sz w:val="32"/>
          <w:szCs w:val="32"/>
        </w:rPr>
        <w:instrText xml:space="preserve">HYPERLINK "https://baike.baidu.com/item/%E9%AB%98%E7%A7%91%E6%8A%80"</w:instrText>
      </w:r>
      <w:r>
        <w:rPr>
          <w:rFonts w:hint="default" w:ascii="Times New Roman" w:hAnsi="Times New Roman" w:eastAsia="仿宋_GB2312" w:cs="Times New Roman"/>
          <w:bCs/>
          <w:color w:val="auto"/>
          <w:kern w:val="2"/>
          <w:sz w:val="32"/>
          <w:szCs w:val="32"/>
        </w:rPr>
        <w:fldChar w:fldCharType="separate"/>
      </w:r>
      <w:r>
        <w:rPr>
          <w:rFonts w:hint="default" w:ascii="Times New Roman" w:hAnsi="Times New Roman" w:eastAsia="仿宋_GB2312" w:cs="Times New Roman"/>
          <w:bCs/>
          <w:color w:val="auto"/>
          <w:kern w:val="2"/>
          <w:sz w:val="32"/>
          <w:szCs w:val="32"/>
        </w:rPr>
        <w:t>高科技</w:t>
      </w:r>
      <w:r>
        <w:rPr>
          <w:rFonts w:hint="default" w:ascii="Times New Roman" w:hAnsi="Times New Roman" w:eastAsia="仿宋_GB2312" w:cs="Times New Roman"/>
          <w:bCs/>
          <w:color w:val="auto"/>
          <w:kern w:val="2"/>
          <w:sz w:val="32"/>
          <w:szCs w:val="32"/>
        </w:rPr>
        <w:fldChar w:fldCharType="end"/>
      </w:r>
      <w:r>
        <w:rPr>
          <w:rFonts w:hint="default" w:ascii="Times New Roman" w:hAnsi="Times New Roman" w:eastAsia="仿宋_GB2312" w:cs="Times New Roman"/>
          <w:bCs/>
          <w:color w:val="auto"/>
          <w:kern w:val="2"/>
          <w:sz w:val="32"/>
          <w:szCs w:val="32"/>
        </w:rPr>
        <w:t>生产工具，并利用高新技术建立电子信息网络</w:t>
      </w:r>
      <w:r>
        <w:rPr>
          <w:rFonts w:hint="default" w:ascii="Times New Roman" w:hAnsi="Times New Roman" w:eastAsia="仿宋_GB2312" w:cs="Times New Roman"/>
          <w:bCs/>
          <w:color w:val="auto"/>
          <w:kern w:val="2"/>
          <w:sz w:val="28"/>
          <w:szCs w:val="28"/>
        </w:rPr>
        <w:t>。</w:t>
      </w:r>
    </w:p>
    <w:p>
      <w:pPr>
        <w:pStyle w:val="29"/>
        <w:spacing w:line="560" w:lineRule="exact"/>
        <w:ind w:firstLine="560" w:firstLineChars="200"/>
        <w:jc w:val="both"/>
        <w:rPr>
          <w:rFonts w:hint="default" w:ascii="Times New Roman" w:hAnsi="Times New Roman" w:eastAsia="仿宋_GB2312" w:cs="Times New Roman"/>
          <w:bCs/>
          <w:color w:val="auto"/>
          <w:kern w:val="2"/>
          <w:sz w:val="28"/>
          <w:szCs w:val="28"/>
        </w:rPr>
      </w:pPr>
    </w:p>
    <w:p>
      <w:pPr>
        <w:pStyle w:val="27"/>
        <w:keepNext w:val="0"/>
        <w:keepLines w:val="0"/>
        <w:pageBreakBefore w:val="0"/>
        <w:widowControl w:val="0"/>
        <w:overflowPunct/>
        <w:bidi w:val="0"/>
        <w:ind w:left="0" w:leftChars="0" w:firstLine="0" w:firstLineChars="0"/>
        <w:rPr>
          <w:rFonts w:hint="eastAsia" w:ascii="Times New Roman" w:hAnsi="Times New Roman"/>
        </w:rPr>
      </w:pPr>
    </w:p>
    <w:p>
      <w:pPr>
        <w:pStyle w:val="27"/>
        <w:keepNext w:val="0"/>
        <w:keepLines w:val="0"/>
        <w:pageBreakBefore w:val="0"/>
        <w:widowControl w:val="0"/>
        <w:overflowPunct/>
        <w:bidi w:val="0"/>
        <w:rPr>
          <w:rFonts w:hint="eastAsia" w:ascii="Times New Roman" w:hAnsi="Times New Roman"/>
        </w:rPr>
      </w:pPr>
    </w:p>
    <w:p>
      <w:pPr>
        <w:pStyle w:val="27"/>
        <w:keepNext w:val="0"/>
        <w:keepLines w:val="0"/>
        <w:pageBreakBefore w:val="0"/>
        <w:widowControl w:val="0"/>
        <w:overflowPunct/>
        <w:bidi w:val="0"/>
        <w:rPr>
          <w:rFonts w:hint="eastAsia" w:ascii="Times New Roman" w:hAnsi="Times New Roman"/>
        </w:rPr>
      </w:pPr>
    </w:p>
    <w:p>
      <w:pPr>
        <w:pStyle w:val="27"/>
        <w:keepNext w:val="0"/>
        <w:keepLines w:val="0"/>
        <w:pageBreakBefore w:val="0"/>
        <w:widowControl w:val="0"/>
        <w:overflowPunct/>
        <w:bidi w:val="0"/>
        <w:rPr>
          <w:rFonts w:hint="eastAsia" w:ascii="Times New Roman" w:hAnsi="Times New Roman"/>
        </w:rPr>
      </w:pPr>
    </w:p>
    <w:p>
      <w:pPr>
        <w:pStyle w:val="27"/>
        <w:keepNext w:val="0"/>
        <w:keepLines w:val="0"/>
        <w:pageBreakBefore w:val="0"/>
        <w:widowControl w:val="0"/>
        <w:overflowPunct/>
        <w:bidi w:val="0"/>
        <w:rPr>
          <w:rFonts w:hint="eastAsia" w:ascii="Times New Roman" w:hAnsi="Times New Roman"/>
        </w:rPr>
      </w:pPr>
    </w:p>
    <w:p>
      <w:pPr>
        <w:pStyle w:val="27"/>
        <w:keepNext w:val="0"/>
        <w:keepLines w:val="0"/>
        <w:pageBreakBefore w:val="0"/>
        <w:widowControl w:val="0"/>
        <w:overflowPunct/>
        <w:bidi w:val="0"/>
        <w:rPr>
          <w:rFonts w:hint="eastAsia" w:ascii="Times New Roman" w:hAnsi="Times New Roman"/>
        </w:rPr>
      </w:pPr>
    </w:p>
    <w:p>
      <w:pPr>
        <w:pStyle w:val="27"/>
        <w:keepNext w:val="0"/>
        <w:keepLines w:val="0"/>
        <w:pageBreakBefore w:val="0"/>
        <w:widowControl w:val="0"/>
        <w:overflowPunct/>
        <w:bidi w:val="0"/>
        <w:rPr>
          <w:rFonts w:hint="eastAsia" w:ascii="Times New Roman" w:hAnsi="Times New Roman"/>
        </w:rPr>
      </w:pPr>
    </w:p>
    <w:p>
      <w:pPr>
        <w:pStyle w:val="27"/>
        <w:keepNext w:val="0"/>
        <w:keepLines w:val="0"/>
        <w:pageBreakBefore w:val="0"/>
        <w:widowControl w:val="0"/>
        <w:overflowPunct/>
        <w:bidi w:val="0"/>
        <w:ind w:left="0" w:leftChars="0" w:firstLine="0" w:firstLineChars="0"/>
        <w:rPr>
          <w:rFonts w:hint="eastAsia" w:ascii="Times New Roman" w:hAnsi="Times New Roman"/>
        </w:rPr>
      </w:pPr>
    </w:p>
    <w:p>
      <w:pPr>
        <w:pStyle w:val="27"/>
        <w:keepNext w:val="0"/>
        <w:keepLines w:val="0"/>
        <w:pageBreakBefore w:val="0"/>
        <w:widowControl w:val="0"/>
        <w:overflowPunct/>
        <w:bidi w:val="0"/>
        <w:rPr>
          <w:rFonts w:hint="eastAsia" w:ascii="Times New Roman" w:hAnsi="Times New Roma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sz w:val="28"/>
          <w:szCs w:val="28"/>
          <w:u w:val="none"/>
          <w:lang w:val="en-US" w:eastAsia="zh-CN"/>
        </w:rPr>
      </w:pPr>
    </w:p>
    <w:p>
      <w:pPr>
        <w:pStyle w:val="12"/>
        <w:keepNext w:val="0"/>
        <w:keepLines w:val="0"/>
        <w:pageBreakBefore w:val="0"/>
        <w:widowControl w:val="0"/>
        <w:numPr>
          <w:ilvl w:val="0"/>
          <w:numId w:val="0"/>
        </w:numPr>
        <w:overflowPunct/>
        <w:bidi w:val="0"/>
        <w:spacing w:line="530" w:lineRule="exact"/>
        <w:ind w:left="840" w:hanging="840" w:hangingChars="300"/>
        <w:jc w:val="both"/>
        <w:textAlignment w:val="baseline"/>
        <w:rPr>
          <w:rFonts w:hint="default" w:ascii="Times New Roman" w:hAnsi="Times New Roman" w:eastAsia="仿宋_GB2312" w:cs="Times New Roman"/>
          <w:bCs/>
          <w:color w:val="auto"/>
          <w:kern w:val="2"/>
          <w:sz w:val="28"/>
          <w:szCs w:val="28"/>
        </w:rPr>
      </w:pPr>
      <w:r>
        <w:rPr>
          <w:rFonts w:hint="default" w:ascii="Times New Roman" w:hAnsi="Times New Roman" w:eastAsia="仿宋_GB2312" w:cs="Times New Roman"/>
          <w:sz w:val="28"/>
          <w:szCs w:val="28"/>
          <w:u w:val="none"/>
          <w:lang w:val="en-US" w:eastAsia="zh-CN"/>
        </w:rPr>
        <w:t>抄送：县委办公室、县人大常委会办公室、县政协办公室，县纪委，县法院，县</w:t>
      </w:r>
      <w:r>
        <w:rPr>
          <w:rFonts w:hint="default" w:ascii="Times New Roman" w:hAnsi="Times New Roman" w:eastAsia="仿宋_GB2312" w:cs="Times New Roman"/>
          <w:sz w:val="28"/>
          <w:szCs w:val="28"/>
          <w:u w:val="none"/>
          <w:lang w:eastAsia="zh-CN"/>
        </w:rPr>
        <w:t>检察院，县人武部。</w:t>
      </w:r>
    </w:p>
    <w:sectPr>
      <w:footerReference r:id="rId5" w:type="default"/>
      <w:footerReference r:id="rId6" w:type="even"/>
      <w:pgSz w:w="11906" w:h="16838"/>
      <w:pgMar w:top="1757"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方正仿宋简体">
    <w:panose1 w:val="02000000000000000000"/>
    <w:charset w:val="86"/>
    <w:family w:val="auto"/>
    <w:pitch w:val="default"/>
    <w:sig w:usb0="A00002BF" w:usb1="184F6CFA" w:usb2="00000012" w:usb3="00000000" w:csb0="00040001" w:csb1="00000000"/>
  </w:font>
  <w:font w:name="PMingLiU">
    <w:altName w:val="文泉驿微米黑"/>
    <w:panose1 w:val="02020500000000000000"/>
    <w:charset w:val="88"/>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兰亭黑_GBK">
    <w:panose1 w:val="02000000000000000000"/>
    <w:charset w:val="86"/>
    <w:family w:val="auto"/>
    <w:pitch w:val="default"/>
    <w:sig w:usb0="A00002BF" w:usb1="3ACF7CFA" w:usb2="00080016" w:usb3="00000000" w:csb0="00040001" w:csb1="00000000"/>
  </w:font>
  <w:font w:name="Lucida Sans">
    <w:altName w:val="Lucida Sans Unicode"/>
    <w:panose1 w:val="020B0602030504020204"/>
    <w:charset w:val="01"/>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jc w:val="right"/>
      <w:rPr>
        <w:rFonts w:hint="default"/>
        <w:lang w:val="en-US" w:eastAsia="zh-CN"/>
      </w:rPr>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hint="eastAsia" w:ascii="宋体" w:hAnsi="宋体"/>
        <w:kern w:val="0"/>
        <w:sz w:val="28"/>
        <w:szCs w:val="28"/>
      </w:rPr>
      <w:t>4</w:t>
    </w:r>
    <w:r>
      <w:rPr>
        <w:rFonts w:hint="eastAsia"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hint="eastAsia" w:ascii="宋体" w:hAnsi="宋体"/>
        <w:kern w:val="0"/>
        <w:sz w:val="28"/>
        <w:szCs w:val="28"/>
      </w:rPr>
      <w:t>4</w:t>
    </w:r>
    <w:r>
      <w:rPr>
        <w:rFonts w:hint="eastAsia" w:ascii="宋体" w:hAnsi="宋体"/>
        <w:kern w:val="0"/>
        <w:sz w:val="28"/>
        <w:szCs w:val="28"/>
      </w:rPr>
      <w:fldChar w:fldCharType="end"/>
    </w:r>
    <w:r>
      <w:rPr>
        <w:rFonts w:hint="eastAsia"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firstLine="280" w:firstLineChars="100"/>
      <w:jc w:val="right"/>
      <w:rPr>
        <w:rFonts w:hint="default" w:eastAsia="宋体"/>
        <w:lang w:val="en-US" w:eastAsia="zh-CN"/>
      </w:rPr>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hint="eastAsia" w:ascii="宋体" w:hAnsi="宋体"/>
        <w:kern w:val="0"/>
        <w:sz w:val="28"/>
        <w:szCs w:val="28"/>
      </w:rPr>
      <w:t>4</w:t>
    </w:r>
    <w:r>
      <w:rPr>
        <w:rFonts w:hint="eastAsia" w:ascii="宋体" w:hAnsi="宋体"/>
        <w:kern w:val="0"/>
        <w:sz w:val="28"/>
        <w:szCs w:val="28"/>
      </w:rPr>
      <w:fldChar w:fldCharType="end"/>
    </w:r>
    <w:r>
      <w:rPr>
        <w:rFonts w:hint="eastAsia" w:ascii="宋体" w:hAnsi="宋体"/>
        <w:kern w:val="0"/>
        <w:sz w:val="28"/>
        <w:szCs w:val="28"/>
      </w:rPr>
      <w:t xml:space="preserve"> —</w:t>
    </w:r>
    <w:r>
      <w:rPr>
        <w:rFonts w:hint="eastAsia" w:ascii="宋体" w:hAnsi="宋体"/>
        <w:kern w:val="0"/>
        <w:sz w:val="28"/>
        <w:szCs w:val="2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hint="eastAsia" w:ascii="宋体" w:hAnsi="宋体"/>
        <w:kern w:val="0"/>
        <w:sz w:val="28"/>
        <w:szCs w:val="28"/>
      </w:rPr>
      <w:t>4</w:t>
    </w:r>
    <w:r>
      <w:rPr>
        <w:rFonts w:hint="eastAsia" w:ascii="宋体" w:hAnsi="宋体"/>
        <w:kern w:val="0"/>
        <w:sz w:val="28"/>
        <w:szCs w:val="28"/>
      </w:rPr>
      <w:fldChar w:fldCharType="end"/>
    </w:r>
    <w:r>
      <w:rPr>
        <w:rFonts w:hint="eastAsia" w:ascii="宋体" w:hAnsi="宋体"/>
        <w:kern w:val="0"/>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30"/>
      <w:lvlText w:val=""/>
      <w:lvlJc w:val="left"/>
      <w:pPr>
        <w:ind w:left="0" w:firstLine="0"/>
      </w:pPr>
      <w:rPr>
        <w:rFonts w:cs="Times New Roman"/>
      </w:rPr>
    </w:lvl>
    <w:lvl w:ilvl="5" w:tentative="0">
      <w:start w:val="0"/>
      <w:numFmt w:val="decimal"/>
      <w:lvlText w:val=""/>
      <w:lvlJc w:val="left"/>
      <w:pPr>
        <w:ind w:left="0" w:firstLine="0"/>
      </w:pPr>
      <w:rPr>
        <w:rFonts w:cs="Times New Roman"/>
      </w:rPr>
    </w:lvl>
    <w:lvl w:ilvl="6" w:tentative="0">
      <w:start w:val="0"/>
      <w:numFmt w:val="decimal"/>
      <w:lvlText w:val=""/>
      <w:lvlJc w:val="left"/>
      <w:pPr>
        <w:ind w:left="0" w:firstLine="0"/>
      </w:pPr>
      <w:rPr>
        <w:rFonts w:cs="Times New Roman"/>
      </w:rPr>
    </w:lvl>
    <w:lvl w:ilvl="7" w:tentative="0">
      <w:start w:val="0"/>
      <w:numFmt w:val="decimal"/>
      <w:lvlText w:val=""/>
      <w:lvlJc w:val="left"/>
      <w:pPr>
        <w:ind w:left="0" w:firstLine="0"/>
      </w:pPr>
      <w:rPr>
        <w:rFonts w:cs="Times New Roman"/>
      </w:rPr>
    </w:lvl>
    <w:lvl w:ilvl="8" w:tentative="0">
      <w:start w:val="0"/>
      <w:numFmt w:val="decimal"/>
      <w:lvlText w:val=""/>
      <w:lvlJc w:val="left"/>
      <w:pPr>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YmYyMTkwMTk1NWMzMGJlOGQ0Y2ZiMTBlMzQ2ZTZiOGUifQ=="/>
  </w:docVars>
  <w:rsids>
    <w:rsidRoot w:val="00000000"/>
    <w:rsid w:val="08890DCB"/>
    <w:rsid w:val="10F468BD"/>
    <w:rsid w:val="13182483"/>
    <w:rsid w:val="1B5D0B79"/>
    <w:rsid w:val="1F185E6D"/>
    <w:rsid w:val="20B6593D"/>
    <w:rsid w:val="2761446B"/>
    <w:rsid w:val="2FF45476"/>
    <w:rsid w:val="336E20A7"/>
    <w:rsid w:val="3B770157"/>
    <w:rsid w:val="47F6CDB7"/>
    <w:rsid w:val="5FB62460"/>
    <w:rsid w:val="669230E3"/>
    <w:rsid w:val="6EDFBDBE"/>
    <w:rsid w:val="771A5634"/>
    <w:rsid w:val="7BEFD515"/>
    <w:rsid w:val="7FFFC119"/>
    <w:rsid w:val="FBFB0B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6">
    <w:name w:val="heading 1"/>
    <w:basedOn w:val="1"/>
    <w:next w:val="1"/>
    <w:qFormat/>
    <w:uiPriority w:val="0"/>
    <w:pPr>
      <w:spacing w:before="100" w:beforeAutospacing="1" w:after="100" w:afterAutospacing="1"/>
      <w:jc w:val="left"/>
      <w:outlineLvl w:val="0"/>
    </w:pPr>
    <w:rPr>
      <w:rFonts w:ascii="宋体" w:eastAsia="宋体" w:cs="Times New Roman"/>
      <w:b/>
      <w:kern w:val="44"/>
      <w:sz w:val="48"/>
      <w:szCs w:val="48"/>
    </w:rPr>
  </w:style>
  <w:style w:type="paragraph" w:styleId="7">
    <w:name w:val="heading 2"/>
    <w:basedOn w:val="1"/>
    <w:next w:val="1"/>
    <w:qFormat/>
    <w:uiPriority w:val="0"/>
    <w:pPr>
      <w:spacing w:beforeAutospacing="1" w:afterAutospacing="1"/>
      <w:jc w:val="left"/>
      <w:outlineLvl w:val="1"/>
    </w:pPr>
    <w:rPr>
      <w:rFonts w:ascii="宋体" w:eastAsia="宋体" w:cs="Times New Roman"/>
      <w:b/>
      <w:kern w:val="0"/>
      <w:sz w:val="36"/>
      <w:szCs w:val="36"/>
    </w:rPr>
  </w:style>
  <w:style w:type="paragraph" w:styleId="8">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3"/>
    <w:next w:val="5"/>
    <w:qFormat/>
    <w:uiPriority w:val="0"/>
    <w:pPr>
      <w:spacing w:line="580" w:lineRule="exact"/>
      <w:ind w:firstLine="200" w:firstLineChars="200"/>
    </w:pPr>
    <w:rPr>
      <w:rFonts w:ascii="Times New Roman" w:hAnsi="Times New Roman" w:eastAsia="方正仿宋简体"/>
      <w:sz w:val="32"/>
    </w:rPr>
  </w:style>
  <w:style w:type="paragraph" w:customStyle="1" w:styleId="3">
    <w:name w:val="正文1"/>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文本1"/>
    <w:basedOn w:val="3"/>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toc 3"/>
    <w:basedOn w:val="1"/>
    <w:next w:val="1"/>
    <w:qFormat/>
    <w:uiPriority w:val="0"/>
    <w:pPr>
      <w:kinsoku w:val="0"/>
      <w:wordWrap w:val="0"/>
      <w:adjustRightInd w:val="0"/>
      <w:spacing w:line="500" w:lineRule="atLeast"/>
      <w:ind w:left="1134"/>
      <w:jc w:val="left"/>
      <w:textAlignment w:val="baseline"/>
    </w:pPr>
    <w:rPr>
      <w:rFonts w:eastAsia="宋体"/>
    </w:rPr>
  </w:style>
  <w:style w:type="paragraph" w:styleId="12">
    <w:name w:val="Plain Text"/>
    <w:basedOn w:val="1"/>
    <w:qFormat/>
    <w:uiPriority w:val="0"/>
    <w:rPr>
      <w:rFonts w:ascii="宋体" w:hAnsi="Courier New"/>
    </w:rPr>
  </w:style>
  <w:style w:type="paragraph" w:styleId="13">
    <w:name w:val="Date"/>
    <w:basedOn w:val="1"/>
    <w:next w:val="1"/>
    <w:qFormat/>
    <w:uiPriority w:val="0"/>
    <w:pPr>
      <w:ind w:left="2500" w:leftChars="2500"/>
    </w:pPr>
  </w:style>
  <w:style w:type="paragraph" w:styleId="14">
    <w:name w:val="Balloon Text"/>
    <w:basedOn w:val="1"/>
    <w:qFormat/>
    <w:uiPriority w:val="0"/>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able of figures"/>
    <w:basedOn w:val="1"/>
    <w:next w:val="1"/>
    <w:qFormat/>
    <w:uiPriority w:val="0"/>
    <w:pPr>
      <w:ind w:left="400" w:leftChars="200" w:hanging="200" w:hangingChars="200"/>
    </w:pPr>
  </w:style>
  <w:style w:type="paragraph" w:styleId="18">
    <w:name w:val="toc 2"/>
    <w:basedOn w:val="1"/>
    <w:next w:val="11"/>
    <w:qFormat/>
    <w:uiPriority w:val="0"/>
    <w:pPr>
      <w:kinsoku w:val="0"/>
      <w:wordWrap w:val="0"/>
      <w:adjustRightInd w:val="0"/>
      <w:spacing w:line="500" w:lineRule="atLeast"/>
      <w:ind w:left="567"/>
      <w:jc w:val="left"/>
      <w:textAlignment w:val="baseline"/>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Times New Roman"/>
      <w:kern w:val="0"/>
      <w:sz w:val="24"/>
    </w:rPr>
  </w:style>
  <w:style w:type="paragraph" w:styleId="20">
    <w:name w:val="Normal (Web)"/>
    <w:basedOn w:val="1"/>
    <w:qFormat/>
    <w:uiPriority w:val="0"/>
    <w:pPr>
      <w:widowControl/>
      <w:spacing w:before="100" w:beforeAutospacing="1" w:after="100" w:afterAutospacing="1"/>
      <w:jc w:val="left"/>
    </w:pPr>
    <w:rPr>
      <w:rFonts w:ascii="宋体" w:eastAsia="宋体" w:cs="宋体"/>
      <w:kern w:val="0"/>
      <w:sz w:val="24"/>
    </w:rPr>
  </w:style>
  <w:style w:type="paragraph" w:styleId="21">
    <w:name w:val="Body Text First Indent"/>
    <w:basedOn w:val="10"/>
    <w:qFormat/>
    <w:uiPriority w:val="0"/>
    <w:pPr>
      <w:ind w:firstLine="100" w:firstLineChars="100"/>
    </w:pPr>
    <w:rPr>
      <w:rFonts w:ascii="Times New Roman" w:hAnsi="Times New Roman"/>
      <w:kern w:val="0"/>
      <w:sz w:val="20"/>
      <w:szCs w:val="20"/>
    </w:r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paragraph" w:customStyle="1" w:styleId="27">
    <w:name w:val="Body Text First Indent 21"/>
    <w:basedOn w:val="28"/>
    <w:qFormat/>
    <w:uiPriority w:val="0"/>
    <w:pPr>
      <w:ind w:firstLine="420" w:firstLineChars="200"/>
    </w:pPr>
  </w:style>
  <w:style w:type="paragraph" w:customStyle="1" w:styleId="28">
    <w:name w:val="Body Text Indent1"/>
    <w:basedOn w:val="1"/>
    <w:qFormat/>
    <w:uiPriority w:val="0"/>
    <w:pPr>
      <w:ind w:left="420" w:leftChars="200"/>
    </w:p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标题 5（有编号）（绿盟科技）"/>
    <w:basedOn w:val="1"/>
    <w:next w:val="31"/>
    <w:qFormat/>
    <w:uiPriority w:val="0"/>
    <w:pPr>
      <w:keepNext/>
      <w:keepLines/>
      <w:widowControl w:val="0"/>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1">
    <w:name w:val="正文（绿盟科技）"/>
    <w:qFormat/>
    <w:uiPriority w:val="0"/>
    <w:pPr>
      <w:spacing w:line="300" w:lineRule="auto"/>
    </w:pPr>
    <w:rPr>
      <w:rFonts w:ascii="Arial" w:hAnsi="Arial" w:eastAsia="宋体" w:cs="黑体"/>
      <w:sz w:val="21"/>
      <w:szCs w:val="21"/>
      <w:lang w:val="en-US" w:eastAsia="zh-CN" w:bidi="ar-SA"/>
    </w:rPr>
  </w:style>
  <w:style w:type="paragraph" w:styleId="32">
    <w:name w:val="List Paragraph"/>
    <w:basedOn w:val="1"/>
    <w:qFormat/>
    <w:uiPriority w:val="0"/>
    <w:pPr>
      <w:ind w:firstLine="200" w:firstLineChars="200"/>
    </w:pPr>
  </w:style>
  <w:style w:type="character" w:customStyle="1" w:styleId="33">
    <w:name w:val="NormalCharacter"/>
    <w:qFormat/>
    <w:uiPriority w:val="0"/>
  </w:style>
  <w:style w:type="paragraph" w:customStyle="1" w:styleId="34">
    <w:name w:val="UserStyle_4"/>
    <w:basedOn w:val="1"/>
    <w:qFormat/>
    <w:uiPriority w:val="0"/>
    <w:pPr>
      <w:widowControl/>
      <w:ind w:firstLine="200" w:firstLineChars="200"/>
      <w:textAlignment w:val="baseline"/>
    </w:pPr>
    <w:rPr>
      <w:szCs w:val="21"/>
    </w:rPr>
  </w:style>
  <w:style w:type="paragraph" w:styleId="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Body text|2"/>
    <w:basedOn w:val="1"/>
    <w:qFormat/>
    <w:uiPriority w:val="0"/>
    <w:pPr>
      <w:shd w:val="clear" w:color="auto" w:fill="FFFFFF"/>
      <w:spacing w:after="1680" w:line="300" w:lineRule="exact"/>
      <w:ind w:left="0" w:hanging="280"/>
      <w:jc w:val="center"/>
    </w:pPr>
    <w:rPr>
      <w:rFonts w:ascii="PMingLiU" w:hAnsi="PMingLiU" w:eastAsia="PMingLiU" w:cs="PMingLiU"/>
      <w:spacing w:val="50"/>
      <w:sz w:val="30"/>
      <w:szCs w:val="30"/>
    </w:rPr>
  </w:style>
  <w:style w:type="paragraph" w:customStyle="1" w:styleId="37">
    <w:name w:val="列出段落1"/>
    <w:basedOn w:val="1"/>
    <w:qFormat/>
    <w:uiPriority w:val="0"/>
    <w:pPr>
      <w:ind w:firstLine="200" w:firstLineChars="200"/>
    </w:pPr>
    <w:rPr>
      <w:rFonts w:ascii="Calibri" w:hAnsi="Calibri" w:eastAsia="宋体" w:cs="Times New Roman"/>
    </w:rPr>
  </w:style>
  <w:style w:type="paragraph" w:customStyle="1" w:styleId="38">
    <w:name w:val="p0"/>
    <w:basedOn w:val="1"/>
    <w:qFormat/>
    <w:uiPriority w:val="0"/>
    <w:pPr>
      <w:widowControl/>
    </w:pPr>
    <w:rPr>
      <w:rFonts w:ascii="Calibri" w:hAnsi="Calibri"/>
      <w:szCs w:val="21"/>
    </w:rPr>
  </w:style>
  <w:style w:type="paragraph" w:customStyle="1" w:styleId="39">
    <w:name w:val="WPSOffice手动目录 1"/>
    <w:qFormat/>
    <w:uiPriority w:val="0"/>
    <w:rPr>
      <w:rFonts w:ascii="Calibri" w:hAnsi="Calibri" w:eastAsia="宋体" w:cs="Arial"/>
      <w:sz w:val="20"/>
      <w:szCs w:val="20"/>
      <w:lang w:val="en-US" w:eastAsia="zh-CN" w:bidi="ar-SA"/>
    </w:rPr>
  </w:style>
  <w:style w:type="paragraph" w:customStyle="1" w:styleId="40">
    <w:name w:val="WPSOffice手动目录 2"/>
    <w:qFormat/>
    <w:uiPriority w:val="0"/>
    <w:pPr>
      <w:ind w:left="200" w:leftChars="200"/>
    </w:pPr>
    <w:rPr>
      <w:rFonts w:ascii="Calibri" w:hAnsi="Calibri" w:eastAsia="宋体" w:cs="Arial"/>
      <w:sz w:val="20"/>
      <w:szCs w:val="20"/>
      <w:lang w:val="en-US" w:eastAsia="zh-CN" w:bidi="ar-SA"/>
    </w:rPr>
  </w:style>
  <w:style w:type="paragraph" w:customStyle="1" w:styleId="41">
    <w:name w:val="WPSOffice手动目录 3"/>
    <w:qFormat/>
    <w:uiPriority w:val="0"/>
    <w:pPr>
      <w:ind w:left="400" w:leftChars="400"/>
    </w:pPr>
    <w:rPr>
      <w:rFonts w:ascii="Calibri" w:hAnsi="Calibri" w:eastAsia="宋体" w:cs="Arial"/>
      <w:sz w:val="20"/>
      <w:szCs w:val="20"/>
      <w:lang w:val="en-US" w:eastAsia="zh-CN" w:bidi="ar-SA"/>
    </w:rPr>
  </w:style>
  <w:style w:type="character" w:customStyle="1" w:styleId="42">
    <w:name w:val="font51"/>
    <w:basedOn w:val="23"/>
    <w:qFormat/>
    <w:uiPriority w:val="0"/>
    <w:rPr>
      <w:rFonts w:ascii="宋体" w:eastAsia="宋体" w:cs="宋体"/>
      <w:color w:val="000000"/>
      <w:sz w:val="20"/>
      <w:szCs w:val="20"/>
      <w:u w:val="none"/>
      <w:vertAlign w:val="superscript"/>
    </w:rPr>
  </w:style>
  <w:style w:type="character" w:customStyle="1" w:styleId="43">
    <w:name w:val="font71"/>
    <w:basedOn w:val="23"/>
    <w:qFormat/>
    <w:uiPriority w:val="0"/>
    <w:rPr>
      <w:rFonts w:ascii="宋体" w:eastAsia="宋体" w:cs="宋体"/>
      <w:color w:val="000000"/>
      <w:sz w:val="20"/>
      <w:szCs w:val="20"/>
      <w:u w:val="none"/>
    </w:rPr>
  </w:style>
  <w:style w:type="character" w:customStyle="1" w:styleId="44">
    <w:name w:val="font41"/>
    <w:basedOn w:val="23"/>
    <w:qFormat/>
    <w:uiPriority w:val="0"/>
    <w:rPr>
      <w:rFonts w:ascii="宋体" w:eastAsia="宋体" w:cs="宋体"/>
      <w:color w:val="000000"/>
      <w:sz w:val="20"/>
      <w:szCs w:val="20"/>
      <w:u w:val="none"/>
    </w:rPr>
  </w:style>
  <w:style w:type="character" w:customStyle="1" w:styleId="45">
    <w:name w:val="font01"/>
    <w:basedOn w:val="23"/>
    <w:qFormat/>
    <w:uiPriority w:val="0"/>
    <w:rPr>
      <w:rFonts w:ascii="宋体" w:eastAsia="宋体" w:cs="宋体"/>
      <w:color w:val="000000"/>
      <w:sz w:val="20"/>
      <w:szCs w:val="20"/>
      <w:u w:val="none"/>
    </w:rPr>
  </w:style>
  <w:style w:type="character" w:customStyle="1" w:styleId="46">
    <w:name w:val="font101"/>
    <w:basedOn w:val="23"/>
    <w:qFormat/>
    <w:uiPriority w:val="0"/>
    <w:rPr>
      <w:rFonts w:ascii="宋体" w:eastAsia="宋体" w:cs="宋体"/>
      <w:color w:val="000000"/>
      <w:sz w:val="18"/>
      <w:szCs w:val="18"/>
      <w:u w:val="none"/>
    </w:rPr>
  </w:style>
  <w:style w:type="character" w:customStyle="1" w:styleId="47">
    <w:name w:val="font81"/>
    <w:basedOn w:val="23"/>
    <w:qFormat/>
    <w:uiPriority w:val="0"/>
    <w:rPr>
      <w:rFonts w:ascii="宋体" w:eastAsia="宋体" w:cs="宋体"/>
      <w:color w:val="000000"/>
      <w:sz w:val="18"/>
      <w:szCs w:val="18"/>
      <w:u w:val="none"/>
    </w:rPr>
  </w:style>
  <w:style w:type="character" w:customStyle="1" w:styleId="48">
    <w:name w:val="font61"/>
    <w:basedOn w:val="23"/>
    <w:qFormat/>
    <w:uiPriority w:val="0"/>
    <w:rPr>
      <w:rFonts w:ascii="宋体" w:eastAsia="宋体" w:cs="宋体"/>
      <w:color w:val="000000"/>
      <w:sz w:val="20"/>
      <w:szCs w:val="20"/>
      <w:u w:val="none"/>
      <w:vertAlign w:val="superscript"/>
    </w:rPr>
  </w:style>
  <w:style w:type="character" w:customStyle="1" w:styleId="49">
    <w:name w:val="font121"/>
    <w:basedOn w:val="23"/>
    <w:qFormat/>
    <w:uiPriority w:val="0"/>
    <w:rPr>
      <w:rFonts w:ascii="宋体" w:eastAsia="宋体" w:cs="宋体"/>
      <w:color w:val="000000"/>
      <w:sz w:val="20"/>
      <w:szCs w:val="20"/>
      <w:u w:val="none"/>
    </w:rPr>
  </w:style>
  <w:style w:type="character" w:customStyle="1" w:styleId="50">
    <w:name w:val="font91"/>
    <w:basedOn w:val="23"/>
    <w:qFormat/>
    <w:uiPriority w:val="0"/>
    <w:rPr>
      <w:rFonts w:ascii="宋体" w:eastAsia="宋体" w:cs="宋体"/>
      <w:color w:val="000000"/>
      <w:sz w:val="20"/>
      <w:szCs w:val="20"/>
      <w:u w:val="none"/>
    </w:rPr>
  </w:style>
  <w:style w:type="character" w:customStyle="1" w:styleId="51">
    <w:name w:val="font31"/>
    <w:basedOn w:val="23"/>
    <w:qFormat/>
    <w:uiPriority w:val="0"/>
    <w:rPr>
      <w:rFonts w:ascii="宋体" w:eastAsia="宋体" w:cs="宋体"/>
      <w:color w:val="000000"/>
      <w:sz w:val="18"/>
      <w:szCs w:val="18"/>
      <w:u w:val="none"/>
    </w:rPr>
  </w:style>
  <w:style w:type="character" w:customStyle="1" w:styleId="52">
    <w:name w:val="font11"/>
    <w:basedOn w:val="23"/>
    <w:qFormat/>
    <w:uiPriority w:val="0"/>
    <w:rPr>
      <w:rFonts w:ascii="宋体" w:eastAsia="宋体" w:cs="宋体"/>
      <w:color w:val="000000"/>
      <w:sz w:val="18"/>
      <w:szCs w:val="18"/>
      <w:u w:val="none"/>
    </w:rPr>
  </w:style>
  <w:style w:type="character" w:customStyle="1" w:styleId="53">
    <w:name w:val="font21"/>
    <w:basedOn w:val="23"/>
    <w:qFormat/>
    <w:uiPriority w:val="0"/>
    <w:rPr>
      <w:rFonts w:ascii="宋体" w:eastAsia="宋体" w:cs="宋体"/>
      <w:b/>
      <w:color w:val="000000"/>
      <w:sz w:val="20"/>
      <w:szCs w:val="20"/>
      <w:u w:val="none"/>
    </w:rPr>
  </w:style>
  <w:style w:type="paragraph" w:customStyle="1" w:styleId="54">
    <w:name w:val="样式1"/>
    <w:basedOn w:val="1"/>
    <w:qFormat/>
    <w:uiPriority w:val="0"/>
    <w:rPr>
      <w:rFonts w:eastAsia="仿宋"/>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oleObject" Target="embeddings/oleObject2.bin"/><Relationship Id="rId15" Type="http://schemas.openxmlformats.org/officeDocument/2006/relationships/chart" Target="charts/chart6.xml"/><Relationship Id="rId14" Type="http://schemas.openxmlformats.org/officeDocument/2006/relationships/image" Target="media/image1.jpeg"/><Relationship Id="rId13" Type="http://schemas.openxmlformats.org/officeDocument/2006/relationships/oleObject" Target="embeddings/oleObject1.bin"/><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425"/>
          <c:y val="0.07930607"/>
          <c:w val="0.90727776"/>
          <c:h val="0.6935316"/>
        </c:manualLayout>
      </c:layout>
      <c:barChart>
        <c:barDir val="col"/>
        <c:grouping val="clustered"/>
        <c:varyColors val="0"/>
        <c:ser>
          <c:idx val="0"/>
          <c:order val="0"/>
          <c:tx>
            <c:strRef>
              <c:f>粮食产量(万吨)</c:f>
              <c:strCache>
                <c:ptCount val="1"/>
                <c:pt idx="0">
                  <c:v>粮食产量(万吨)</c:v>
                </c:pt>
              </c:strCache>
            </c:strRef>
          </c:tx>
          <c:spPr>
            <a:solidFill>
              <a:srgbClr val="5B9BD5">
                <a:alpha val="85000"/>
              </a:srgbClr>
            </a:solidFill>
            <a:ln w="6350">
              <a:solidFill>
                <a:srgbClr val="FFFFFF"/>
              </a:solidFill>
              <a:prstDash val="solid"/>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方正兰亭黑_GBK" panose="02000000000000000000" charset="-122"/>
                    <a:cs typeface="Lucida Sans" panose="020B0602030504020204"/>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{"2016年","2017年","2018年","2019年","2020年"}</c:f>
              <c:strCache>
                <c:ptCount val="5"/>
                <c:pt idx="0">
                  <c:v>2016年</c:v>
                </c:pt>
                <c:pt idx="1">
                  <c:v>2017年</c:v>
                </c:pt>
                <c:pt idx="2">
                  <c:v>2018年</c:v>
                </c:pt>
                <c:pt idx="3">
                  <c:v>2019年</c:v>
                </c:pt>
                <c:pt idx="4">
                  <c:v>2020年</c:v>
                </c:pt>
              </c:strCache>
            </c:strRef>
          </c:cat>
          <c:val>
            <c:numRef>
              <c:f>{25.76,25.85,20.58,20.64,20.83}</c:f>
              <c:numCache>
                <c:formatCode>General</c:formatCode>
                <c:ptCount val="5"/>
                <c:pt idx="0">
                  <c:v>25.76</c:v>
                </c:pt>
                <c:pt idx="1">
                  <c:v>25.85</c:v>
                </c:pt>
                <c:pt idx="2">
                  <c:v>20.58</c:v>
                </c:pt>
                <c:pt idx="3">
                  <c:v>20.64</c:v>
                </c:pt>
                <c:pt idx="4">
                  <c:v>20.83</c:v>
                </c:pt>
              </c:numCache>
            </c:numRef>
          </c:val>
        </c:ser>
        <c:ser>
          <c:idx val="1"/>
          <c:order val="1"/>
          <c:tx>
            <c:strRef>
              <c:f>油料产量(万吨)</c:f>
              <c:strCache>
                <c:ptCount val="1"/>
                <c:pt idx="0">
                  <c:v>油料产量(万吨)</c:v>
                </c:pt>
              </c:strCache>
            </c:strRef>
          </c:tx>
          <c:spPr>
            <a:solidFill>
              <a:srgbClr val="ED7D31">
                <a:alpha val="85000"/>
              </a:srgbClr>
            </a:solidFill>
            <a:ln w="6350">
              <a:solidFill>
                <a:srgbClr val="FFFFFF"/>
              </a:solidFill>
              <a:prstDash val="solid"/>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方正兰亭黑_GBK" panose="02000000000000000000" charset="-122"/>
                    <a:cs typeface="Lucida Sans" panose="020B0602030504020204"/>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{"2016年","2017年","2018年","2019年","2020年"}</c:f>
              <c:strCache>
                <c:ptCount val="5"/>
                <c:pt idx="0">
                  <c:v>2016年</c:v>
                </c:pt>
                <c:pt idx="1">
                  <c:v>2017年</c:v>
                </c:pt>
                <c:pt idx="2">
                  <c:v>2018年</c:v>
                </c:pt>
                <c:pt idx="3">
                  <c:v>2019年</c:v>
                </c:pt>
                <c:pt idx="4">
                  <c:v>2020年</c:v>
                </c:pt>
              </c:strCache>
            </c:strRef>
          </c:cat>
          <c:val>
            <c:numRef>
              <c:f>{2.56,2.56,2.91,2.96,3.06}</c:f>
              <c:numCache>
                <c:formatCode>General</c:formatCode>
                <c:ptCount val="5"/>
                <c:pt idx="0">
                  <c:v>2.56</c:v>
                </c:pt>
                <c:pt idx="1">
                  <c:v>2.56</c:v>
                </c:pt>
                <c:pt idx="2">
                  <c:v>2.91</c:v>
                </c:pt>
                <c:pt idx="3">
                  <c:v>2.96</c:v>
                </c:pt>
                <c:pt idx="4">
                  <c:v>3.06</c:v>
                </c:pt>
              </c:numCache>
            </c:numRef>
          </c:val>
        </c:ser>
        <c:ser>
          <c:idx val="2"/>
          <c:order val="2"/>
          <c:tx>
            <c:strRef>
              <c:f>蔬菜（含食用菌）(万吨)</c:f>
              <c:strCache>
                <c:ptCount val="1"/>
                <c:pt idx="0">
                  <c:v>蔬菜（含食用菌）(万吨)</c:v>
                </c:pt>
              </c:strCache>
            </c:strRef>
          </c:tx>
          <c:spPr>
            <a:solidFill>
              <a:srgbClr val="A5A5A5">
                <a:alpha val="85000"/>
              </a:srgbClr>
            </a:solidFill>
            <a:ln w="6350">
              <a:solidFill>
                <a:srgbClr val="FFFFFF"/>
              </a:solidFill>
              <a:prstDash val="solid"/>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方正兰亭黑_GBK" panose="02000000000000000000" charset="-122"/>
                    <a:cs typeface="Lucida Sans" panose="020B0602030504020204"/>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{"2016年","2017年","2018年","2019年","2020年"}</c:f>
              <c:strCache>
                <c:ptCount val="5"/>
                <c:pt idx="0">
                  <c:v>2016年</c:v>
                </c:pt>
                <c:pt idx="1">
                  <c:v>2017年</c:v>
                </c:pt>
                <c:pt idx="2">
                  <c:v>2018年</c:v>
                </c:pt>
                <c:pt idx="3">
                  <c:v>2019年</c:v>
                </c:pt>
                <c:pt idx="4">
                  <c:v>2020年</c:v>
                </c:pt>
              </c:strCache>
            </c:strRef>
          </c:cat>
          <c:val>
            <c:numRef>
              <c:f>{10.76,10.77,11.26,11.58,11.92}</c:f>
              <c:numCache>
                <c:formatCode>General</c:formatCode>
                <c:ptCount val="5"/>
                <c:pt idx="0">
                  <c:v>10.76</c:v>
                </c:pt>
                <c:pt idx="1">
                  <c:v>10.77</c:v>
                </c:pt>
                <c:pt idx="2">
                  <c:v>11.26</c:v>
                </c:pt>
                <c:pt idx="3">
                  <c:v>11.58</c:v>
                </c:pt>
                <c:pt idx="4">
                  <c:v>11.92</c:v>
                </c:pt>
              </c:numCache>
            </c:numRef>
          </c:val>
        </c:ser>
        <c:dLbls>
          <c:showLegendKey val="0"/>
          <c:showVal val="1"/>
          <c:showCatName val="0"/>
          <c:showSerName val="0"/>
          <c:showPercent val="0"/>
          <c:showBubbleSize val="0"/>
        </c:dLbls>
        <c:gapWidth val="65"/>
        <c:axId val="0"/>
        <c:axId val="1"/>
      </c:barChart>
      <c:catAx>
        <c:axId val="0"/>
        <c:scaling>
          <c:orientation val="minMax"/>
        </c:scaling>
        <c:delete val="0"/>
        <c:axPos val="b"/>
        <c:numFmt formatCode="General" sourceLinked="0"/>
        <c:majorTickMark val="none"/>
        <c:minorTickMark val="none"/>
        <c:tickLblPos val="nextTo"/>
        <c:spPr>
          <a:ln w="19050" cap="flat" cmpd="sng" algn="ctr">
            <a:solidFill>
              <a:srgbClr val="404040"/>
            </a:solidFill>
            <a:prstDash val="solid"/>
            <a:round/>
          </a:ln>
        </c:spPr>
        <c:txPr>
          <a:bodyPr rot="-60000000" spcFirstLastPara="0" vertOverflow="ellipsis" vert="horz" wrap="square" anchor="ctr" anchorCtr="1"/>
          <a:lstStyle/>
          <a:p>
            <a:pPr>
              <a:defRPr lang="zh-CN" sz="900" b="0" i="0" u="none" strike="noStrike" kern="1200" cap="all" baseline="0">
                <a:solidFill>
                  <a:srgbClr val="404040"/>
                </a:solidFill>
                <a:latin typeface="Times New Roman" panose="02020603050405020304"/>
                <a:ea typeface="方正兰亭黑_GBK" panose="02000000000000000000" charset="-122"/>
                <a:cs typeface="Lucida Sans" panose="020B0602030504020204"/>
              </a:defRPr>
            </a:pPr>
          </a:p>
        </c:txPr>
        <c:crossAx val="1"/>
        <c:crosses val="autoZero"/>
        <c:auto val="1"/>
        <c:lblAlgn val="ctr"/>
        <c:lblOffset val="100"/>
        <c:noMultiLvlLbl val="0"/>
      </c:catAx>
      <c:valAx>
        <c:axId val="1"/>
        <c:scaling>
          <c:orientation val="minMax"/>
        </c:scaling>
        <c:delete val="1"/>
        <c:axPos val="l"/>
        <c:majorGridlines>
          <c:spPr>
            <a:ln w="6350" cap="flat" cmpd="sng" algn="ctr">
              <a:solidFill>
                <a:srgbClr val="868686"/>
              </a:solidFill>
              <a:prstDash val="solid"/>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方正兰亭黑_GBK" panose="02000000000000000000" charset="-122"/>
                <a:cs typeface="Lucida Sans" panose="020B0602030504020204"/>
              </a:defRPr>
            </a:pPr>
          </a:p>
        </c:txPr>
        <c:crossAx val="0"/>
        <c:crossesAt val="1"/>
        <c:crossBetween val="between"/>
      </c:valAx>
      <c:spPr>
        <a:noFill/>
        <a:ln>
          <a:noFill/>
        </a:ln>
      </c:spPr>
    </c:plotArea>
    <c:legend>
      <c:legendPos val="b"/>
      <c:layout>
        <c:manualLayout>
          <c:xMode val="edge"/>
          <c:yMode val="edge"/>
          <c:x val="0.2077489"/>
          <c:y val="0.8799365"/>
        </c:manualLayout>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方正兰亭黑_GBK" panose="02000000000000000000" charset="-122"/>
              <a:cs typeface="Lucida Sans" panose="020B0602030504020204"/>
            </a:defRPr>
          </a:pPr>
        </a:p>
      </c:txPr>
    </c:legend>
    <c:plotVisOnly val="1"/>
    <c:dispBlanksAs val="gap"/>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方正兰亭黑_GBK" panose="02000000000000000000" charset="-122"/>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508333"/>
          <c:y val="0.103125"/>
          <c:w val="0.84380555"/>
          <c:h val="0.6805324"/>
        </c:manualLayout>
      </c:layout>
      <c:barChart>
        <c:barDir val="col"/>
        <c:grouping val="clustered"/>
        <c:varyColors val="0"/>
        <c:ser>
          <c:idx val="0"/>
          <c:order val="0"/>
          <c:tx>
            <c:strRef>
              <c:f>出栏生猪（万头）</c:f>
              <c:strCache>
                <c:ptCount val="1"/>
                <c:pt idx="0">
                  <c:v>出栏生猪（万头）</c:v>
                </c:pt>
              </c:strCache>
            </c:strRef>
          </c:tx>
          <c:spPr>
            <a:solidFill>
              <a:srgbClr val="FF9772"/>
            </a:solidFill>
            <a:ln>
              <a:noFill/>
            </a:ln>
            <a:effectLst>
              <a:outerShdw dist="35921" dir="2700000" algn="br">
                <a:srgbClr val="000000"/>
              </a:outerShdw>
            </a:effectLst>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262626"/>
                    </a:solidFill>
                    <a:latin typeface="微软雅黑" panose="020B0503020204020204" charset="-122"/>
                    <a:ea typeface="微软雅黑" panose="020B0503020204020204"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{"2016年","2017年","2018年","2019年","2020年"}</c:f>
              <c:strCache>
                <c:ptCount val="5"/>
                <c:pt idx="0">
                  <c:v>2016年</c:v>
                </c:pt>
                <c:pt idx="1">
                  <c:v>2017年</c:v>
                </c:pt>
                <c:pt idx="2">
                  <c:v>2018年</c:v>
                </c:pt>
                <c:pt idx="3">
                  <c:v>2019年</c:v>
                </c:pt>
                <c:pt idx="4">
                  <c:v>2020年</c:v>
                </c:pt>
              </c:strCache>
            </c:strRef>
          </c:cat>
          <c:val>
            <c:numRef>
              <c:f>{52.96,52.9,57.2,40,49.29}</c:f>
              <c:numCache>
                <c:formatCode>General</c:formatCode>
                <c:ptCount val="5"/>
                <c:pt idx="0">
                  <c:v>52.96</c:v>
                </c:pt>
                <c:pt idx="1">
                  <c:v>52.9</c:v>
                </c:pt>
                <c:pt idx="2">
                  <c:v>57.2</c:v>
                </c:pt>
                <c:pt idx="3">
                  <c:v>40</c:v>
                </c:pt>
                <c:pt idx="4">
                  <c:v>49.29</c:v>
                </c:pt>
              </c:numCache>
            </c:numRef>
          </c:val>
        </c:ser>
        <c:ser>
          <c:idx val="1"/>
          <c:order val="1"/>
          <c:tx>
            <c:strRef>
              <c:f>出栏家禽（万只）</c:f>
              <c:strCache>
                <c:ptCount val="1"/>
                <c:pt idx="0">
                  <c:v>出栏家禽（万只）</c:v>
                </c:pt>
              </c:strCache>
            </c:strRef>
          </c:tx>
          <c:spPr>
            <a:solidFill>
              <a:srgbClr val="679B9B"/>
            </a:solidFill>
            <a:ln>
              <a:noFill/>
            </a:ln>
            <a:effectLst>
              <a:outerShdw dist="35921" dir="2700000" algn="br">
                <a:srgbClr val="000000"/>
              </a:outerShdw>
            </a:effectLst>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262626"/>
                    </a:solidFill>
                    <a:latin typeface="微软雅黑" panose="020B0503020204020204" charset="-122"/>
                    <a:ea typeface="微软雅黑" panose="020B0503020204020204"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{"2016年","2017年","2018年","2019年","2020年"}</c:f>
              <c:strCache>
                <c:ptCount val="5"/>
                <c:pt idx="0">
                  <c:v>2016年</c:v>
                </c:pt>
                <c:pt idx="1">
                  <c:v>2017年</c:v>
                </c:pt>
                <c:pt idx="2">
                  <c:v>2018年</c:v>
                </c:pt>
                <c:pt idx="3">
                  <c:v>2019年</c:v>
                </c:pt>
                <c:pt idx="4">
                  <c:v>2020年</c:v>
                </c:pt>
              </c:strCache>
            </c:strRef>
          </c:cat>
          <c:val>
            <c:numRef>
              <c:f>{380.47,379.93,373.7,435.9,410.34}</c:f>
              <c:numCache>
                <c:formatCode>General</c:formatCode>
                <c:ptCount val="5"/>
                <c:pt idx="0">
                  <c:v>380.47</c:v>
                </c:pt>
                <c:pt idx="1">
                  <c:v>379.93</c:v>
                </c:pt>
                <c:pt idx="2">
                  <c:v>373.7</c:v>
                </c:pt>
                <c:pt idx="3">
                  <c:v>435.9</c:v>
                </c:pt>
                <c:pt idx="4">
                  <c:v>410.34</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262626"/>
                </a:solidFill>
                <a:latin typeface="微软雅黑" panose="020B0503020204020204" charset="-122"/>
                <a:ea typeface="微软雅黑" panose="020B0503020204020204" charset="-122"/>
                <a:cs typeface="Lucida Sans" panose="020B0602030504020204"/>
              </a:defRPr>
            </a:pPr>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262626"/>
                </a:solidFill>
                <a:latin typeface="微软雅黑" panose="020B0503020204020204" charset="-122"/>
                <a:ea typeface="微软雅黑" panose="020B0503020204020204" charset="-122"/>
                <a:cs typeface="Lucida Sans" panose="020B0602030504020204"/>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262626"/>
              </a:solidFill>
              <a:latin typeface="微软雅黑" panose="020B0503020204020204" charset="-122"/>
              <a:ea typeface="微软雅黑" panose="020B0503020204020204" charset="-122"/>
              <a:cs typeface="Lucida Sans" panose="020B0602030504020204"/>
            </a:defRPr>
          </a:pPr>
        </a:p>
      </c:txPr>
    </c:legend>
    <c:plotVisOnly val="1"/>
    <c:dispBlanksAs val="gap"/>
    <c:showDLblsOverMax val="0"/>
  </c:chart>
  <c:spPr>
    <a:blipFill rotWithShape="1">
      <a:blip xmlns:r="http://schemas.openxmlformats.org/officeDocument/2006/relationships" r:embed="rId2"/>
      <a:stretch>
        <a:fillRect/>
      </a:stretch>
    </a:blipFill>
    <a:ln w="6350" cap="flat" cmpd="sng" algn="ctr">
      <a:solidFill>
        <a:srgbClr val="D9D9D9"/>
      </a:solidFill>
      <a:prstDash val="solid"/>
      <a:round/>
    </a:ln>
    <a:effectLst>
      <a:outerShdw blurRad="50800" dist="38100" dir="2700000" algn="tl" rotWithShape="0">
        <a:prstClr val="black">
          <a:alpha val="40000"/>
        </a:prstClr>
      </a:outerShdw>
    </a:effectLst>
  </c:spPr>
  <c:txPr>
    <a:bodyPr/>
    <a:lstStyle/>
    <a:p>
      <a:pPr>
        <a:defRPr lang="zh-CN" sz="1000" b="0" i="0" u="none" strike="noStrike" baseline="0">
          <a:solidFill>
            <a:srgbClr val="262626"/>
          </a:solidFill>
          <a:latin typeface="微软雅黑" panose="020B0503020204020204" charset="-122"/>
          <a:ea typeface="微软雅黑" panose="020B0503020204020204"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耕地面积</c:f>
              <c:strCache>
                <c:ptCount val="1"/>
                <c:pt idx="0">
                  <c:v>耕地面积</c:v>
                </c:pt>
              </c:strCache>
            </c:strRef>
          </c:tx>
          <c:spPr>
            <a:solidFill>
              <a:srgbClr val="4F81BD"/>
            </a:solidFill>
            <a:ln>
              <a:noFill/>
            </a:ln>
          </c:spPr>
          <c:explosion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方正兰亭黑_GBK" panose="02000000000000000000"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{"蓬莱","隆盛","回马","天保","河边","卓筒井","玉峰","象山","金元","盐井街道"}</c:f>
              <c:strCache>
                <c:ptCount val="10"/>
                <c:pt idx="0">
                  <c:v>蓬莱</c:v>
                </c:pt>
                <c:pt idx="1">
                  <c:v>隆盛</c:v>
                </c:pt>
                <c:pt idx="2">
                  <c:v>回马</c:v>
                </c:pt>
                <c:pt idx="3">
                  <c:v>天保</c:v>
                </c:pt>
                <c:pt idx="4">
                  <c:v>河边</c:v>
                </c:pt>
                <c:pt idx="5">
                  <c:v>卓筒井</c:v>
                </c:pt>
                <c:pt idx="6">
                  <c:v>玉峰</c:v>
                </c:pt>
                <c:pt idx="7">
                  <c:v>象山</c:v>
                </c:pt>
                <c:pt idx="8">
                  <c:v>金元</c:v>
                </c:pt>
                <c:pt idx="9">
                  <c:v>盐井街道</c:v>
                </c:pt>
              </c:strCache>
            </c:strRef>
          </c:cat>
          <c:val>
            <c:numRef>
              <c:f>{}</c:f>
            </c:numRef>
          </c:val>
        </c:ser>
        <c:ser>
          <c:idx val="1"/>
          <c:order val="1"/>
          <c:tx>
            <c:strRef>
              <c:f>粮食产量</c:f>
              <c:strCache>
                <c:ptCount val="1"/>
                <c:pt idx="0">
                  <c:v>粮食产量</c:v>
                </c:pt>
              </c:strCache>
            </c:strRef>
          </c:tx>
          <c:spPr>
            <a:solidFill>
              <a:srgbClr val="C0504D"/>
            </a:solidFill>
            <a:ln>
              <a:noFill/>
            </a:ln>
          </c:spPr>
          <c:explosion val="0"/>
          <c:dPt>
            <c:idx val="0"/>
            <c:bubble3D val="0"/>
            <c:spPr>
              <a:ln w="19050">
                <a:solidFill>
                  <a:srgbClr val="FFFFFF"/>
                </a:solidFill>
                <a:prstDash val="solid"/>
              </a:ln>
            </c:spPr>
          </c:dPt>
          <c:dPt>
            <c:idx val="1"/>
            <c:bubble3D val="0"/>
            <c:spPr>
              <a:ln w="19050">
                <a:solidFill>
                  <a:srgbClr val="FFFFFF"/>
                </a:solidFill>
                <a:prstDash val="solid"/>
              </a:ln>
            </c:spPr>
          </c:dPt>
          <c:dPt>
            <c:idx val="2"/>
            <c:bubble3D val="0"/>
            <c:spPr>
              <a:ln w="19050">
                <a:solidFill>
                  <a:srgbClr val="FFFFFF"/>
                </a:solidFill>
                <a:prstDash val="solid"/>
              </a:ln>
            </c:spPr>
          </c:dPt>
          <c:dPt>
            <c:idx val="3"/>
            <c:bubble3D val="0"/>
            <c:spPr>
              <a:ln w="19050">
                <a:solidFill>
                  <a:srgbClr val="FFFFFF"/>
                </a:solidFill>
                <a:prstDash val="solid"/>
              </a:ln>
            </c:spPr>
          </c:dPt>
          <c:dPt>
            <c:idx val="4"/>
            <c:bubble3D val="0"/>
            <c:spPr>
              <a:ln w="19050">
                <a:solidFill>
                  <a:srgbClr val="FFFFFF"/>
                </a:solidFill>
                <a:prstDash val="solid"/>
              </a:ln>
            </c:spPr>
          </c:dPt>
          <c:dPt>
            <c:idx val="5"/>
            <c:bubble3D val="0"/>
            <c:spPr>
              <a:ln w="19050">
                <a:solidFill>
                  <a:srgbClr val="FFFFFF"/>
                </a:solidFill>
                <a:prstDash val="solid"/>
              </a:ln>
            </c:spPr>
          </c:dPt>
          <c:dPt>
            <c:idx val="6"/>
            <c:bubble3D val="0"/>
            <c:spPr>
              <a:ln w="19050">
                <a:solidFill>
                  <a:srgbClr val="FFFFFF"/>
                </a:solidFill>
                <a:prstDash val="solid"/>
              </a:ln>
            </c:spPr>
          </c:dPt>
          <c:dPt>
            <c:idx val="7"/>
            <c:bubble3D val="0"/>
            <c:spPr>
              <a:ln w="19050">
                <a:solidFill>
                  <a:srgbClr val="FFFFFF"/>
                </a:solidFill>
                <a:prstDash val="solid"/>
              </a:ln>
            </c:spPr>
          </c:dPt>
          <c:dPt>
            <c:idx val="8"/>
            <c:bubble3D val="0"/>
            <c:spPr>
              <a:ln w="19050">
                <a:solidFill>
                  <a:srgbClr val="FFFFFF"/>
                </a:solidFill>
                <a:prstDash val="solid"/>
              </a:ln>
            </c:spPr>
          </c:dPt>
          <c:dPt>
            <c:idx val="9"/>
            <c:bubble3D val="0"/>
            <c:spPr>
              <a:ln w="19050">
                <a:solidFill>
                  <a:srgbClr val="FFFFFF"/>
                </a:solidFill>
                <a:prstDash val="solid"/>
              </a:ln>
            </c:spPr>
          </c:dPt>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方正兰亭黑_GBK" panose="02000000000000000000"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{"蓬莱","隆盛","回马","天保","河边","卓筒井","玉峰","象山","金元","盐井街道"}</c:f>
              <c:strCache>
                <c:ptCount val="10"/>
                <c:pt idx="0">
                  <c:v>蓬莱</c:v>
                </c:pt>
                <c:pt idx="1">
                  <c:v>隆盛</c:v>
                </c:pt>
                <c:pt idx="2">
                  <c:v>回马</c:v>
                </c:pt>
                <c:pt idx="3">
                  <c:v>天保</c:v>
                </c:pt>
                <c:pt idx="4">
                  <c:v>河边</c:v>
                </c:pt>
                <c:pt idx="5">
                  <c:v>卓筒井</c:v>
                </c:pt>
                <c:pt idx="6">
                  <c:v>玉峰</c:v>
                </c:pt>
                <c:pt idx="7">
                  <c:v>象山</c:v>
                </c:pt>
                <c:pt idx="8">
                  <c:v>金元</c:v>
                </c:pt>
                <c:pt idx="9">
                  <c:v>盐井街道</c:v>
                </c:pt>
              </c:strCache>
            </c:strRef>
          </c:cat>
          <c:val>
            <c:numRef>
              <c:f>{34503,33149,13005,14181,32688,15795,26854,17162,17499,3480}</c:f>
              <c:numCache>
                <c:formatCode>General</c:formatCode>
                <c:ptCount val="10"/>
                <c:pt idx="0">
                  <c:v>34503</c:v>
                </c:pt>
                <c:pt idx="1">
                  <c:v>33149</c:v>
                </c:pt>
                <c:pt idx="2">
                  <c:v>13005</c:v>
                </c:pt>
                <c:pt idx="3">
                  <c:v>14181</c:v>
                </c:pt>
                <c:pt idx="4">
                  <c:v>32688</c:v>
                </c:pt>
                <c:pt idx="5">
                  <c:v>15795</c:v>
                </c:pt>
                <c:pt idx="6">
                  <c:v>26854</c:v>
                </c:pt>
                <c:pt idx="7">
                  <c:v>17162</c:v>
                </c:pt>
                <c:pt idx="8">
                  <c:v>17499</c:v>
                </c:pt>
                <c:pt idx="9">
                  <c:v>3480</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方正兰亭黑_GBK" panose="02000000000000000000"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方正兰亭黑_GBK" panose="02000000000000000000" charset="-122"/>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4F81BD"/>
            </a:solidFill>
            <a:ln>
              <a:noFill/>
            </a:ln>
          </c:spPr>
          <c:explosion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方正兰亭黑_GBK" panose="02000000000000000000"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{"蓬莱","隆盛","回马","天保","河边","卓筒井","玉峰","象山","金元","盐井街道"}</c:f>
              <c:strCache>
                <c:ptCount val="10"/>
                <c:pt idx="0">
                  <c:v>蓬莱</c:v>
                </c:pt>
                <c:pt idx="1">
                  <c:v>隆盛</c:v>
                </c:pt>
                <c:pt idx="2">
                  <c:v>回马</c:v>
                </c:pt>
                <c:pt idx="3">
                  <c:v>天保</c:v>
                </c:pt>
                <c:pt idx="4">
                  <c:v>河边</c:v>
                </c:pt>
                <c:pt idx="5">
                  <c:v>卓筒井</c:v>
                </c:pt>
                <c:pt idx="6">
                  <c:v>玉峰</c:v>
                </c:pt>
                <c:pt idx="7">
                  <c:v>象山</c:v>
                </c:pt>
                <c:pt idx="8">
                  <c:v>金元</c:v>
                </c:pt>
                <c:pt idx="9">
                  <c:v>盐井街道</c:v>
                </c:pt>
              </c:strCache>
            </c:strRef>
          </c:cat>
          <c:val>
            <c:numRef>
              <c:f>{}</c:f>
            </c:numRef>
          </c:val>
        </c:ser>
        <c:ser>
          <c:idx val="1"/>
          <c:order val="1"/>
          <c:tx>
            <c:strRef>
              <c:f>蔬菜产量</c:f>
              <c:strCache>
                <c:ptCount val="1"/>
                <c:pt idx="0">
                  <c:v>蔬菜产量</c:v>
                </c:pt>
              </c:strCache>
            </c:strRef>
          </c:tx>
          <c:spPr>
            <a:solidFill>
              <a:srgbClr val="C0504D"/>
            </a:solidFill>
            <a:ln>
              <a:noFill/>
            </a:ln>
          </c:spPr>
          <c:explosion val="0"/>
          <c:dPt>
            <c:idx val="0"/>
            <c:bubble3D val="0"/>
            <c:spPr>
              <a:ln w="19050">
                <a:solidFill>
                  <a:srgbClr val="FFFFFF"/>
                </a:solidFill>
                <a:prstDash val="solid"/>
              </a:ln>
            </c:spPr>
          </c:dPt>
          <c:dPt>
            <c:idx val="1"/>
            <c:bubble3D val="0"/>
            <c:spPr>
              <a:ln w="19050">
                <a:solidFill>
                  <a:srgbClr val="FFFFFF"/>
                </a:solidFill>
                <a:prstDash val="solid"/>
              </a:ln>
            </c:spPr>
          </c:dPt>
          <c:dPt>
            <c:idx val="2"/>
            <c:bubble3D val="0"/>
            <c:spPr>
              <a:ln w="19050">
                <a:solidFill>
                  <a:srgbClr val="FFFFFF"/>
                </a:solidFill>
                <a:prstDash val="solid"/>
              </a:ln>
            </c:spPr>
          </c:dPt>
          <c:dPt>
            <c:idx val="3"/>
            <c:bubble3D val="0"/>
            <c:spPr>
              <a:ln w="19050">
                <a:solidFill>
                  <a:srgbClr val="FFFFFF"/>
                </a:solidFill>
                <a:prstDash val="solid"/>
              </a:ln>
            </c:spPr>
          </c:dPt>
          <c:dPt>
            <c:idx val="4"/>
            <c:bubble3D val="0"/>
            <c:spPr>
              <a:ln w="19050">
                <a:solidFill>
                  <a:srgbClr val="FFFFFF"/>
                </a:solidFill>
                <a:prstDash val="solid"/>
              </a:ln>
            </c:spPr>
          </c:dPt>
          <c:dPt>
            <c:idx val="5"/>
            <c:bubble3D val="0"/>
            <c:spPr>
              <a:ln w="19050">
                <a:solidFill>
                  <a:srgbClr val="FFFFFF"/>
                </a:solidFill>
                <a:prstDash val="solid"/>
              </a:ln>
            </c:spPr>
          </c:dPt>
          <c:dPt>
            <c:idx val="6"/>
            <c:bubble3D val="0"/>
            <c:spPr>
              <a:ln w="19050">
                <a:solidFill>
                  <a:srgbClr val="FFFFFF"/>
                </a:solidFill>
                <a:prstDash val="solid"/>
              </a:ln>
            </c:spPr>
          </c:dPt>
          <c:dPt>
            <c:idx val="7"/>
            <c:bubble3D val="0"/>
            <c:spPr>
              <a:ln w="19050">
                <a:solidFill>
                  <a:srgbClr val="FFFFFF"/>
                </a:solidFill>
                <a:prstDash val="solid"/>
              </a:ln>
            </c:spPr>
          </c:dPt>
          <c:dPt>
            <c:idx val="8"/>
            <c:bubble3D val="0"/>
            <c:spPr>
              <a:ln w="19050">
                <a:solidFill>
                  <a:srgbClr val="FFFFFF"/>
                </a:solidFill>
                <a:prstDash val="solid"/>
              </a:ln>
            </c:spPr>
          </c:dPt>
          <c:dPt>
            <c:idx val="9"/>
            <c:bubble3D val="0"/>
            <c:spPr>
              <a:ln w="19050">
                <a:solidFill>
                  <a:srgbClr val="FFFFFF"/>
                </a:solidFill>
                <a:prstDash val="solid"/>
              </a:ln>
            </c:spPr>
          </c:dPt>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方正兰亭黑_GBK" panose="02000000000000000000"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{"蓬莱","隆盛","回马","天保","河边","卓筒井","玉峰","象山","金元","盐井街道"}</c:f>
              <c:strCache>
                <c:ptCount val="10"/>
                <c:pt idx="0">
                  <c:v>蓬莱</c:v>
                </c:pt>
                <c:pt idx="1">
                  <c:v>隆盛</c:v>
                </c:pt>
                <c:pt idx="2">
                  <c:v>回马</c:v>
                </c:pt>
                <c:pt idx="3">
                  <c:v>天保</c:v>
                </c:pt>
                <c:pt idx="4">
                  <c:v>河边</c:v>
                </c:pt>
                <c:pt idx="5">
                  <c:v>卓筒井</c:v>
                </c:pt>
                <c:pt idx="6">
                  <c:v>玉峰</c:v>
                </c:pt>
                <c:pt idx="7">
                  <c:v>象山</c:v>
                </c:pt>
                <c:pt idx="8">
                  <c:v>金元</c:v>
                </c:pt>
                <c:pt idx="9">
                  <c:v>盐井街道</c:v>
                </c:pt>
              </c:strCache>
            </c:strRef>
          </c:cat>
          <c:val>
            <c:numRef>
              <c:f>{21961,13229,11910,9277,10902,8391,18550,11217,9274,4460}</c:f>
              <c:numCache>
                <c:formatCode>General</c:formatCode>
                <c:ptCount val="10"/>
                <c:pt idx="0">
                  <c:v>21961</c:v>
                </c:pt>
                <c:pt idx="1">
                  <c:v>13229</c:v>
                </c:pt>
                <c:pt idx="2">
                  <c:v>11910</c:v>
                </c:pt>
                <c:pt idx="3">
                  <c:v>9277</c:v>
                </c:pt>
                <c:pt idx="4">
                  <c:v>10902</c:v>
                </c:pt>
                <c:pt idx="5">
                  <c:v>8391</c:v>
                </c:pt>
                <c:pt idx="6">
                  <c:v>18550</c:v>
                </c:pt>
                <c:pt idx="7">
                  <c:v>11217</c:v>
                </c:pt>
                <c:pt idx="8">
                  <c:v>9274</c:v>
                </c:pt>
                <c:pt idx="9">
                  <c:v>4460</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方正兰亭黑_GBK" panose="02000000000000000000"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方正兰亭黑_GBK" panose="02000000000000000000" charset="-122"/>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5B9BD5"/>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方正兰亭黑_GBK" panose="02000000000000000000"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{"蓬莱","隆盛","回马","天保","河边","卓筒井","玉峰","象山","金元","盐井街道"}</c:f>
              <c:strCache>
                <c:ptCount val="10"/>
                <c:pt idx="0">
                  <c:v>蓬莱</c:v>
                </c:pt>
                <c:pt idx="1">
                  <c:v>隆盛</c:v>
                </c:pt>
                <c:pt idx="2">
                  <c:v>回马</c:v>
                </c:pt>
                <c:pt idx="3">
                  <c:v>天保</c:v>
                </c:pt>
                <c:pt idx="4">
                  <c:v>河边</c:v>
                </c:pt>
                <c:pt idx="5">
                  <c:v>卓筒井</c:v>
                </c:pt>
                <c:pt idx="6">
                  <c:v>玉峰</c:v>
                </c:pt>
                <c:pt idx="7">
                  <c:v>象山</c:v>
                </c:pt>
                <c:pt idx="8">
                  <c:v>金元</c:v>
                </c:pt>
                <c:pt idx="9">
                  <c:v>盐井街道</c:v>
                </c:pt>
              </c:strCache>
            </c:strRef>
          </c:cat>
          <c:val>
            <c:numRef>
              <c:f>{}</c:f>
            </c:numRef>
          </c:val>
        </c:ser>
        <c:ser>
          <c:idx val="1"/>
          <c:order val="1"/>
          <c:tx>
            <c:strRef>
              <c:f>出栏生猪</c:f>
              <c:strCache>
                <c:ptCount val="1"/>
                <c:pt idx="0">
                  <c:v>出栏生猪</c:v>
                </c:pt>
              </c:strCache>
            </c:strRef>
          </c:tx>
          <c:spPr>
            <a:solidFill>
              <a:srgbClr val="ED7D31"/>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方正兰亭黑_GBK" panose="02000000000000000000"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{"蓬莱","隆盛","回马","天保","河边","卓筒井","玉峰","象山","金元","盐井街道"}</c:f>
              <c:strCache>
                <c:ptCount val="10"/>
                <c:pt idx="0">
                  <c:v>蓬莱</c:v>
                </c:pt>
                <c:pt idx="1">
                  <c:v>隆盛</c:v>
                </c:pt>
                <c:pt idx="2">
                  <c:v>回马</c:v>
                </c:pt>
                <c:pt idx="3">
                  <c:v>天保</c:v>
                </c:pt>
                <c:pt idx="4">
                  <c:v>河边</c:v>
                </c:pt>
                <c:pt idx="5">
                  <c:v>卓筒井</c:v>
                </c:pt>
                <c:pt idx="6">
                  <c:v>玉峰</c:v>
                </c:pt>
                <c:pt idx="7">
                  <c:v>象山</c:v>
                </c:pt>
                <c:pt idx="8">
                  <c:v>金元</c:v>
                </c:pt>
                <c:pt idx="9">
                  <c:v>盐井街道</c:v>
                </c:pt>
              </c:strCache>
            </c:strRef>
          </c:cat>
          <c:val>
            <c:numRef>
              <c:f>{91489,93313,47322,43773,57477,36606,56688,31055,29577,5639}</c:f>
              <c:numCache>
                <c:formatCode>General</c:formatCode>
                <c:ptCount val="10"/>
                <c:pt idx="0">
                  <c:v>91489</c:v>
                </c:pt>
                <c:pt idx="1">
                  <c:v>93313</c:v>
                </c:pt>
                <c:pt idx="2">
                  <c:v>47322</c:v>
                </c:pt>
                <c:pt idx="3">
                  <c:v>43773</c:v>
                </c:pt>
                <c:pt idx="4">
                  <c:v>57477</c:v>
                </c:pt>
                <c:pt idx="5">
                  <c:v>36606</c:v>
                </c:pt>
                <c:pt idx="6">
                  <c:v>56688</c:v>
                </c:pt>
                <c:pt idx="7">
                  <c:v>31055</c:v>
                </c:pt>
                <c:pt idx="8">
                  <c:v>29577</c:v>
                </c:pt>
                <c:pt idx="9">
                  <c:v>5639</c:v>
                </c:pt>
              </c:numCache>
            </c:numRef>
          </c:val>
        </c:ser>
        <c:dLbls>
          <c:showLegendKey val="0"/>
          <c:showVal val="1"/>
          <c:showCatName val="0"/>
          <c:showSerName val="0"/>
          <c:showPercent val="0"/>
          <c:showBubbleSize val="0"/>
        </c:dLbls>
        <c:gapWidth val="182"/>
        <c:axId val="0"/>
        <c:axId val="1"/>
      </c:barChart>
      <c:catAx>
        <c:axId val="0"/>
        <c:scaling>
          <c:orientation val="minMax"/>
        </c:scaling>
        <c:delete val="0"/>
        <c:axPos val="l"/>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方正兰亭黑_GBK" panose="02000000000000000000" charset="-122"/>
                <a:cs typeface="Lucida Sans" panose="020B0602030504020204"/>
              </a:defRPr>
            </a:pPr>
          </a:p>
        </c:txPr>
        <c:crossAx val="1"/>
        <c:crosses val="autoZero"/>
        <c:auto val="1"/>
        <c:lblAlgn val="ctr"/>
        <c:lblOffset val="100"/>
        <c:noMultiLvlLbl val="0"/>
      </c:catAx>
      <c:valAx>
        <c:axId val="1"/>
        <c:scaling>
          <c:orientation val="minMax"/>
        </c:scaling>
        <c:delete val="0"/>
        <c:axPos val="b"/>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方正兰亭黑_GBK" panose="02000000000000000000" charset="-122"/>
                <a:cs typeface="Lucida Sans" panose="020B0602030504020204"/>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方正兰亭黑_GBK" panose="02000000000000000000" charset="-122"/>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农民人均可支配收入（元）</c:f>
              <c:strCache>
                <c:ptCount val="1"/>
                <c:pt idx="0">
                  <c:v>农民人均可支配收入（元）</c:v>
                </c:pt>
              </c:strCache>
            </c:strRef>
          </c:tx>
          <c:spPr>
            <a:solidFill>
              <a:srgbClr val="5B9BD5"/>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方正兰亭黑_GBK" panose="02000000000000000000"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{"2016年","2017年","2018年","2019年","2020年"}</c:f>
              <c:strCache>
                <c:ptCount val="5"/>
                <c:pt idx="0">
                  <c:v>2016年</c:v>
                </c:pt>
                <c:pt idx="1">
                  <c:v>2017年</c:v>
                </c:pt>
                <c:pt idx="2">
                  <c:v>2018年</c:v>
                </c:pt>
                <c:pt idx="3">
                  <c:v>2019年</c:v>
                </c:pt>
                <c:pt idx="4">
                  <c:v>2020年</c:v>
                </c:pt>
              </c:strCache>
            </c:strRef>
          </c:cat>
          <c:val>
            <c:numRef>
              <c:f>{12306,13450,14657,16165,17604}</c:f>
              <c:numCache>
                <c:formatCode>General</c:formatCode>
                <c:ptCount val="5"/>
                <c:pt idx="0">
                  <c:v>12306</c:v>
                </c:pt>
                <c:pt idx="1">
                  <c:v>13450</c:v>
                </c:pt>
                <c:pt idx="2">
                  <c:v>14657</c:v>
                </c:pt>
                <c:pt idx="3">
                  <c:v>16165</c:v>
                </c:pt>
                <c:pt idx="4">
                  <c:v>17604</c:v>
                </c:pt>
              </c:numCache>
            </c:numRef>
          </c:val>
        </c:ser>
        <c:dLbls>
          <c:showLegendKey val="0"/>
          <c:showVal val="1"/>
          <c:showCatName val="0"/>
          <c:showSerName val="0"/>
          <c:showPercent val="0"/>
          <c:showBubbleSize val="0"/>
        </c:dLbls>
        <c:gapWidth val="219"/>
        <c:axId val="0"/>
        <c:axId val="1"/>
      </c:barChart>
      <c:lineChart>
        <c:grouping val="standard"/>
        <c:varyColors val="0"/>
        <c:ser>
          <c:idx val="1"/>
          <c:order val="1"/>
          <c:tx>
            <c:strRef>
              <c:f>增速（%）</c:f>
              <c:strCache>
                <c:ptCount val="1"/>
                <c:pt idx="0">
                  <c:v>增速（%）</c:v>
                </c:pt>
              </c:strCache>
            </c:strRef>
          </c:tx>
          <c:spPr>
            <a:ln w="25400" cap="rnd" cmpd="sng" algn="ctr">
              <a:solidFill>
                <a:srgbClr val="ED7D31"/>
              </a:solidFill>
              <a:prstDash val="solid"/>
              <a:round/>
            </a:ln>
          </c:spPr>
          <c:marker>
            <c:symbol val="none"/>
          </c:marker>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方正兰亭黑_GBK" panose="02000000000000000000" charset="-122"/>
                    <a:cs typeface="Lucida Sans" panose="020B0602030504020204"/>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{"2016年","2017年","2018年","2019年","2020年"}</c:f>
              <c:strCache>
                <c:ptCount val="5"/>
                <c:pt idx="0">
                  <c:v>2016年</c:v>
                </c:pt>
                <c:pt idx="1">
                  <c:v>2017年</c:v>
                </c:pt>
                <c:pt idx="2">
                  <c:v>2018年</c:v>
                </c:pt>
                <c:pt idx="3">
                  <c:v>2019年</c:v>
                </c:pt>
                <c:pt idx="4">
                  <c:v>2020年</c:v>
                </c:pt>
              </c:strCache>
            </c:strRef>
          </c:cat>
          <c:val>
            <c:numRef>
              <c:f>{9.3,9.3,9.2,10.3,8.9}</c:f>
              <c:numCache>
                <c:formatCode>General</c:formatCode>
                <c:ptCount val="5"/>
                <c:pt idx="0">
                  <c:v>9.3</c:v>
                </c:pt>
                <c:pt idx="1">
                  <c:v>9.3</c:v>
                </c:pt>
                <c:pt idx="2">
                  <c:v>9.2</c:v>
                </c:pt>
                <c:pt idx="3">
                  <c:v>10.3</c:v>
                </c:pt>
                <c:pt idx="4">
                  <c:v>8.9</c:v>
                </c:pt>
              </c:numCache>
            </c:numRef>
          </c:val>
          <c:smooth val="0"/>
        </c:ser>
        <c:dLbls>
          <c:showLegendKey val="0"/>
          <c:showVal val="1"/>
          <c:showCatName val="0"/>
          <c:showSerName val="0"/>
          <c:showPercent val="0"/>
          <c:showBubbleSize val="0"/>
        </c:dLbls>
        <c:marker val="0"/>
        <c:smooth val="0"/>
        <c:axId val="2"/>
        <c:axId val="3"/>
      </c:line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方正兰亭黑_GBK" panose="02000000000000000000"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方正兰亭黑_GBK" panose="02000000000000000000" charset="-122"/>
                <a:cs typeface="Lucida Sans" panose="020B0602030504020204"/>
              </a:defRPr>
            </a:pPr>
          </a:p>
        </c:txPr>
        <c:crossAx val="0"/>
        <c:crossesAt val="1"/>
        <c:crossBetween val="between"/>
      </c:valAx>
      <c:catAx>
        <c:axId val="2"/>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方正兰亭黑_GBK" panose="02000000000000000000" charset="-122"/>
                <a:cs typeface="Lucida Sans" panose="020B0602030504020204"/>
              </a:defRPr>
            </a:pPr>
          </a:p>
        </c:txPr>
        <c:crossAx val="3"/>
        <c:crosses val="autoZero"/>
        <c:auto val="1"/>
        <c:lblAlgn val="ctr"/>
        <c:lblOffset val="100"/>
        <c:noMultiLvlLbl val="0"/>
      </c:catAx>
      <c:valAx>
        <c:axId val="3"/>
        <c:scaling>
          <c:orientation val="minMax"/>
        </c:scaling>
        <c:delete val="0"/>
        <c:axPos val="r"/>
        <c:numFmt formatCode="General" sourceLinked="1"/>
        <c:majorTickMark val="out"/>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方正兰亭黑_GBK" panose="02000000000000000000" charset="-122"/>
                <a:cs typeface="Lucida Sans" panose="020B0602030504020204"/>
              </a:defRPr>
            </a:pPr>
          </a:p>
        </c:txPr>
        <c:crossAx val="2"/>
        <c:crosses val="max"/>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方正兰亭黑_GBK" panose="02000000000000000000"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方正兰亭黑_GBK" panose="02000000000000000000" charset="-122"/>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国家统计局</Company>
  <Pages>156</Pages>
  <Words>91235</Words>
  <Characters>95611</Characters>
  <Lines>0</Lines>
  <Paragraphs>742</Paragraphs>
  <TotalTime>15</TotalTime>
  <ScaleCrop>false</ScaleCrop>
  <LinksUpToDate>false</LinksUpToDate>
  <CharactersWithSpaces>95896</CharactersWithSpaces>
  <Application>WPS Office_11.8.2.1122_F1E327BC-269C-435d-A152-05C5408002CA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user</cp:lastModifiedBy>
  <cp:lastPrinted>2023-06-21T00:43:00Z</cp:lastPrinted>
  <dcterms:modified xsi:type="dcterms:W3CDTF">2024-03-12T14:34:04Z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0B4416B5F8C41CAC5CF7EF655BD7D24F</vt:lpwstr>
  </property>
</Properties>
</file>