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val="0"/>
        <w:spacing w:before="453" w:beforeLines="100" w:after="0" w:line="240" w:lineRule="auto"/>
        <w:jc w:val="center"/>
        <w:textAlignment w:val="auto"/>
        <w:rPr>
          <w:rFonts w:hint="default" w:ascii="方正小标宋简体" w:hAnsi="方正小标宋简体" w:eastAsia="方正小标宋简体" w:cs="方正小标宋简体"/>
          <w:b w:val="0"/>
          <w:color w:val="000000"/>
          <w:spacing w:val="0"/>
          <w:sz w:val="72"/>
          <w:szCs w:val="72"/>
          <w:highlight w:val="none"/>
          <w:lang w:val="en-US" w:eastAsia="zh-CN"/>
        </w:rPr>
      </w:pPr>
      <w:r>
        <w:rPr>
          <w:rFonts w:hint="eastAsia" w:ascii="方正小标宋简体" w:hAnsi="方正小标宋简体" w:eastAsia="方正小标宋简体" w:cs="方正小标宋简体"/>
          <w:b w:val="0"/>
          <w:color w:val="000000"/>
          <w:spacing w:val="0"/>
          <w:sz w:val="72"/>
          <w:szCs w:val="72"/>
          <w:highlight w:val="none"/>
          <w:lang w:val="en-US" w:eastAsia="zh-CN"/>
        </w:rPr>
        <w:t>大英县发展和改革局</w:t>
      </w:r>
    </w:p>
    <w:p>
      <w:pPr>
        <w:rPr>
          <w:rFonts w:hint="eastAsia"/>
          <w:color w:val="000000"/>
          <w:highlight w:val="no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453" w:beforeLines="100" w:after="0" w:line="240" w:lineRule="auto"/>
        <w:jc w:val="center"/>
        <w:textAlignment w:val="auto"/>
        <w:rPr>
          <w:rFonts w:hint="eastAsia" w:ascii="方正小标宋简体" w:hAnsi="方正小标宋简体" w:eastAsia="方正小标宋简体" w:cs="方正小标宋简体"/>
          <w:b w:val="0"/>
          <w:color w:val="000000"/>
          <w:spacing w:val="0"/>
          <w:sz w:val="90"/>
          <w:szCs w:val="90"/>
          <w:highlight w:val="none"/>
          <w:lang w:val="en-US" w:eastAsia="zh-CN"/>
        </w:rPr>
      </w:pPr>
      <w:r>
        <w:rPr>
          <w:rFonts w:hint="eastAsia" w:ascii="方正小标宋简体" w:hAnsi="方正小标宋简体" w:eastAsia="方正小标宋简体" w:cs="方正小标宋简体"/>
          <w:b w:val="0"/>
          <w:color w:val="000000"/>
          <w:spacing w:val="0"/>
          <w:sz w:val="90"/>
          <w:szCs w:val="90"/>
          <w:highlight w:val="none"/>
          <w:lang w:val="en-US" w:eastAsia="zh-CN"/>
        </w:rPr>
        <w:t>权 责 清 单</w:t>
      </w:r>
    </w:p>
    <w:p>
      <w:pPr>
        <w:pStyle w:val="2"/>
        <w:keepNext w:val="0"/>
        <w:keepLines w:val="0"/>
        <w:pageBreakBefore w:val="0"/>
        <w:widowControl w:val="0"/>
        <w:kinsoku/>
        <w:wordWrap/>
        <w:overflowPunct/>
        <w:topLinePunct w:val="0"/>
        <w:autoSpaceDE/>
        <w:autoSpaceDN/>
        <w:bidi w:val="0"/>
        <w:adjustRightInd w:val="0"/>
        <w:snapToGrid w:val="0"/>
        <w:spacing w:before="453" w:beforeLines="100" w:after="0" w:line="240" w:lineRule="auto"/>
        <w:jc w:val="center"/>
        <w:textAlignment w:val="auto"/>
        <w:rPr>
          <w:rFonts w:hint="eastAsia" w:ascii="方正小标宋简体" w:hAnsi="方正小标宋简体" w:eastAsia="方正小标宋简体" w:cs="方正小标宋简体"/>
          <w:b w:val="0"/>
          <w:color w:val="000000"/>
          <w:spacing w:val="0"/>
          <w:sz w:val="44"/>
          <w:szCs w:val="44"/>
          <w:highlight w:val="no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453" w:beforeLines="100" w:after="0" w:line="240" w:lineRule="auto"/>
        <w:jc w:val="center"/>
        <w:textAlignment w:val="auto"/>
        <w:rPr>
          <w:rFonts w:hint="eastAsia" w:ascii="方正小标宋简体" w:hAnsi="方正小标宋简体" w:eastAsia="方正小标宋简体" w:cs="方正小标宋简体"/>
          <w:b w:val="0"/>
          <w:color w:val="000000"/>
          <w:spacing w:val="0"/>
          <w:sz w:val="44"/>
          <w:szCs w:val="44"/>
          <w:highlight w:val="none"/>
          <w:lang w:val="en-US" w:eastAsia="zh-CN"/>
        </w:rPr>
      </w:pPr>
      <w:r>
        <w:rPr>
          <w:rFonts w:hint="eastAsia" w:ascii="方正小标宋简体" w:hAnsi="方正小标宋简体" w:eastAsia="方正小标宋简体" w:cs="方正小标宋简体"/>
          <w:b w:val="0"/>
          <w:color w:val="000000"/>
          <w:spacing w:val="0"/>
          <w:sz w:val="44"/>
          <w:szCs w:val="44"/>
          <w:highlight w:val="none"/>
          <w:lang w:val="en-US" w:eastAsia="zh-CN"/>
        </w:rPr>
        <w:t>（2022年本）</w:t>
      </w:r>
    </w:p>
    <w:p>
      <w:pPr>
        <w:spacing w:line="600" w:lineRule="exact"/>
        <w:rPr>
          <w:rFonts w:hint="eastAsia" w:ascii="黑体" w:hAnsi="黑体" w:eastAsia="黑体" w:cs="方正黑体_GBK"/>
          <w:b w:val="0"/>
          <w:bCs/>
          <w:spacing w:val="0"/>
          <w:kern w:val="0"/>
          <w:szCs w:val="32"/>
        </w:rPr>
      </w:pPr>
    </w:p>
    <w:p>
      <w:pPr>
        <w:spacing w:line="600" w:lineRule="exact"/>
        <w:rPr>
          <w:rFonts w:hint="eastAsia" w:ascii="黑体" w:hAnsi="黑体" w:eastAsia="黑体" w:cs="方正黑体_GBK"/>
          <w:b w:val="0"/>
          <w:bCs/>
          <w:spacing w:val="0"/>
          <w:kern w:val="0"/>
          <w:szCs w:val="32"/>
        </w:rPr>
      </w:pPr>
    </w:p>
    <w:p>
      <w:pPr>
        <w:spacing w:line="600" w:lineRule="exact"/>
        <w:rPr>
          <w:rFonts w:hint="eastAsia" w:ascii="黑体" w:hAnsi="黑体" w:eastAsia="黑体" w:cs="方正黑体_GBK"/>
          <w:b w:val="0"/>
          <w:bCs/>
          <w:spacing w:val="0"/>
          <w:kern w:val="0"/>
          <w:szCs w:val="32"/>
        </w:rPr>
      </w:pPr>
    </w:p>
    <w:p>
      <w:pPr>
        <w:pStyle w:val="6"/>
        <w:rPr>
          <w:rFonts w:hint="eastAsia"/>
        </w:rPr>
      </w:pPr>
    </w:p>
    <w:p>
      <w:pPr>
        <w:spacing w:line="600" w:lineRule="exact"/>
        <w:jc w:val="center"/>
        <w:rPr>
          <w:rFonts w:eastAsia="方正小标宋简体"/>
          <w:b w:val="0"/>
          <w:spacing w:val="0"/>
          <w:kern w:val="0"/>
          <w:sz w:val="44"/>
          <w:szCs w:val="44"/>
        </w:rPr>
      </w:pPr>
    </w:p>
    <w:p>
      <w:pPr>
        <w:pStyle w:val="2"/>
        <w:rPr>
          <w:rFonts w:eastAsia="方正小标宋简体"/>
          <w:b w:val="0"/>
          <w:spacing w:val="0"/>
          <w:kern w:val="0"/>
          <w:sz w:val="44"/>
          <w:szCs w:val="44"/>
        </w:rPr>
      </w:pPr>
    </w:p>
    <w:p>
      <w:pPr>
        <w:rPr>
          <w:rFonts w:eastAsia="方正小标宋简体"/>
          <w:b w:val="0"/>
          <w:spacing w:val="0"/>
          <w:kern w:val="0"/>
          <w:sz w:val="44"/>
          <w:szCs w:val="44"/>
        </w:rPr>
      </w:pPr>
    </w:p>
    <w:p>
      <w:pPr>
        <w:pStyle w:val="2"/>
        <w:rPr>
          <w:rFonts w:eastAsia="方正小标宋简体"/>
          <w:b w:val="0"/>
          <w:spacing w:val="0"/>
          <w:kern w:val="0"/>
          <w:sz w:val="44"/>
          <w:szCs w:val="44"/>
        </w:rPr>
      </w:pPr>
    </w:p>
    <w:p>
      <w:pPr>
        <w:rPr>
          <w:rFonts w:eastAsia="方正小标宋简体"/>
          <w:b w:val="0"/>
          <w:spacing w:val="0"/>
          <w:kern w:val="0"/>
          <w:sz w:val="44"/>
          <w:szCs w:val="44"/>
        </w:rPr>
      </w:pPr>
    </w:p>
    <w:p>
      <w:pPr>
        <w:pStyle w:val="2"/>
      </w:pPr>
    </w:p>
    <w:p>
      <w:pPr>
        <w:spacing w:line="600" w:lineRule="exact"/>
        <w:jc w:val="center"/>
        <w:rPr>
          <w:rFonts w:hint="eastAsia" w:ascii="方正小标宋简体" w:eastAsia="方正小标宋简体"/>
          <w:b w:val="0"/>
          <w:spacing w:val="0"/>
          <w:kern w:val="0"/>
          <w:sz w:val="44"/>
          <w:szCs w:val="44"/>
        </w:rPr>
      </w:pPr>
      <w:r>
        <w:rPr>
          <w:rFonts w:hint="eastAsia" w:ascii="方正小标宋简体" w:eastAsia="方正小标宋简体"/>
          <w:b w:val="0"/>
          <w:spacing w:val="0"/>
          <w:kern w:val="0"/>
          <w:sz w:val="44"/>
          <w:szCs w:val="44"/>
          <w:lang w:val="en-US" w:eastAsia="zh-CN"/>
        </w:rPr>
        <w:t>大英县发展和改革局</w:t>
      </w:r>
      <w:r>
        <w:rPr>
          <w:rFonts w:hint="eastAsia" w:ascii="方正小标宋简体" w:eastAsia="方正小标宋简体"/>
          <w:b w:val="0"/>
          <w:spacing w:val="0"/>
          <w:kern w:val="0"/>
          <w:sz w:val="44"/>
          <w:szCs w:val="44"/>
        </w:rPr>
        <w:t>行政权力清单目录</w:t>
      </w:r>
    </w:p>
    <w:p>
      <w:pPr>
        <w:spacing w:line="592" w:lineRule="exact"/>
        <w:rPr>
          <w:rFonts w:hint="eastAsia" w:ascii="方正小标宋_GBK" w:eastAsia="方正小标宋_GBK"/>
          <w:bCs/>
          <w:sz w:val="44"/>
          <w:szCs w:val="44"/>
        </w:rPr>
      </w:pPr>
    </w:p>
    <w:tbl>
      <w:tblPr>
        <w:tblStyle w:val="9"/>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115"/>
        <w:gridCol w:w="1671"/>
        <w:gridCol w:w="3707"/>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381" w:type="dxa"/>
            <w:noWrap w:val="0"/>
            <w:vAlign w:val="center"/>
          </w:tcPr>
          <w:p>
            <w:pPr>
              <w:jc w:val="center"/>
              <w:rPr>
                <w:rFonts w:hint="eastAsia" w:ascii="黑体" w:hAnsi="黑体" w:eastAsia="黑体" w:cs="黑体"/>
                <w:b w:val="0"/>
                <w:bCs w:val="0"/>
                <w:spacing w:val="0"/>
                <w:sz w:val="21"/>
                <w:szCs w:val="21"/>
              </w:rPr>
            </w:pPr>
            <w:r>
              <w:rPr>
                <w:rFonts w:hint="eastAsia" w:ascii="黑体" w:hAnsi="黑体" w:eastAsia="黑体" w:cs="黑体"/>
                <w:b w:val="0"/>
                <w:bCs w:val="0"/>
                <w:spacing w:val="0"/>
                <w:sz w:val="21"/>
                <w:szCs w:val="21"/>
              </w:rPr>
              <w:t>部门</w:t>
            </w:r>
          </w:p>
        </w:tc>
        <w:tc>
          <w:tcPr>
            <w:tcW w:w="1115" w:type="dxa"/>
            <w:noWrap w:val="0"/>
            <w:vAlign w:val="center"/>
          </w:tcPr>
          <w:p>
            <w:pPr>
              <w:jc w:val="center"/>
              <w:rPr>
                <w:rFonts w:hint="eastAsia" w:ascii="黑体" w:hAnsi="黑体" w:eastAsia="黑体" w:cs="黑体"/>
                <w:b w:val="0"/>
                <w:bCs w:val="0"/>
                <w:spacing w:val="0"/>
                <w:sz w:val="21"/>
                <w:szCs w:val="21"/>
              </w:rPr>
            </w:pPr>
            <w:r>
              <w:rPr>
                <w:rFonts w:hint="eastAsia" w:ascii="黑体" w:hAnsi="黑体" w:eastAsia="黑体" w:cs="黑体"/>
                <w:b w:val="0"/>
                <w:bCs w:val="0"/>
                <w:spacing w:val="0"/>
                <w:sz w:val="21"/>
                <w:szCs w:val="21"/>
                <w:lang w:eastAsia="zh-CN"/>
              </w:rPr>
              <w:t>省级</w:t>
            </w:r>
            <w:r>
              <w:rPr>
                <w:rFonts w:hint="eastAsia" w:ascii="黑体" w:hAnsi="黑体" w:eastAsia="黑体" w:cs="黑体"/>
                <w:b w:val="0"/>
                <w:bCs w:val="0"/>
                <w:spacing w:val="0"/>
                <w:sz w:val="21"/>
                <w:szCs w:val="21"/>
              </w:rPr>
              <w:t>序号</w:t>
            </w:r>
          </w:p>
        </w:tc>
        <w:tc>
          <w:tcPr>
            <w:tcW w:w="1671" w:type="dxa"/>
            <w:noWrap w:val="0"/>
            <w:vAlign w:val="center"/>
          </w:tcPr>
          <w:p>
            <w:pPr>
              <w:jc w:val="center"/>
              <w:rPr>
                <w:rFonts w:hint="eastAsia" w:ascii="黑体" w:hAnsi="黑体" w:eastAsia="黑体" w:cs="黑体"/>
                <w:b w:val="0"/>
                <w:bCs w:val="0"/>
                <w:spacing w:val="0"/>
                <w:sz w:val="21"/>
                <w:szCs w:val="21"/>
              </w:rPr>
            </w:pPr>
            <w:r>
              <w:rPr>
                <w:rFonts w:hint="eastAsia" w:ascii="黑体" w:hAnsi="黑体" w:eastAsia="黑体" w:cs="黑体"/>
                <w:b w:val="0"/>
                <w:bCs w:val="0"/>
                <w:spacing w:val="0"/>
                <w:sz w:val="21"/>
                <w:szCs w:val="21"/>
              </w:rPr>
              <w:t>权力类型</w:t>
            </w:r>
          </w:p>
        </w:tc>
        <w:tc>
          <w:tcPr>
            <w:tcW w:w="3707" w:type="dxa"/>
            <w:noWrap w:val="0"/>
            <w:vAlign w:val="center"/>
          </w:tcPr>
          <w:p>
            <w:pPr>
              <w:jc w:val="center"/>
              <w:rPr>
                <w:rFonts w:hint="eastAsia" w:ascii="黑体" w:hAnsi="黑体" w:eastAsia="黑体" w:cs="黑体"/>
                <w:b w:val="0"/>
                <w:bCs w:val="0"/>
                <w:spacing w:val="0"/>
                <w:sz w:val="21"/>
                <w:szCs w:val="21"/>
              </w:rPr>
            </w:pPr>
            <w:r>
              <w:rPr>
                <w:rFonts w:hint="eastAsia" w:ascii="黑体" w:hAnsi="黑体" w:eastAsia="黑体" w:cs="黑体"/>
                <w:b w:val="0"/>
                <w:bCs w:val="0"/>
                <w:spacing w:val="0"/>
                <w:sz w:val="21"/>
                <w:szCs w:val="21"/>
              </w:rPr>
              <w:t>权力名称</w:t>
            </w:r>
          </w:p>
        </w:tc>
        <w:tc>
          <w:tcPr>
            <w:tcW w:w="1714" w:type="dxa"/>
            <w:noWrap w:val="0"/>
            <w:vAlign w:val="center"/>
          </w:tcPr>
          <w:p>
            <w:pPr>
              <w:jc w:val="center"/>
              <w:rPr>
                <w:rFonts w:hint="eastAsia" w:ascii="黑体" w:hAnsi="黑体" w:eastAsia="黑体" w:cs="黑体"/>
                <w:b w:val="0"/>
                <w:bCs w:val="0"/>
                <w:spacing w:val="0"/>
                <w:sz w:val="21"/>
                <w:szCs w:val="21"/>
              </w:rPr>
            </w:pPr>
            <w:r>
              <w:rPr>
                <w:rFonts w:hint="eastAsia" w:ascii="黑体" w:hAnsi="黑体" w:eastAsia="黑体" w:cs="黑体"/>
                <w:b w:val="0"/>
                <w:bCs w:val="0"/>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县发展改革局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1</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行政许可</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default"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企业投资项目核准</w:t>
            </w:r>
          </w:p>
        </w:tc>
        <w:tc>
          <w:tcPr>
            <w:tcW w:w="1714" w:type="dxa"/>
            <w:noWrap w:val="0"/>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jc w:val="center"/>
              <w:rPr>
                <w:rFonts w:hint="eastAsia" w:ascii="方正小标宋简体" w:hAnsi="方正小标宋简体" w:eastAsia="方正小标宋简体" w:cs="方正小标宋简体"/>
                <w:b w:val="0"/>
                <w:bCs w:val="0"/>
                <w:spacing w:val="0"/>
                <w:sz w:val="21"/>
                <w:szCs w:val="21"/>
                <w:lang w:val="en"/>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514</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行政许可</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 w:eastAsia="zh-CN"/>
              </w:rPr>
            </w:pPr>
            <w:r>
              <w:rPr>
                <w:rFonts w:hint="eastAsia" w:ascii="方正仿宋简体" w:hAnsi="方正仿宋简体" w:eastAsia="方正仿宋简体" w:cs="Times New Roman"/>
                <w:b w:val="0"/>
                <w:bCs w:val="0"/>
                <w:color w:val="000000"/>
                <w:spacing w:val="0"/>
                <w:kern w:val="0"/>
                <w:sz w:val="18"/>
                <w:szCs w:val="18"/>
                <w:lang w:val="en-US" w:eastAsia="zh-CN"/>
              </w:rPr>
              <w:t>石油天然气管道受限制区域施工保护方案许可</w:t>
            </w:r>
          </w:p>
        </w:tc>
        <w:tc>
          <w:tcPr>
            <w:tcW w:w="1714" w:type="dxa"/>
            <w:noWrap w:val="0"/>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jc w:val="center"/>
              <w:rPr>
                <w:rFonts w:hint="eastAsia" w:ascii="方正小标宋简体" w:hAnsi="方正小标宋简体" w:eastAsia="方正小标宋简体" w:cs="方正小标宋简体"/>
                <w:b w:val="0"/>
                <w:bCs w:val="0"/>
                <w:spacing w:val="0"/>
                <w:sz w:val="21"/>
                <w:szCs w:val="21"/>
                <w:lang w:val="en"/>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 w:eastAsia="zh-CN"/>
              </w:rPr>
            </w:pPr>
            <w:r>
              <w:rPr>
                <w:rFonts w:hint="eastAsia" w:ascii="方正仿宋简体" w:hAnsi="方正仿宋简体" w:eastAsia="方正仿宋简体" w:cs="Times New Roman"/>
                <w:b w:val="0"/>
                <w:bCs w:val="0"/>
                <w:color w:val="000000"/>
                <w:spacing w:val="0"/>
                <w:kern w:val="0"/>
                <w:sz w:val="18"/>
                <w:szCs w:val="18"/>
                <w:lang w:val="en-US" w:eastAsia="zh-CN"/>
              </w:rPr>
              <w:t>515</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行政许可</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 w:eastAsia="zh-CN"/>
              </w:rPr>
            </w:pPr>
            <w:r>
              <w:rPr>
                <w:rFonts w:hint="eastAsia" w:ascii="方正仿宋简体" w:hAnsi="方正仿宋简体" w:eastAsia="方正仿宋简体" w:cs="Times New Roman"/>
                <w:b w:val="0"/>
                <w:bCs w:val="0"/>
                <w:color w:val="000000"/>
                <w:spacing w:val="0"/>
                <w:kern w:val="0"/>
                <w:sz w:val="18"/>
                <w:szCs w:val="18"/>
                <w:lang w:val="en-US" w:eastAsia="zh-CN"/>
              </w:rPr>
              <w:t>石油天然气管道保护范围内特定施工作业许可</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1</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对瞒报、拒报或者伪造、篡改价格监测资料行为的行政处罚</w:t>
            </w:r>
          </w:p>
        </w:tc>
        <w:tc>
          <w:tcPr>
            <w:tcW w:w="1714" w:type="dxa"/>
            <w:noWrap w:val="0"/>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2</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对拒绝、阻碍价格主管部门及其价格监测工作人员依法实施价格监测行为的行政处罚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3</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对招标人规避招标的行政处罚</w:t>
            </w:r>
          </w:p>
        </w:tc>
        <w:tc>
          <w:tcPr>
            <w:tcW w:w="1714" w:type="dxa"/>
            <w:noWrap w:val="0"/>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对法律法规未明确规定行政监督部门的工程建设项目招标人以不合理的条件限制或者排斥潜在投标人的行政处罚</w:t>
            </w:r>
          </w:p>
        </w:tc>
        <w:tc>
          <w:tcPr>
            <w:tcW w:w="1714" w:type="dxa"/>
            <w:noWrap w:val="0"/>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5</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对法律法规未明确规定行政监督部门的工程建设项目的招标人向他人透露已获取招标文件的潜在投标人的名称、数量或者可能影响公平竞争的有关招标投标的其他情况的，或者泄露标底的行政处罚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6</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对法律法规未明确规定行政监督部门的工程建设项目的投标人相互串通投标或者与招标人串通投标的，投标人以向招标人或者评标委员会成员行贿的手段谋取中标的行政处罚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7</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对法律法规未明确规定行政监督部门的工程建设项目的投标人以他人名义投标或者以其他方式弄虚作假，骗取中标的行政处罚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8</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对法律法规未明确规定行政监督部门的工程建设项目招标人违反招投标法律规定，与投标人就投标价格、投标方案等实质性内容进行谈判的行政处罚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9</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对评标专家违规的行政处罚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10</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对法律法规未明确规定行政监督部门的工程建设项目招标人在评标委员会依法推荐的中标候选人以外确定中标人的，依法必须进行招标的项目在所有投标被评标委员会否决后自行确定中标人的行政处罚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11</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法律法规未明确规定行政监督部门的工程建设项目中标人将中标项目转让给他人的，将中标项目肢解后分别转让给他人的，违反《中华人民共和国招标投标法》规定将中标项目的部分主体、关键性工作分包给他人的，或者分包人再次分包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12</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法律法规未明确规定行政监督部门的工程建设项目的招标人和中标人不按照招标文件和中标人的投标文件订立合同，合同的主要条款与招标文件、中标人的投标文件的内容不一致，或者招标人、中标人订立背离合同实质性内容的协议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13</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对法律法规未明确规定行政监督部门的工程建设项目中标人不履行与招标人订立的合同、不按照与招标人订立的合同履行义务的行政处罚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14</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对依法必须进行招标的法律法规未明确规定行政监督部门的工程建设项目的招标人不按照规定组建评标委员会的行政处罚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15</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对依法必须进行招标的法律法规未明确规定行政监督部门的工程建设项目的中标人无正当理由不与招标人订立合同，在签订合同时向招标人提出附加条件，或者不按照招标文件要求提交履约保证金的行政处罚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16</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对法律法规未明确规定行政监督部门的工程建设项目招标人在发布招标公告、发出投标邀请书或者招标文件后终止招标的行政处罚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17</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对法律法规未明确规定行政监督部门的工程建设项目招标人强制要求中标人垫付中标项目建设资金的行政处罚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18</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对法律法规未明确规定行政监督部门的工程建设项目招标人及其工作人员违反法律、法规和规章从事与招标代理活动有关行为的行政处罚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19</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对固定资产投资项目建设单位未按照规定进行节能审查、节能审查未通过、未经节能验收、节能验收不合格或者不符合强制性节能标准的行政处罚</w:t>
            </w:r>
          </w:p>
        </w:tc>
        <w:tc>
          <w:tcPr>
            <w:tcW w:w="1714" w:type="dxa"/>
            <w:noWrap w:val="0"/>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20</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对使用国家明令淘汰的用能设备或者生产工艺的行政处罚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21</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对生产单位超过单位产品能耗限额标准用能的行政处罚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22</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对从事节能咨询、设计、评估、检测、审计、认证等服务的机构提供虚假信息的行政处罚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23</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对无偿向本单位职工提供能源或者对能源消费实行包费制的行政处罚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24</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对重点用能单位未履行节能管理义务的行政处罚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spacing w:val="-20"/>
                <w:kern w:val="2"/>
                <w:sz w:val="21"/>
                <w:szCs w:val="21"/>
                <w:lang w:val="en" w:eastAsia="zh-CN" w:bidi="ar-SA"/>
              </w:rPr>
            </w:pPr>
            <w:r>
              <w:rPr>
                <w:rFonts w:hint="eastAsia" w:ascii="方正仿宋简体" w:hAnsi="方正仿宋简体" w:eastAsia="方正仿宋简体" w:cs="Times New Roman"/>
                <w:b w:val="0"/>
                <w:bCs w:val="0"/>
                <w:color w:val="000000"/>
                <w:spacing w:val="0"/>
                <w:kern w:val="0"/>
                <w:sz w:val="18"/>
                <w:szCs w:val="18"/>
                <w:lang w:val="en-US" w:eastAsia="zh-CN"/>
              </w:rPr>
              <w:t>县</w:t>
            </w:r>
            <w:r>
              <w:rPr>
                <w:rFonts w:hint="eastAsia" w:ascii="方正仿宋简体" w:hAnsi="方正仿宋简体" w:eastAsia="方正仿宋简体" w:cs="Times New Roman"/>
                <w:b w:val="0"/>
                <w:bCs w:val="0"/>
                <w:color w:val="000000"/>
                <w:spacing w:val="0"/>
                <w:kern w:val="0"/>
                <w:sz w:val="18"/>
                <w:szCs w:val="18"/>
              </w:rPr>
              <w:t>发展改革</w:t>
            </w:r>
            <w:r>
              <w:rPr>
                <w:rFonts w:hint="eastAsia" w:ascii="方正仿宋简体" w:hAnsi="方正仿宋简体" w:eastAsia="方正仿宋简体" w:cs="Times New Roman"/>
                <w:b w:val="0"/>
                <w:bCs w:val="0"/>
                <w:color w:val="000000"/>
                <w:spacing w:val="0"/>
                <w:kern w:val="0"/>
                <w:sz w:val="18"/>
                <w:szCs w:val="18"/>
                <w:lang w:val="en-US" w:eastAsia="zh-CN"/>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25</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对电力、石油加工、化工、钢铁、有色金属和建材等企业未在规定的范围或者期限内停止使用不符合国家规定的燃油发电机组或者燃油锅炉的行政处罚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themeColor="text1"/>
                <w:spacing w:val="-20"/>
                <w:kern w:val="2"/>
                <w:sz w:val="21"/>
                <w:szCs w:val="21"/>
                <w:lang w:val="en" w:eastAsia="zh-CN" w:bidi="ar-SA"/>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县</w:t>
            </w:r>
            <w:r>
              <w:rPr>
                <w:rFonts w:hint="eastAsia" w:ascii="方正仿宋简体" w:hAnsi="方正仿宋简体" w:eastAsia="方正仿宋简体" w:cs="Times New Roman"/>
                <w:b w:val="0"/>
                <w:bCs w:val="0"/>
                <w:color w:val="000000" w:themeColor="text1"/>
                <w:spacing w:val="0"/>
                <w:kern w:val="0"/>
                <w:sz w:val="18"/>
                <w:szCs w:val="18"/>
                <w14:textFill>
                  <w14:solidFill>
                    <w14:schemeClr w14:val="tx1"/>
                  </w14:solidFill>
                </w14:textFill>
              </w:rPr>
              <w:t>发展改革</w:t>
            </w: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26</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对企业分拆项目、隐瞒有关情况或者提供虚假申报材料等不正当手段申请项目核准、备案的行政处罚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themeColor="text1"/>
                <w:spacing w:val="-20"/>
                <w:kern w:val="2"/>
                <w:sz w:val="21"/>
                <w:szCs w:val="21"/>
                <w:lang w:val="en" w:eastAsia="zh-CN" w:bidi="ar-SA"/>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县</w:t>
            </w:r>
            <w:r>
              <w:rPr>
                <w:rFonts w:hint="eastAsia" w:ascii="方正仿宋简体" w:hAnsi="方正仿宋简体" w:eastAsia="方正仿宋简体" w:cs="Times New Roman"/>
                <w:b w:val="0"/>
                <w:bCs w:val="0"/>
                <w:color w:val="000000" w:themeColor="text1"/>
                <w:spacing w:val="0"/>
                <w:kern w:val="0"/>
                <w:sz w:val="18"/>
                <w:szCs w:val="18"/>
                <w14:textFill>
                  <w14:solidFill>
                    <w14:schemeClr w14:val="tx1"/>
                  </w14:solidFill>
                </w14:textFill>
              </w:rPr>
              <w:t>发展改革</w:t>
            </w: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27</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对企业未依法办理核准手续开工建设或者未按照核准的建设地点、建设规模、建设内容等进行建设的行政处罚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themeColor="text1"/>
                <w:spacing w:val="-20"/>
                <w:kern w:val="2"/>
                <w:sz w:val="21"/>
                <w:szCs w:val="21"/>
                <w:lang w:val="en" w:eastAsia="zh-CN" w:bidi="ar-SA"/>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县</w:t>
            </w:r>
            <w:r>
              <w:rPr>
                <w:rFonts w:hint="eastAsia" w:ascii="方正仿宋简体" w:hAnsi="方正仿宋简体" w:eastAsia="方正仿宋简体" w:cs="Times New Roman"/>
                <w:b w:val="0"/>
                <w:bCs w:val="0"/>
                <w:color w:val="000000" w:themeColor="text1"/>
                <w:spacing w:val="0"/>
                <w:kern w:val="0"/>
                <w:sz w:val="18"/>
                <w:szCs w:val="18"/>
                <w14:textFill>
                  <w14:solidFill>
                    <w14:schemeClr w14:val="tx1"/>
                  </w14:solidFill>
                </w14:textFill>
              </w:rPr>
              <w:t>发展改革</w:t>
            </w: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28</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对企业以欺骗、贿赂等不正当手段取得项目核准文件的行政处罚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81" w:type="dxa"/>
            <w:noWrap w:val="0"/>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themeColor="text1"/>
                <w:spacing w:val="-20"/>
                <w:kern w:val="2"/>
                <w:sz w:val="21"/>
                <w:szCs w:val="21"/>
                <w:lang w:val="en" w:eastAsia="zh-CN" w:bidi="ar-SA"/>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县</w:t>
            </w:r>
            <w:r>
              <w:rPr>
                <w:rFonts w:hint="eastAsia" w:ascii="方正仿宋简体" w:hAnsi="方正仿宋简体" w:eastAsia="方正仿宋简体" w:cs="Times New Roman"/>
                <w:b w:val="0"/>
                <w:bCs w:val="0"/>
                <w:color w:val="000000" w:themeColor="text1"/>
                <w:spacing w:val="0"/>
                <w:kern w:val="0"/>
                <w:sz w:val="18"/>
                <w:szCs w:val="18"/>
                <w14:textFill>
                  <w14:solidFill>
                    <w14:schemeClr w14:val="tx1"/>
                  </w14:solidFill>
                </w14:textFill>
              </w:rPr>
              <w:t>发展改革</w:t>
            </w: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局</w:t>
            </w:r>
          </w:p>
        </w:tc>
        <w:tc>
          <w:tcPr>
            <w:tcW w:w="1115"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29</w:t>
            </w:r>
          </w:p>
        </w:tc>
        <w:tc>
          <w:tcPr>
            <w:tcW w:w="1671"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行政处罚</w:t>
            </w:r>
          </w:p>
        </w:tc>
        <w:tc>
          <w:tcPr>
            <w:tcW w:w="3707"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对企业未依法将备案制项目信息或者已备案项目信息变更情况告知备案机关，或者向备案机关提供虚假信息的行政处罚</w:t>
            </w:r>
          </w:p>
        </w:tc>
        <w:tc>
          <w:tcPr>
            <w:tcW w:w="1714" w:type="dxa"/>
            <w:noWrap w:val="0"/>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小标宋简体" w:hAnsi="方正小标宋简体" w:eastAsia="方正小标宋简体" w:cs="方正小标宋简体"/>
                <w:b w:val="0"/>
                <w:bCs w:val="0"/>
                <w:color w:val="000000" w:themeColor="text1"/>
                <w:spacing w:val="-20"/>
                <w:kern w:val="2"/>
                <w:sz w:val="21"/>
                <w:szCs w:val="21"/>
                <w:lang w:val="en" w:eastAsia="zh-CN" w:bidi="ar-SA"/>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县</w:t>
            </w:r>
            <w:r>
              <w:rPr>
                <w:rFonts w:hint="eastAsia" w:ascii="方正仿宋简体" w:hAnsi="方正仿宋简体" w:eastAsia="方正仿宋简体" w:cs="Times New Roman"/>
                <w:b w:val="0"/>
                <w:bCs w:val="0"/>
                <w:color w:val="000000" w:themeColor="text1"/>
                <w:spacing w:val="0"/>
                <w:kern w:val="0"/>
                <w:sz w:val="18"/>
                <w:szCs w:val="18"/>
                <w14:textFill>
                  <w14:solidFill>
                    <w14:schemeClr w14:val="tx1"/>
                  </w14:solidFill>
                </w14:textFill>
              </w:rPr>
              <w:t>发展改革</w:t>
            </w: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30</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对企业投资建设产业政策禁止投资建设项目的行政处罚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4382</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对违反政策性粮食经营活动有关规定的行政处罚</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4383</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对粮食应急预案启动后，不按照国家要求承担应急任务，不服从国家的统一安排和调度的行政处罚</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4384</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对违反规定且情节严重的粮食经营企业的法定代表人、主要负责人、直接负责的主管人员和其他直接责任人员的行政处罚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4385</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对违反规定编造、散布、传播虚假粮食市场信息，造成不良社会影响的行政处罚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4386</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对粮食收购企业未按照规定备案或者提供虚假备案信息的行政处罚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4387</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粮食收购者等未执行国家粮食质量标准，未及时支付售粮款，违反规定代扣、代缴税费和其他款项，未按规定进行质量安全检验或者对不符合食品安全标准的粮食未作为非食用用途单独储存，未建立粮食经营台账或者未按规定报送粮食基本数据和有关情况，未按规定进行粮食销售出库质量安全检验的行政处罚</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4388</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对粮食收购者、储存企业未按照规定使用仓储设施、运输工具的行政处罚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4389</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对未在粮食收购场所明示工商营业执照的行政处罚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4390</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对未向售粮者出具粮食收购凭证，载明所收购粮食品种、质量等级、价格、数量和金额的行政处罚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4391</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对从事粮食收购、销售、储存、加工的经营者以及饲料、工业用粮企业违反规定，粮食经营台账保留时间不足3年的行政处罚</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4392</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从事粮食收购、加工、储存的经营者（不含个体工商户）未配备经过专业培训的粮油保管员和粮油质量检验员等管理技术人员、不具有与所经营粮食种类和国家质量标准规定的检验项目相适应的粮食检验仪器设备和单独粮食检验场所的、不具备相应的质量管理制度、不具备规定的粮食质量检验能力和条件又无委托的行政处罚</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4393</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从事粮食储存的经营者仓储设施未符合国家有关粮食储存标准和技术规范，将粮食与可能对粮食产生污染的有害物质混存或不同收获年度的粮食混存，未按规定对霉变、病虫害超标粮食进行处理，使用国家禁止使用的化学药剂或超标使用化学药剂，以及粮库周围有有害污染源的行政处罚</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4394</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对从事粮食收购、储存的经营者（不含个体工商户）未按照国家粮食质量标准对入库粮食进行质量检验，粮食出库或购进粮食无质检报告，或对质检报告弄虚作假的行政处罚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4395</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对在粮食交易过程中，粮食销售、加工、转化经营者未索取质检报告或对质检报告弄虚作假的行政处罚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4396</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对粮食收购者、粮食储存企业将不得作为食用用途的粮食作为食用用途销售的行政处罚</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4397</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对粮油仓储单位未在规定时间备案或备案内容弄虚作假的行政处罚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4398</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对粮油仓储单位不具备规定条件的行政处罚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4399</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对粮油仓储单位违规使用“国家储备粮”和“中央储备粮”字样的行政处罚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4400</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对粮油仓储单位违反粮油出入库、储存等管理规定的行政处罚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4401</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对未实行粮食质量安全档案制度的行政处罚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4402</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对未实行粮食召回制度的行政处罚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4403</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对违规拆除、迁移粮油仓储物流设施，非法侵占、损坏粮油仓储物流设施或者擅自改变其用途的行政处罚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4404</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对石油天然气管道企业未依法履行管道保护相关义务的行政处罚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4405</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对实施危害石油天然气管道安全行为的行政处罚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4406</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对未经依法批准进行危害石油天然气管道安全的施工作业的行政处罚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4407</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对擅自开启、关闭管道阀门等危害石油天然气管道安全及阻碍管道建设行为的行政处罚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168</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行政强制</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查封、扣押非法收购或者不符合国家粮食质量安全标准的粮食，用于违法经营或者被污染的工具、设备以及有关账簿资料，查封违法从事粮食经营活动的场所</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169</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行政强制</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对违法修建的危害石油天然气管道安全的建筑物、构筑物或者其他设施的强制拆除</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2</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行政确认</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涉案财物价格认定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涉密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1</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行政检查</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节能监察</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259</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行政检查</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对粮食经营者从事粮食收购、储存、运输活动和政策性粮食的购销活动，以及执行国家粮食流通统计制度的情况的检查</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1</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行政奖励</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对在循环经济管理、科学技术研究、产品开发、示范和推广工作中做出显著成绩的单位和个人的表彰奖励</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auto"/>
                <w:spacing w:val="0"/>
                <w:kern w:val="0"/>
                <w:sz w:val="18"/>
                <w:szCs w:val="18"/>
                <w:lang w:val="en-US" w:eastAsia="zh-CN"/>
              </w:rPr>
            </w:pPr>
            <w:r>
              <w:rPr>
                <w:rFonts w:hint="eastAsia" w:ascii="方正仿宋简体" w:hAnsi="方正仿宋简体" w:eastAsia="方正仿宋简体" w:cs="Times New Roman"/>
                <w:b w:val="0"/>
                <w:bCs w:val="0"/>
                <w:color w:val="auto"/>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auto"/>
                <w:spacing w:val="0"/>
                <w:kern w:val="0"/>
                <w:sz w:val="18"/>
                <w:szCs w:val="18"/>
                <w:lang w:val="en-US" w:eastAsia="zh-CN"/>
              </w:rPr>
            </w:pPr>
            <w:r>
              <w:rPr>
                <w:rFonts w:hint="default" w:ascii="方正仿宋简体" w:hAnsi="方正仿宋简体" w:eastAsia="方正仿宋简体" w:cs="Times New Roman"/>
                <w:b w:val="0"/>
                <w:bCs w:val="0"/>
                <w:color w:val="auto"/>
                <w:spacing w:val="0"/>
                <w:kern w:val="0"/>
                <w:sz w:val="18"/>
                <w:szCs w:val="18"/>
                <w:lang w:val="en-US" w:eastAsia="zh-CN"/>
              </w:rPr>
              <w:t>1</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auto"/>
                <w:spacing w:val="0"/>
                <w:kern w:val="0"/>
                <w:sz w:val="18"/>
                <w:szCs w:val="18"/>
                <w:lang w:val="en-US" w:eastAsia="zh-CN"/>
              </w:rPr>
            </w:pPr>
            <w:r>
              <w:rPr>
                <w:rFonts w:hint="default" w:ascii="方正仿宋简体" w:hAnsi="方正仿宋简体" w:eastAsia="方正仿宋简体" w:cs="Times New Roman"/>
                <w:b w:val="0"/>
                <w:bCs w:val="0"/>
                <w:color w:val="auto"/>
                <w:spacing w:val="0"/>
                <w:kern w:val="0"/>
                <w:sz w:val="18"/>
                <w:szCs w:val="18"/>
                <w:lang w:val="en-US" w:eastAsia="zh-CN"/>
              </w:rPr>
              <w:t>其他行政权力</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auto"/>
                <w:spacing w:val="0"/>
                <w:kern w:val="0"/>
                <w:sz w:val="18"/>
                <w:szCs w:val="18"/>
                <w:lang w:val="en-US" w:eastAsia="zh-CN"/>
              </w:rPr>
            </w:pPr>
            <w:r>
              <w:rPr>
                <w:rFonts w:hint="default" w:ascii="方正仿宋简体" w:hAnsi="方正仿宋简体" w:eastAsia="方正仿宋简体" w:cs="Times New Roman"/>
                <w:b w:val="0"/>
                <w:bCs w:val="0"/>
                <w:color w:val="auto"/>
                <w:spacing w:val="0"/>
                <w:kern w:val="0"/>
                <w:sz w:val="18"/>
                <w:szCs w:val="18"/>
                <w:lang w:val="en-US" w:eastAsia="zh-CN"/>
              </w:rPr>
              <w:t>物业服务收费标准调价合理性评审</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auto"/>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r>
              <w:rPr>
                <w:rFonts w:hint="default" w:ascii="方正仿宋简体" w:hAnsi="方正仿宋简体" w:eastAsia="方正仿宋简体" w:cs="Times New Roman"/>
                <w:b w:val="0"/>
                <w:bCs w:val="0"/>
                <w:color w:val="000000"/>
                <w:spacing w:val="0"/>
                <w:kern w:val="0"/>
                <w:sz w:val="18"/>
                <w:szCs w:val="18"/>
                <w:lang w:val="en-US" w:eastAsia="zh-CN"/>
              </w:rPr>
              <w:t>2</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r>
              <w:rPr>
                <w:rFonts w:hint="default" w:ascii="方正仿宋简体" w:hAnsi="方正仿宋简体" w:eastAsia="方正仿宋简体" w:cs="Times New Roman"/>
                <w:b w:val="0"/>
                <w:bCs w:val="0"/>
                <w:color w:val="000000"/>
                <w:spacing w:val="0"/>
                <w:kern w:val="0"/>
                <w:sz w:val="18"/>
                <w:szCs w:val="18"/>
                <w:lang w:val="en-US" w:eastAsia="zh-CN"/>
              </w:rPr>
              <w:t>其他行政权力</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r>
              <w:rPr>
                <w:rFonts w:hint="default" w:ascii="方正仿宋简体" w:hAnsi="方正仿宋简体" w:eastAsia="方正仿宋简体" w:cs="Times New Roman"/>
                <w:b w:val="0"/>
                <w:bCs w:val="0"/>
                <w:color w:val="000000"/>
                <w:spacing w:val="0"/>
                <w:kern w:val="0"/>
                <w:sz w:val="18"/>
                <w:szCs w:val="18"/>
                <w:lang w:val="en-US" w:eastAsia="zh-CN"/>
              </w:rPr>
              <w:t>权限内商品和服务价格政府定价、政府指导价制定</w:t>
            </w:r>
          </w:p>
        </w:tc>
        <w:tc>
          <w:tcPr>
            <w:tcW w:w="0" w:type="auto"/>
            <w:vAlign w:val="center"/>
          </w:tcPr>
          <w:p>
            <w:pPr>
              <w:widowControl/>
              <w:suppressAutoHyphens/>
              <w:autoSpaceDE w:val="0"/>
              <w:snapToGrid w:val="0"/>
              <w:jc w:val="center"/>
              <w:textAlignment w:val="center"/>
              <w:rPr>
                <w:rFonts w:hint="eastAsia"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eastAsia"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县发展改革局</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default"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3</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default"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其他行政权力</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r>
              <w:rPr>
                <w:rFonts w:hint="default"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t>企业投资项目备案</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themeColor="text1"/>
                <w:spacing w:val="0"/>
                <w:kern w:val="0"/>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r>
              <w:rPr>
                <w:rFonts w:hint="default" w:ascii="方正仿宋简体" w:hAnsi="方正仿宋简体" w:eastAsia="方正仿宋简体" w:cs="Times New Roman"/>
                <w:b w:val="0"/>
                <w:bCs w:val="0"/>
                <w:color w:val="000000"/>
                <w:spacing w:val="0"/>
                <w:kern w:val="0"/>
                <w:sz w:val="18"/>
                <w:szCs w:val="18"/>
                <w:lang w:val="en-US" w:eastAsia="zh-CN"/>
              </w:rPr>
              <w:t>291</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r>
              <w:rPr>
                <w:rFonts w:hint="default" w:ascii="方正仿宋简体" w:hAnsi="方正仿宋简体" w:eastAsia="方正仿宋简体" w:cs="Times New Roman"/>
                <w:b w:val="0"/>
                <w:bCs w:val="0"/>
                <w:color w:val="000000"/>
                <w:spacing w:val="0"/>
                <w:kern w:val="0"/>
                <w:sz w:val="18"/>
                <w:szCs w:val="18"/>
                <w:lang w:val="en-US" w:eastAsia="zh-CN"/>
              </w:rPr>
              <w:t>其他行政权力</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r>
              <w:rPr>
                <w:rFonts w:hint="default" w:ascii="方正仿宋简体" w:hAnsi="方正仿宋简体" w:eastAsia="方正仿宋简体" w:cs="Times New Roman"/>
                <w:b w:val="0"/>
                <w:bCs w:val="0"/>
                <w:color w:val="000000"/>
                <w:spacing w:val="0"/>
                <w:kern w:val="0"/>
                <w:sz w:val="18"/>
                <w:szCs w:val="18"/>
                <w:lang w:val="en-US" w:eastAsia="zh-CN"/>
              </w:rPr>
              <w:t>粮食收购企业备案</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r>
              <w:rPr>
                <w:rFonts w:hint="eastAsia" w:ascii="方正仿宋简体" w:hAnsi="方正仿宋简体" w:eastAsia="方正仿宋简体" w:cs="Times New Roman"/>
                <w:b w:val="0"/>
                <w:bCs w:val="0"/>
                <w:color w:val="000000"/>
                <w:spacing w:val="0"/>
                <w:kern w:val="0"/>
                <w:sz w:val="18"/>
                <w:szCs w:val="18"/>
                <w:lang w:val="en-US" w:eastAsia="zh-CN"/>
              </w:rPr>
              <w:t>县发展改革局</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r>
              <w:rPr>
                <w:rFonts w:hint="default" w:ascii="方正仿宋简体" w:hAnsi="方正仿宋简体" w:eastAsia="方正仿宋简体" w:cs="Times New Roman"/>
                <w:b w:val="0"/>
                <w:bCs w:val="0"/>
                <w:color w:val="000000"/>
                <w:spacing w:val="0"/>
                <w:kern w:val="0"/>
                <w:sz w:val="18"/>
                <w:szCs w:val="18"/>
                <w:lang w:val="en-US" w:eastAsia="zh-CN"/>
              </w:rPr>
              <w:t>292</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r>
              <w:rPr>
                <w:rFonts w:hint="default" w:ascii="方正仿宋简体" w:hAnsi="方正仿宋简体" w:eastAsia="方正仿宋简体" w:cs="Times New Roman"/>
                <w:b w:val="0"/>
                <w:bCs w:val="0"/>
                <w:color w:val="000000"/>
                <w:spacing w:val="0"/>
                <w:kern w:val="0"/>
                <w:sz w:val="18"/>
                <w:szCs w:val="18"/>
                <w:lang w:val="en-US" w:eastAsia="zh-CN"/>
              </w:rPr>
              <w:t>其他行政权力</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r>
              <w:rPr>
                <w:rFonts w:hint="default" w:ascii="方正仿宋简体" w:hAnsi="方正仿宋简体" w:eastAsia="方正仿宋简体" w:cs="Times New Roman"/>
                <w:b w:val="0"/>
                <w:bCs w:val="0"/>
                <w:color w:val="000000"/>
                <w:spacing w:val="0"/>
                <w:kern w:val="0"/>
                <w:sz w:val="18"/>
                <w:szCs w:val="18"/>
                <w:lang w:val="en-US" w:eastAsia="zh-CN"/>
              </w:rPr>
              <w:t>石油天然气管道竣工验收</w:t>
            </w:r>
          </w:p>
        </w:tc>
        <w:tc>
          <w:tcPr>
            <w:tcW w:w="0" w:type="auto"/>
            <w:vAlign w:val="center"/>
          </w:tcPr>
          <w:p>
            <w:pPr>
              <w:widowControl/>
              <w:suppressAutoHyphens/>
              <w:autoSpaceDE w:val="0"/>
              <w:snapToGrid w:val="0"/>
              <w:jc w:val="center"/>
              <w:textAlignment w:val="center"/>
              <w:rPr>
                <w:rFonts w:hint="default" w:ascii="方正仿宋简体" w:hAnsi="方正仿宋简体" w:eastAsia="方正仿宋简体" w:cs="Times New Roman"/>
                <w:b w:val="0"/>
                <w:bCs w:val="0"/>
                <w:color w:val="000000"/>
                <w:spacing w:val="0"/>
                <w:kern w:val="0"/>
                <w:sz w:val="18"/>
                <w:szCs w:val="18"/>
                <w:lang w:val="en-US" w:eastAsia="zh-CN"/>
              </w:rPr>
            </w:pPr>
          </w:p>
        </w:tc>
      </w:tr>
    </w:tbl>
    <w:p>
      <w:pPr>
        <w:spacing w:line="500" w:lineRule="exact"/>
        <w:rPr>
          <w:rFonts w:hint="eastAsia"/>
          <w:b w:val="0"/>
          <w:bCs/>
          <w:spacing w:val="0"/>
          <w:sz w:val="24"/>
          <w:lang w:val="en"/>
        </w:rPr>
      </w:pPr>
      <w:r>
        <w:rPr>
          <w:rFonts w:hint="eastAsia"/>
          <w:b w:val="0"/>
          <w:bCs/>
          <w:spacing w:val="0"/>
          <w:sz w:val="24"/>
        </w:rPr>
        <w:t>说明：</w:t>
      </w:r>
      <w:r>
        <w:rPr>
          <w:rFonts w:hint="eastAsia"/>
          <w:b w:val="0"/>
          <w:bCs/>
          <w:spacing w:val="0"/>
          <w:sz w:val="24"/>
          <w:lang w:val="en"/>
        </w:rPr>
        <w:t>新增、变更行政权力事项该行字体</w:t>
      </w:r>
      <w:r>
        <w:rPr>
          <w:rFonts w:hint="eastAsia"/>
          <w:b w:val="0"/>
          <w:bCs/>
          <w:spacing w:val="0"/>
          <w:sz w:val="24"/>
          <w:lang w:val="en-US" w:eastAsia="zh-CN"/>
        </w:rPr>
        <w:t>已</w:t>
      </w:r>
      <w:r>
        <w:rPr>
          <w:rFonts w:hint="eastAsia"/>
          <w:b w:val="0"/>
          <w:bCs/>
          <w:spacing w:val="0"/>
          <w:sz w:val="24"/>
          <w:lang w:val="en"/>
        </w:rPr>
        <w:t>突出显示。</w:t>
      </w:r>
    </w:p>
    <w:p>
      <w:pPr>
        <w:spacing w:line="600" w:lineRule="exact"/>
        <w:ind w:firstLine="640" w:firstLineChars="200"/>
        <w:rPr>
          <w:b w:val="0"/>
          <w:spacing w:val="0"/>
          <w:szCs w:val="32"/>
        </w:rPr>
      </w:pPr>
    </w:p>
    <w:p>
      <w:pPr>
        <w:adjustRightInd w:val="0"/>
        <w:snapToGrid w:val="0"/>
        <w:spacing w:line="600" w:lineRule="exact"/>
        <w:ind w:firstLine="640" w:firstLineChars="200"/>
        <w:jc w:val="left"/>
        <w:rPr>
          <w:rFonts w:hint="eastAsia"/>
          <w:b w:val="0"/>
          <w:spacing w:val="0"/>
          <w:szCs w:val="32"/>
        </w:rPr>
        <w:sectPr>
          <w:footerReference r:id="rId3" w:type="default"/>
          <w:footerReference r:id="rId4" w:type="even"/>
          <w:pgSz w:w="11906" w:h="16838"/>
          <w:pgMar w:top="1814" w:right="1531" w:bottom="1588" w:left="1531" w:header="851" w:footer="1247" w:gutter="0"/>
          <w:cols w:space="720" w:num="1"/>
          <w:docGrid w:type="linesAndChars" w:linePitch="442" w:charSpace="0"/>
        </w:sectPr>
      </w:pPr>
    </w:p>
    <w:p>
      <w:pPr>
        <w:spacing w:line="600" w:lineRule="exact"/>
        <w:rPr>
          <w:rFonts w:hint="eastAsia" w:ascii="Times New Roman" w:hAnsi="Times New Roman" w:eastAsia="黑体" w:cs="黑体"/>
          <w:b w:val="0"/>
          <w:bCs/>
          <w:spacing w:val="0"/>
          <w:kern w:val="0"/>
          <w:sz w:val="32"/>
          <w:szCs w:val="32"/>
        </w:rPr>
      </w:pPr>
      <w:r>
        <w:rPr>
          <w:rFonts w:hint="eastAsia" w:ascii="Times New Roman" w:hAnsi="Times New Roman" w:eastAsia="黑体" w:cs="黑体"/>
          <w:b w:val="0"/>
          <w:bCs/>
          <w:spacing w:val="0"/>
          <w:kern w:val="0"/>
          <w:sz w:val="32"/>
          <w:szCs w:val="32"/>
        </w:rPr>
        <w:t>附表2</w:t>
      </w:r>
    </w:p>
    <w:p>
      <w:pPr>
        <w:spacing w:line="600" w:lineRule="exact"/>
        <w:jc w:val="center"/>
        <w:rPr>
          <w:rFonts w:hint="eastAsia" w:ascii="Times New Roman" w:hAnsi="Times New Roman" w:eastAsia="方正小标宋简体"/>
          <w:b w:val="0"/>
          <w:spacing w:val="0"/>
          <w:kern w:val="0"/>
          <w:sz w:val="44"/>
          <w:szCs w:val="44"/>
        </w:rPr>
      </w:pPr>
      <w:r>
        <w:rPr>
          <w:rFonts w:hint="eastAsia" w:eastAsia="方正小标宋简体"/>
          <w:b w:val="0"/>
          <w:spacing w:val="0"/>
          <w:kern w:val="0"/>
          <w:sz w:val="44"/>
          <w:szCs w:val="44"/>
          <w:lang w:val="en-US" w:eastAsia="zh-CN"/>
        </w:rPr>
        <w:t>大英县发展和改革局</w:t>
      </w:r>
      <w:r>
        <w:rPr>
          <w:rFonts w:hint="eastAsia" w:ascii="Times New Roman" w:hAnsi="Times New Roman" w:eastAsia="方正小标宋简体"/>
          <w:b w:val="0"/>
          <w:spacing w:val="0"/>
          <w:kern w:val="0"/>
          <w:sz w:val="44"/>
          <w:szCs w:val="44"/>
        </w:rPr>
        <w:t>权责清单</w:t>
      </w:r>
    </w:p>
    <w:p>
      <w:pPr>
        <w:spacing w:line="600" w:lineRule="exact"/>
        <w:jc w:val="center"/>
        <w:rPr>
          <w:rFonts w:hint="eastAsia" w:ascii="Times New Roman" w:hAnsi="Times New Roman" w:eastAsia="方正小标宋简体"/>
          <w:b w:val="0"/>
          <w:spacing w:val="0"/>
          <w:kern w:val="0"/>
          <w:sz w:val="40"/>
          <w:szCs w:val="40"/>
        </w:rPr>
      </w:pPr>
    </w:p>
    <w:tbl>
      <w:tblPr>
        <w:tblStyle w:val="9"/>
        <w:tblW w:w="1461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667"/>
        <w:gridCol w:w="1173"/>
        <w:gridCol w:w="3210"/>
        <w:gridCol w:w="765"/>
        <w:gridCol w:w="4049"/>
        <w:gridCol w:w="1065"/>
        <w:gridCol w:w="1904"/>
        <w:gridCol w:w="846"/>
        <w:gridCol w:w="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blHeader/>
        </w:trPr>
        <w:tc>
          <w:tcPr>
            <w:tcW w:w="499" w:type="dxa"/>
            <w:vMerge w:val="restart"/>
            <w:noWrap/>
            <w:vAlign w:val="center"/>
          </w:tcPr>
          <w:p>
            <w:pPr>
              <w:spacing w:line="320" w:lineRule="exact"/>
              <w:jc w:val="center"/>
              <w:rPr>
                <w:rFonts w:hint="eastAsia" w:ascii="Times New Roman" w:hAnsi="Times New Roman" w:eastAsia="黑体" w:cs="仿宋_GB2312"/>
                <w:b w:val="0"/>
                <w:spacing w:val="0"/>
                <w:sz w:val="21"/>
                <w:szCs w:val="21"/>
              </w:rPr>
            </w:pPr>
            <w:r>
              <w:rPr>
                <w:rFonts w:hint="eastAsia" w:ascii="Times New Roman" w:hAnsi="Times New Roman" w:eastAsia="黑体" w:cs="仿宋_GB2312"/>
                <w:b w:val="0"/>
                <w:spacing w:val="0"/>
                <w:sz w:val="21"/>
                <w:szCs w:val="21"/>
              </w:rPr>
              <w:t>序号</w:t>
            </w:r>
          </w:p>
        </w:tc>
        <w:tc>
          <w:tcPr>
            <w:tcW w:w="5050" w:type="dxa"/>
            <w:gridSpan w:val="3"/>
            <w:noWrap/>
            <w:vAlign w:val="center"/>
          </w:tcPr>
          <w:p>
            <w:pPr>
              <w:spacing w:line="320" w:lineRule="exact"/>
              <w:jc w:val="center"/>
              <w:rPr>
                <w:rFonts w:hint="eastAsia" w:ascii="Times New Roman" w:hAnsi="Times New Roman" w:eastAsia="黑体" w:cs="仿宋_GB2312"/>
                <w:b w:val="0"/>
                <w:spacing w:val="0"/>
                <w:sz w:val="21"/>
                <w:szCs w:val="21"/>
              </w:rPr>
            </w:pPr>
            <w:r>
              <w:rPr>
                <w:rFonts w:hint="eastAsia" w:ascii="Times New Roman" w:hAnsi="Times New Roman" w:eastAsia="黑体" w:cs="仿宋_GB2312"/>
                <w:b w:val="0"/>
                <w:spacing w:val="0"/>
                <w:sz w:val="21"/>
                <w:szCs w:val="21"/>
              </w:rPr>
              <w:t>权力清单</w:t>
            </w:r>
          </w:p>
        </w:tc>
        <w:tc>
          <w:tcPr>
            <w:tcW w:w="8629" w:type="dxa"/>
            <w:gridSpan w:val="5"/>
            <w:noWrap/>
            <w:vAlign w:val="center"/>
          </w:tcPr>
          <w:p>
            <w:pPr>
              <w:spacing w:line="320" w:lineRule="exact"/>
              <w:jc w:val="center"/>
              <w:rPr>
                <w:rFonts w:hint="eastAsia" w:ascii="Times New Roman" w:hAnsi="Times New Roman" w:eastAsia="黑体" w:cs="仿宋_GB2312"/>
                <w:b w:val="0"/>
                <w:spacing w:val="0"/>
                <w:sz w:val="21"/>
                <w:szCs w:val="21"/>
              </w:rPr>
            </w:pPr>
            <w:r>
              <w:rPr>
                <w:rFonts w:hint="eastAsia" w:ascii="Times New Roman" w:hAnsi="Times New Roman" w:eastAsia="黑体" w:cs="仿宋_GB2312"/>
                <w:b w:val="0"/>
                <w:spacing w:val="0"/>
                <w:sz w:val="21"/>
                <w:szCs w:val="21"/>
              </w:rPr>
              <w:t>责任清单</w:t>
            </w:r>
          </w:p>
        </w:tc>
        <w:tc>
          <w:tcPr>
            <w:tcW w:w="441" w:type="dxa"/>
            <w:vMerge w:val="restart"/>
            <w:noWrap/>
            <w:vAlign w:val="center"/>
          </w:tcPr>
          <w:p>
            <w:pPr>
              <w:widowControl/>
              <w:adjustRightInd w:val="0"/>
              <w:snapToGrid w:val="0"/>
              <w:jc w:val="center"/>
              <w:textAlignment w:val="center"/>
              <w:rPr>
                <w:rFonts w:hint="eastAsia" w:ascii="Times New Roman" w:hAnsi="Times New Roman" w:eastAsia="黑体" w:cs="仿宋_GB2312"/>
                <w:b w:val="0"/>
                <w:spacing w:val="0"/>
                <w:sz w:val="21"/>
                <w:szCs w:val="21"/>
              </w:rPr>
            </w:pPr>
            <w:r>
              <w:rPr>
                <w:rFonts w:hint="eastAsia" w:ascii="Times New Roman" w:hAnsi="Times New Roman" w:eastAsia="黑体" w:cs="仿宋_GB2312"/>
                <w:b w:val="0"/>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blHeader/>
        </w:trPr>
        <w:tc>
          <w:tcPr>
            <w:tcW w:w="499" w:type="dxa"/>
            <w:vMerge w:val="continue"/>
            <w:noWrap/>
            <w:vAlign w:val="center"/>
          </w:tcPr>
          <w:p>
            <w:pPr>
              <w:spacing w:line="320" w:lineRule="exact"/>
              <w:jc w:val="center"/>
              <w:rPr>
                <w:rFonts w:hint="eastAsia" w:ascii="Times New Roman" w:hAnsi="Times New Roman" w:cs="仿宋_GB2312"/>
                <w:b w:val="0"/>
                <w:spacing w:val="0"/>
                <w:sz w:val="21"/>
                <w:szCs w:val="21"/>
              </w:rPr>
            </w:pPr>
          </w:p>
        </w:tc>
        <w:tc>
          <w:tcPr>
            <w:tcW w:w="667" w:type="dxa"/>
            <w:noWrap/>
            <w:vAlign w:val="center"/>
          </w:tcPr>
          <w:p>
            <w:pPr>
              <w:adjustRightInd w:val="0"/>
              <w:snapToGrid w:val="0"/>
              <w:spacing w:line="320" w:lineRule="exact"/>
              <w:jc w:val="center"/>
              <w:textAlignment w:val="center"/>
              <w:rPr>
                <w:rFonts w:hint="eastAsia" w:ascii="Times New Roman" w:hAnsi="Times New Roman" w:eastAsia="黑体" w:cs="仿宋_GB2312"/>
                <w:b w:val="0"/>
                <w:spacing w:val="0"/>
                <w:sz w:val="21"/>
                <w:szCs w:val="21"/>
              </w:rPr>
            </w:pPr>
            <w:r>
              <w:rPr>
                <w:rFonts w:hint="eastAsia" w:ascii="Times New Roman" w:hAnsi="Times New Roman" w:eastAsia="黑体" w:cs="仿宋_GB2312"/>
                <w:b w:val="0"/>
                <w:spacing w:val="0"/>
                <w:sz w:val="21"/>
                <w:szCs w:val="21"/>
              </w:rPr>
              <w:t>权力类型</w:t>
            </w:r>
          </w:p>
        </w:tc>
        <w:tc>
          <w:tcPr>
            <w:tcW w:w="1173" w:type="dxa"/>
            <w:noWrap/>
            <w:vAlign w:val="center"/>
          </w:tcPr>
          <w:p>
            <w:pPr>
              <w:adjustRightInd w:val="0"/>
              <w:snapToGrid w:val="0"/>
              <w:spacing w:line="320" w:lineRule="exact"/>
              <w:jc w:val="center"/>
              <w:textAlignment w:val="center"/>
              <w:rPr>
                <w:rFonts w:hint="eastAsia" w:ascii="Times New Roman" w:hAnsi="Times New Roman" w:eastAsia="黑体" w:cs="仿宋_GB2312"/>
                <w:b w:val="0"/>
                <w:spacing w:val="0"/>
                <w:sz w:val="21"/>
                <w:szCs w:val="21"/>
              </w:rPr>
            </w:pPr>
            <w:r>
              <w:rPr>
                <w:rFonts w:hint="eastAsia" w:ascii="Times New Roman" w:hAnsi="Times New Roman" w:eastAsia="黑体" w:cs="仿宋_GB2312"/>
                <w:b w:val="0"/>
                <w:spacing w:val="0"/>
                <w:sz w:val="21"/>
                <w:szCs w:val="21"/>
              </w:rPr>
              <w:t>权力名称</w:t>
            </w:r>
          </w:p>
        </w:tc>
        <w:tc>
          <w:tcPr>
            <w:tcW w:w="3210" w:type="dxa"/>
            <w:noWrap/>
            <w:vAlign w:val="center"/>
          </w:tcPr>
          <w:p>
            <w:pPr>
              <w:adjustRightInd w:val="0"/>
              <w:snapToGrid w:val="0"/>
              <w:spacing w:line="320" w:lineRule="exact"/>
              <w:jc w:val="center"/>
              <w:textAlignment w:val="center"/>
              <w:rPr>
                <w:rFonts w:hint="eastAsia" w:ascii="Times New Roman" w:hAnsi="Times New Roman" w:eastAsia="黑体" w:cs="仿宋_GB2312"/>
                <w:b w:val="0"/>
                <w:spacing w:val="0"/>
                <w:sz w:val="21"/>
                <w:szCs w:val="21"/>
              </w:rPr>
            </w:pPr>
            <w:r>
              <w:rPr>
                <w:rFonts w:hint="eastAsia" w:ascii="Times New Roman" w:hAnsi="Times New Roman" w:eastAsia="黑体" w:cs="仿宋_GB2312"/>
                <w:b w:val="0"/>
                <w:spacing w:val="0"/>
                <w:sz w:val="21"/>
                <w:szCs w:val="21"/>
              </w:rPr>
              <w:t>设定依据</w:t>
            </w:r>
          </w:p>
        </w:tc>
        <w:tc>
          <w:tcPr>
            <w:tcW w:w="765" w:type="dxa"/>
            <w:noWrap/>
            <w:vAlign w:val="center"/>
          </w:tcPr>
          <w:p>
            <w:pPr>
              <w:adjustRightInd w:val="0"/>
              <w:snapToGrid w:val="0"/>
              <w:spacing w:line="320" w:lineRule="exact"/>
              <w:jc w:val="center"/>
              <w:textAlignment w:val="center"/>
              <w:rPr>
                <w:rFonts w:hint="eastAsia" w:ascii="Times New Roman" w:hAnsi="Times New Roman" w:eastAsia="黑体" w:cs="仿宋_GB2312"/>
                <w:b w:val="0"/>
                <w:spacing w:val="0"/>
                <w:sz w:val="21"/>
                <w:szCs w:val="21"/>
              </w:rPr>
            </w:pPr>
            <w:r>
              <w:rPr>
                <w:rFonts w:hint="eastAsia" w:ascii="Times New Roman" w:hAnsi="Times New Roman" w:eastAsia="黑体" w:cs="仿宋_GB2312"/>
                <w:b w:val="0"/>
                <w:spacing w:val="0"/>
                <w:sz w:val="21"/>
                <w:szCs w:val="21"/>
              </w:rPr>
              <w:t>责任主体</w:t>
            </w:r>
          </w:p>
        </w:tc>
        <w:tc>
          <w:tcPr>
            <w:tcW w:w="4049" w:type="dxa"/>
            <w:noWrap/>
            <w:vAlign w:val="center"/>
          </w:tcPr>
          <w:p>
            <w:pPr>
              <w:adjustRightInd w:val="0"/>
              <w:snapToGrid w:val="0"/>
              <w:spacing w:line="320" w:lineRule="exact"/>
              <w:jc w:val="center"/>
              <w:textAlignment w:val="center"/>
              <w:rPr>
                <w:rFonts w:hint="eastAsia" w:ascii="Times New Roman" w:hAnsi="Times New Roman" w:eastAsia="黑体" w:cs="仿宋_GB2312"/>
                <w:b w:val="0"/>
                <w:spacing w:val="0"/>
                <w:sz w:val="21"/>
                <w:szCs w:val="21"/>
              </w:rPr>
            </w:pPr>
            <w:r>
              <w:rPr>
                <w:rFonts w:hint="eastAsia" w:ascii="Times New Roman" w:hAnsi="Times New Roman" w:eastAsia="黑体" w:cs="仿宋_GB2312"/>
                <w:b w:val="0"/>
                <w:spacing w:val="0"/>
                <w:sz w:val="21"/>
                <w:szCs w:val="21"/>
              </w:rPr>
              <w:t>责任事项</w:t>
            </w:r>
          </w:p>
        </w:tc>
        <w:tc>
          <w:tcPr>
            <w:tcW w:w="1065" w:type="dxa"/>
            <w:noWrap/>
            <w:vAlign w:val="center"/>
          </w:tcPr>
          <w:p>
            <w:pPr>
              <w:adjustRightInd w:val="0"/>
              <w:snapToGrid w:val="0"/>
              <w:jc w:val="center"/>
              <w:textAlignment w:val="center"/>
              <w:rPr>
                <w:rFonts w:hint="eastAsia" w:ascii="Times New Roman" w:hAnsi="Times New Roman" w:eastAsia="黑体" w:cs="仿宋_GB2312"/>
                <w:b w:val="0"/>
                <w:spacing w:val="0"/>
                <w:sz w:val="21"/>
                <w:szCs w:val="21"/>
              </w:rPr>
            </w:pPr>
            <w:r>
              <w:rPr>
                <w:rFonts w:hint="eastAsia" w:ascii="Times New Roman" w:hAnsi="Times New Roman" w:eastAsia="黑体" w:cs="仿宋_GB2312"/>
                <w:b w:val="0"/>
                <w:spacing w:val="0"/>
                <w:sz w:val="21"/>
                <w:szCs w:val="21"/>
              </w:rPr>
              <w:t>问责依据</w:t>
            </w:r>
          </w:p>
        </w:tc>
        <w:tc>
          <w:tcPr>
            <w:tcW w:w="1904" w:type="dxa"/>
            <w:noWrap/>
            <w:vAlign w:val="center"/>
          </w:tcPr>
          <w:p>
            <w:pPr>
              <w:adjustRightInd w:val="0"/>
              <w:snapToGrid w:val="0"/>
              <w:jc w:val="center"/>
              <w:textAlignment w:val="center"/>
              <w:rPr>
                <w:rFonts w:hint="eastAsia" w:ascii="Times New Roman" w:hAnsi="Times New Roman" w:eastAsia="黑体" w:cs="仿宋_GB2312"/>
                <w:b w:val="0"/>
                <w:spacing w:val="0"/>
                <w:sz w:val="21"/>
                <w:szCs w:val="21"/>
              </w:rPr>
            </w:pPr>
            <w:r>
              <w:rPr>
                <w:rFonts w:hint="eastAsia" w:ascii="Times New Roman" w:hAnsi="Times New Roman" w:eastAsia="黑体" w:cs="仿宋_GB2312"/>
                <w:b w:val="0"/>
                <w:spacing w:val="0"/>
                <w:sz w:val="21"/>
                <w:szCs w:val="21"/>
              </w:rPr>
              <w:t>追责情形</w:t>
            </w:r>
          </w:p>
          <w:p>
            <w:pPr>
              <w:adjustRightInd w:val="0"/>
              <w:snapToGrid w:val="0"/>
              <w:jc w:val="center"/>
              <w:textAlignment w:val="center"/>
              <w:rPr>
                <w:rFonts w:hint="eastAsia" w:ascii="Times New Roman" w:hAnsi="Times New Roman" w:eastAsia="黑体" w:cs="仿宋_GB2312"/>
                <w:b w:val="0"/>
                <w:spacing w:val="0"/>
                <w:sz w:val="21"/>
                <w:szCs w:val="21"/>
              </w:rPr>
            </w:pPr>
            <w:r>
              <w:rPr>
                <w:rFonts w:hint="eastAsia" w:ascii="Times New Roman" w:hAnsi="Times New Roman" w:eastAsia="黑体" w:cs="仿宋_GB2312"/>
                <w:b w:val="0"/>
                <w:spacing w:val="0"/>
                <w:sz w:val="21"/>
                <w:szCs w:val="21"/>
              </w:rPr>
              <w:t>及免责情形</w:t>
            </w:r>
          </w:p>
        </w:tc>
        <w:tc>
          <w:tcPr>
            <w:tcW w:w="846" w:type="dxa"/>
            <w:noWrap/>
            <w:vAlign w:val="center"/>
          </w:tcPr>
          <w:p>
            <w:pPr>
              <w:adjustRightInd w:val="0"/>
              <w:snapToGrid w:val="0"/>
              <w:jc w:val="center"/>
              <w:textAlignment w:val="center"/>
              <w:rPr>
                <w:rFonts w:hint="eastAsia" w:ascii="Times New Roman" w:hAnsi="Times New Roman" w:eastAsia="黑体" w:cs="仿宋_GB2312"/>
                <w:b w:val="0"/>
                <w:spacing w:val="0"/>
                <w:sz w:val="21"/>
                <w:szCs w:val="21"/>
              </w:rPr>
            </w:pPr>
            <w:r>
              <w:rPr>
                <w:rFonts w:hint="eastAsia" w:ascii="Times New Roman" w:hAnsi="Times New Roman" w:eastAsia="黑体" w:cs="仿宋_GB2312"/>
                <w:b w:val="0"/>
                <w:spacing w:val="0"/>
                <w:sz w:val="21"/>
                <w:szCs w:val="21"/>
              </w:rPr>
              <w:t>监督</w:t>
            </w:r>
          </w:p>
          <w:p>
            <w:pPr>
              <w:adjustRightInd w:val="0"/>
              <w:snapToGrid w:val="0"/>
              <w:jc w:val="center"/>
              <w:textAlignment w:val="center"/>
              <w:rPr>
                <w:rFonts w:hint="eastAsia" w:ascii="Times New Roman" w:hAnsi="Times New Roman" w:eastAsia="黑体" w:cs="仿宋_GB2312"/>
                <w:b w:val="0"/>
                <w:spacing w:val="0"/>
                <w:sz w:val="21"/>
                <w:szCs w:val="21"/>
              </w:rPr>
            </w:pPr>
            <w:r>
              <w:rPr>
                <w:rFonts w:hint="eastAsia" w:ascii="Times New Roman" w:hAnsi="Times New Roman" w:eastAsia="黑体" w:cs="仿宋_GB2312"/>
                <w:b w:val="0"/>
                <w:spacing w:val="0"/>
                <w:sz w:val="21"/>
                <w:szCs w:val="21"/>
              </w:rPr>
              <w:t>方式</w:t>
            </w:r>
          </w:p>
        </w:tc>
        <w:tc>
          <w:tcPr>
            <w:tcW w:w="441" w:type="dxa"/>
            <w:vMerge w:val="continue"/>
            <w:noWrap/>
            <w:vAlign w:val="center"/>
          </w:tcPr>
          <w:p>
            <w:pPr>
              <w:jc w:val="left"/>
              <w:rPr>
                <w:rFonts w:hint="eastAsia" w:ascii="Times New Roman" w:hAnsi="Times New Roman" w:cs="仿宋_GB2312"/>
                <w:b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3"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w:t>
            </w:r>
          </w:p>
        </w:tc>
        <w:tc>
          <w:tcPr>
            <w:tcW w:w="6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行政许可</w:t>
            </w:r>
          </w:p>
        </w:tc>
        <w:tc>
          <w:tcPr>
            <w:tcW w:w="11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企业投资项目核准</w:t>
            </w:r>
          </w:p>
        </w:tc>
        <w:tc>
          <w:tcPr>
            <w:tcW w:w="321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企业投资项目核准和备案管理办法》第五条实行核准管理的具体项目范围以及核准机关、核准权限，由国务院颁布的《政府核准的投资项目目录》（以下简称《核准目录》）确定。法律、行政法规和国务院对项目核准的范围、权限有专门规定的，从其规定。《核准目录》由国务院投资主管部门会同有关部门研究提出，报国务院批准后实施，并根据情况适时调整。未经国务院批准，各部门、各地区不得擅自调整《核准目录》确定的核准范围和权限。</w:t>
            </w:r>
          </w:p>
        </w:tc>
        <w:tc>
          <w:tcPr>
            <w:tcW w:w="7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大英县发展和改革局【改革法规股（行政审批股）】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1.受理责任：公示依法应当提交的材料；一次性告知补正材料；依法受理或不予受理（不予受理应当告知理由）。</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2.审查责任：依法对项目单位申报材料进行审核、提出审核意见。</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3.决定责任：作出准予或者不予许可的决定（不予许可的应当告知理由），法定告知。</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4.事后监管责任：建立实施监督检查的运行机制和管理制度，开展定期和不定期检查，依法采取相关处置措施。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《中华人民共和国行政许可法》第七十二条、七十三条、七十四条、七十五条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追责情形：《中华人民共和国行政许可法》第七十二条、《中华人民共和国行政机关公务员处分条例》第二十一条规定的情形，以及其他依法应当追究的情形。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4"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2</w:t>
            </w:r>
          </w:p>
        </w:tc>
        <w:tc>
          <w:tcPr>
            <w:tcW w:w="6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行政许可</w:t>
            </w:r>
          </w:p>
        </w:tc>
        <w:tc>
          <w:tcPr>
            <w:tcW w:w="11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石油天然气管道受限制区域施工保护方案许可</w:t>
            </w:r>
          </w:p>
        </w:tc>
        <w:tc>
          <w:tcPr>
            <w:tcW w:w="321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石油天然气管道保护法》第十三条管道建设的选线应当避开地震活动断层和容易发生洪灾、地质灾害的区域，与建筑物、构筑物、铁路、公路、航道、港口、市政设施、军事设施、电缆、光缆等保持本法和有关法律、行政法规以及国家技术规范的强制性要求规定的保护距离。新建管道通过的区域受地理条件限制，不能满足前款规定的管道保护要求的，管道企业应当提出防护方案，经管道保护方面的专家评审论证，并经管道所在地县级以上地方人民政府主管管道保护工作的部门批准后，</w:t>
            </w:r>
            <w:r>
              <w:rPr>
                <w:rFonts w:hint="eastAsia" w:ascii="仿宋_GB2312" w:hAnsi="仿宋_GB2312" w:cs="仿宋_GB2312"/>
                <w:b w:val="0"/>
                <w:i w:val="0"/>
                <w:iCs w:val="0"/>
                <w:color w:val="000000"/>
                <w:spacing w:val="0"/>
                <w:kern w:val="0"/>
                <w:sz w:val="21"/>
                <w:szCs w:val="21"/>
                <w:u w:val="none"/>
                <w:lang w:val="en-US" w:eastAsia="zh-CN" w:bidi="ar"/>
              </w:rPr>
              <w:t>管道建设项目应当依法进行环境影响评价</w:t>
            </w:r>
            <w:r>
              <w:rPr>
                <w:rFonts w:hint="eastAsia" w:ascii="仿宋_GB2312" w:hAnsi="仿宋_GB2312" w:eastAsia="仿宋_GB2312" w:cs="仿宋_GB2312"/>
                <w:b w:val="0"/>
                <w:i w:val="0"/>
                <w:iCs w:val="0"/>
                <w:color w:val="000000"/>
                <w:spacing w:val="0"/>
                <w:kern w:val="0"/>
                <w:sz w:val="21"/>
                <w:szCs w:val="21"/>
                <w:u w:val="none"/>
                <w:lang w:val="en-US" w:eastAsia="zh-CN" w:bidi="ar"/>
              </w:rPr>
              <w:t>方可建设。</w:t>
            </w:r>
          </w:p>
        </w:tc>
        <w:tc>
          <w:tcPr>
            <w:tcW w:w="7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大英县发展和改革局【能源交通股】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eastAsia" w:ascii="仿宋_GB2312" w:hAnsi="仿宋_GB2312" w:eastAsia="仿宋_GB2312" w:cs="仿宋_GB2312"/>
                <w:b w:val="0"/>
                <w:spacing w:val="0"/>
                <w:sz w:val="21"/>
                <w:szCs w:val="21"/>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1.受理责任：公示依法应当提交的材料；一次性告知补正材料；依法受理或不予受理（不予受理应当告知理由）。</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2.审查责任：依法对项目单位申报材料进行审查，提出审核意见。</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3.决定责任：在规定时限内，作出行政许可或者不予行政许可决定，法定告知（不予许可的应当书面告知理由）。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4.事后监管责任：加强监管，开展定期和不定期检查，依法采取相关处置措施。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5.其他责任：法律法规规章文件规定应履行的其他责任。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《中华人民共和国行政许可法》第七十二条、七十三条、七十四条、七十五条</w:t>
            </w:r>
          </w:p>
        </w:tc>
        <w:tc>
          <w:tcPr>
            <w:tcW w:w="190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追责情形：《中华人民共和国行政许可法》第七十二条、《中华人民共和国行政机关公务员处分条例》第二十一条规定的情形，以及其他依法应当追究的情形。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3</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行政许可</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石油天然气管道保护范围内特定施工作业许可</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石油天然气管道保护法》第三十五条进行下列施工作业，施工单位应当向管道所在地县级人民政府主管管道保护工作的部门提出申请：（一）穿跨越管道的施工作业；（二）在管道线路中心线两侧各五米至五十米和本法第五十八条第一项所列管道附属设施周边一百米地域范围内，新建、改建、扩建铁路、公路、河渠，架设电力线路，埋设地下电缆、光缆，设置安全接地体、避雷接地体；（三）在管道线路中心线两侧各二百米和本法第五十八条第一项所列管道附属设施周边五百米地域范围内，进行爆破、地震法勘探或者工程挖掘、工程钻探、采矿。县级人民政府主管管道保护工作的部门接到申请后，应当组织施工单位与管道企业协商确定施工作业方案，并签订安全防护协议；协商不成的，主管管道保护工作的部门应当组织进行安全评审，作出是否批准作业的决定。</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大英县发展和改革局【能源交通股】</w:t>
            </w:r>
          </w:p>
        </w:tc>
        <w:tc>
          <w:tcPr>
            <w:tcW w:w="404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Style w:val="28"/>
                <w:rFonts w:hint="eastAsia" w:ascii="仿宋_GB2312" w:hAnsi="仿宋_GB2312" w:eastAsia="仿宋_GB2312" w:cs="仿宋_GB2312"/>
                <w:b w:val="0"/>
                <w:spacing w:val="0"/>
                <w:sz w:val="21"/>
                <w:szCs w:val="21"/>
                <w:lang w:val="en-US" w:eastAsia="zh-CN" w:bidi="ar"/>
              </w:rPr>
            </w:pPr>
            <w:r>
              <w:rPr>
                <w:rStyle w:val="24"/>
                <w:rFonts w:hint="eastAsia" w:ascii="仿宋_GB2312" w:hAnsi="仿宋_GB2312" w:eastAsia="仿宋_GB2312" w:cs="仿宋_GB2312"/>
                <w:b w:val="0"/>
                <w:spacing w:val="0"/>
                <w:sz w:val="21"/>
                <w:szCs w:val="21"/>
                <w:lang w:val="en-US" w:eastAsia="zh-CN" w:bidi="ar"/>
              </w:rPr>
              <w:t>1.受理责任：公示依法应当提交的材料；一次性告知补正材料；依法受理或不予受理（不予受理应当告知理由）。</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Style w:val="24"/>
                <w:rFonts w:hint="eastAsia" w:ascii="仿宋_GB2312" w:hAnsi="仿宋_GB2312" w:eastAsia="仿宋_GB2312" w:cs="仿宋_GB2312"/>
                <w:b w:val="0"/>
                <w:spacing w:val="0"/>
                <w:sz w:val="21"/>
                <w:szCs w:val="21"/>
                <w:lang w:val="en-US" w:eastAsia="zh-CN" w:bidi="ar"/>
              </w:rPr>
            </w:pPr>
            <w:r>
              <w:rPr>
                <w:rStyle w:val="24"/>
                <w:rFonts w:hint="eastAsia" w:ascii="仿宋_GB2312" w:hAnsi="仿宋_GB2312" w:eastAsia="仿宋_GB2312" w:cs="仿宋_GB2312"/>
                <w:b w:val="0"/>
                <w:spacing w:val="0"/>
                <w:sz w:val="21"/>
                <w:szCs w:val="21"/>
                <w:lang w:val="en-US" w:eastAsia="zh-CN" w:bidi="ar"/>
              </w:rPr>
              <w:t>2.审查责任：依法对项目单位申报材料进行审查，提出审核意见。</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Style w:val="24"/>
                <w:rFonts w:hint="eastAsia" w:ascii="仿宋_GB2312" w:hAnsi="仿宋_GB2312" w:eastAsia="仿宋_GB2312" w:cs="仿宋_GB2312"/>
                <w:b w:val="0"/>
                <w:spacing w:val="0"/>
                <w:sz w:val="21"/>
                <w:szCs w:val="21"/>
                <w:lang w:val="en-US" w:eastAsia="zh-CN" w:bidi="ar"/>
              </w:rPr>
            </w:pPr>
            <w:r>
              <w:rPr>
                <w:rStyle w:val="24"/>
                <w:rFonts w:hint="eastAsia" w:ascii="仿宋_GB2312" w:hAnsi="仿宋_GB2312" w:eastAsia="仿宋_GB2312" w:cs="仿宋_GB2312"/>
                <w:b w:val="0"/>
                <w:spacing w:val="0"/>
                <w:sz w:val="21"/>
                <w:szCs w:val="21"/>
                <w:lang w:val="en-US" w:eastAsia="zh-CN" w:bidi="ar"/>
              </w:rPr>
              <w:t>3.决定责任：在规定时限内，作出行政许可或者不予行政许可决定，法定告知（不予许可的应当书面告知理由）。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Style w:val="24"/>
                <w:rFonts w:hint="eastAsia" w:ascii="仿宋_GB2312" w:hAnsi="仿宋_GB2312" w:eastAsia="仿宋_GB2312" w:cs="仿宋_GB2312"/>
                <w:b w:val="0"/>
                <w:spacing w:val="0"/>
                <w:sz w:val="21"/>
                <w:szCs w:val="21"/>
                <w:lang w:val="en-US" w:eastAsia="zh-CN" w:bidi="ar"/>
              </w:rPr>
            </w:pPr>
            <w:r>
              <w:rPr>
                <w:rStyle w:val="24"/>
                <w:rFonts w:hint="eastAsia" w:ascii="仿宋_GB2312" w:hAnsi="仿宋_GB2312" w:eastAsia="仿宋_GB2312" w:cs="仿宋_GB2312"/>
                <w:b w:val="0"/>
                <w:spacing w:val="0"/>
                <w:sz w:val="21"/>
                <w:szCs w:val="21"/>
                <w:lang w:val="en-US" w:eastAsia="zh-CN" w:bidi="ar"/>
              </w:rPr>
              <w:t>4.事后监管责任：加强监管，开展定期和不定期检查，依法采取相关处置措施。</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Style w:val="24"/>
                <w:rFonts w:hint="eastAsia" w:ascii="仿宋_GB2312" w:hAnsi="仿宋_GB2312" w:eastAsia="仿宋_GB2312" w:cs="仿宋_GB2312"/>
                <w:b w:val="0"/>
                <w:spacing w:val="0"/>
                <w:sz w:val="21"/>
                <w:szCs w:val="21"/>
                <w:lang w:val="en-US" w:eastAsia="zh-CN" w:bidi="ar"/>
              </w:rPr>
              <w:t>5.其他责任：法律法规规章文件规定应履行的其他责任。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《中华人民共和国行政许可法》第七十二条、七十三条、七十四条、七十五条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追责情形：《中华人民共和国行政许可法》第七十二条、《中华人民共和国行政机关公务员处分条例》第二十一条规定的情形，以及其他依法应当追究的情形。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4</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对瞒报、拒报或者伪造、篡改价格监测资料行为的行政处罚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四川省价格监测规定》（四川省人民政府令第217号）第二十六条（一）迟报价格监测资料的，由县级以上价格主管部门责令改正、予以通报批评；（二）瞒报、拒报或者非经营活动中伪造、篡改价格监测资料的，由县级以上价格主管部门责令改正、予以通报批评，可处以1000元以下的罚款；（三）经营活动中伪造、篡改价格监测资料的，由县级以上价格主管部门责令改正，可处以1万元以下的罚款。情节严重构成犯罪的，由司法机关依法追究刑事责任。</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w:t>
            </w:r>
            <w:r>
              <w:rPr>
                <w:rFonts w:hint="eastAsia" w:ascii="仿宋_GB2312" w:hAnsi="仿宋_GB2312" w:cs="仿宋_GB2312"/>
                <w:b w:val="0"/>
                <w:i w:val="0"/>
                <w:iCs w:val="0"/>
                <w:color w:val="000000"/>
                <w:spacing w:val="0"/>
                <w:kern w:val="0"/>
                <w:sz w:val="21"/>
                <w:szCs w:val="21"/>
                <w:u w:val="none"/>
                <w:lang w:val="en-US" w:eastAsia="zh-CN" w:bidi="ar"/>
              </w:rPr>
              <w:t>价费成本股</w:t>
            </w:r>
            <w:r>
              <w:rPr>
                <w:rFonts w:hint="eastAsia" w:ascii="仿宋_GB2312" w:hAnsi="仿宋_GB2312" w:eastAsia="仿宋_GB2312" w:cs="仿宋_GB2312"/>
                <w:b w:val="0"/>
                <w:i w:val="0"/>
                <w:iCs w:val="0"/>
                <w:color w:val="000000"/>
                <w:spacing w:val="0"/>
                <w:kern w:val="0"/>
                <w:sz w:val="21"/>
                <w:szCs w:val="21"/>
                <w:u w:val="none"/>
                <w:lang w:val="en-US" w:eastAsia="zh-CN" w:bidi="ar"/>
              </w:rPr>
              <w:t>】</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1.立案责任：发现涉嫌瞒报、拒报或者伪造、篡改价格监测资料行为的，予以审查，决定是否立案。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5</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对拒绝、阻碍价格主管部门及其价格监测工作人员依法实施价格监测行为的行政处罚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四川省价格监测规定》（四川省人民政府令第217号）第二十七条违反本规定，拒绝、阻碍价格主管部门及其价格监测工作人员依法实施价格监测，由县级以上价格主管部门责令改正、予以通报批评，可处以500元以下的罚款，或者由公安机关依照《中华人民共和国治安管理处罚法》的规定处罚；情节严重构成犯罪的，由司法机关依法追究刑事责任。</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w:t>
            </w:r>
            <w:r>
              <w:rPr>
                <w:rFonts w:hint="eastAsia" w:ascii="仿宋_GB2312" w:hAnsi="仿宋_GB2312" w:cs="仿宋_GB2312"/>
                <w:b w:val="0"/>
                <w:i w:val="0"/>
                <w:iCs w:val="0"/>
                <w:color w:val="000000"/>
                <w:spacing w:val="0"/>
                <w:kern w:val="0"/>
                <w:sz w:val="21"/>
                <w:szCs w:val="21"/>
                <w:u w:val="none"/>
                <w:lang w:val="en-US" w:eastAsia="zh-CN" w:bidi="ar"/>
              </w:rPr>
              <w:t>价费成本股</w:t>
            </w:r>
            <w:r>
              <w:rPr>
                <w:rFonts w:hint="eastAsia" w:ascii="仿宋_GB2312" w:hAnsi="仿宋_GB2312" w:eastAsia="仿宋_GB2312" w:cs="仿宋_GB2312"/>
                <w:b w:val="0"/>
                <w:i w:val="0"/>
                <w:iCs w:val="0"/>
                <w:color w:val="000000"/>
                <w:spacing w:val="0"/>
                <w:kern w:val="0"/>
                <w:sz w:val="21"/>
                <w:szCs w:val="21"/>
                <w:u w:val="none"/>
                <w:lang w:val="en-US" w:eastAsia="zh-CN" w:bidi="ar"/>
              </w:rPr>
              <w:t>】</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1.立案责任：发现涉嫌拒绝、阻碍价格主管部门及其价格监测工作人员依法实施价格监测行为的，予以审查，决定是否立案。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6</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对招标人规避招标的行政处罚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大英县发展和改革局【招投标管理股】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1.立案责任：发现招标人涉嫌规避招标的，予以审查，决定是否立案。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7</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对法律法规未明确规定行政监督部门的工程建设项目招标人以不合理的条件限制或者排斥潜在投标人的行政处罚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afterAutospacing="0"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招标投标法》第五十一条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大英县发展和改革局【招投标管理股】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1.立案责任：发现法律法规未明确规定行政监督部门的工程建设项目招标人涉嫌以不合理的条件限制或者排斥潜在投标人的，予以审查，决定是否立案。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对法律法规未明确规定行政监督部门的工程建设项目的招标人向他人透露已获取招标文件的潜在投标人的名称、数量或者可能影响公平竞争的有关招标投标的其他情况的，或者泄露标底的行政处罚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招标投标法》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大英县发展和改革局【招投标管理股】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法律法规未明确规定行政监督部门的工程建设项目招标人涉嫌向他人透露已获取招标文件的潜在投标人的名称、数量或者可能影响公平竞争的有关招标投标的其他情况的，或者泄露标底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9</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对法律法规未明确规定行政监督部门的工程建设项目的投标人相互串通投标或者与招标人串通投标的，投标人以向招标人或者评标委员会成员行贿的手段谋取中标的行政处罚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招标投标法》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大英县发展和改革局【招投标管理股】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法律法规未明确规定行政监督部门的工程建设项目投标人涉嫌相互串通投标或者与招标人串通投标的，投标人以向招标人或者评标委员会成员行贿的手段谋取中标的，或者泄露标底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10</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对法律法规未明确规定行政监督部门的工程建设项目的投标人以他人名义投标或者以其他方式弄虚作假，骗取中标的行政处罚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招标投标法》第五十四条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大英县发展和改革局【招投标管理股】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1.立案责任：发现法律法规未明确规定行政监督部门的工程建设项目投标人涉嫌以他人名义投标或者以其他方式弄虚作假，骗取中标的，予以审查，决定是否立案。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11</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对法律法规未明确规定行政监督部门的工程建设项目招标人违反招投标法律规定，与投标人就投标价格、投标方案等实质性内容进行谈判的行政处罚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招标投标法》第五十五条依法必须进行招标的项目，招标人违反本法规定，与投标人就投标价格、投标方案等实质性内容进行谈判的，给予警告，对单位直接负责的主管人员和其他直接责任人员依法给予处分。前款所列行为影响中标结果的，中标无效。</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大英县发展和改革局【招投标管理股】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1.立案责任：发现法律法规未明确规定行政监督部门的工程建设项目招标人涉嫌违反招投标法律规定，与投标人就投标价格、投标方案等实质性内容进行谈判的，予以审查，决定是否立案。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12</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对评标专家违规的行政处罚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招标投标法》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大英县发展和改革局【招投标管理股】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1.立案责任：发现评标专家涉嫌违规的，予以审查，决定是否立案。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13</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对法律法规未明确规定行政监督部门的工程建设项目招标人在评标委员会依法推荐的中标候选人以外确定中标人的，依法必须进行招标的项目在所有投标被评标委员会否决后自行确定中标人的行政处罚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招标投标法》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大英县发展和改革局【招投标管理股】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法律法规未明确规定行政监督部门的工程建设项目招标人涉嫌在评标委员会依法推荐的中标候选人以外确定中标人的，依法必须进行招标的项目在所有投标被评标委员会否决后自行确定中标人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14</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对法律法规未明确规定行政监督部门的工程建设项目中标人将中标项目转让给他人的，将中标项目肢解后分别转让给他人的，违反《</w:t>
            </w:r>
            <w:r>
              <w:rPr>
                <w:rFonts w:hint="eastAsia" w:ascii="仿宋_GB2312" w:hAnsi="仿宋_GB2312" w:cs="仿宋_GB2312"/>
                <w:b w:val="0"/>
                <w:i w:val="0"/>
                <w:iCs w:val="0"/>
                <w:color w:val="000000"/>
                <w:spacing w:val="0"/>
                <w:kern w:val="0"/>
                <w:sz w:val="21"/>
                <w:szCs w:val="21"/>
                <w:u w:val="none"/>
                <w:lang w:val="en-US" w:eastAsia="zh-CN" w:bidi="ar"/>
              </w:rPr>
              <w:t>中华人民共和国</w:t>
            </w:r>
            <w:r>
              <w:rPr>
                <w:rFonts w:hint="eastAsia" w:ascii="仿宋_GB2312" w:hAnsi="仿宋_GB2312" w:eastAsia="仿宋_GB2312" w:cs="仿宋_GB2312"/>
                <w:b w:val="0"/>
                <w:i w:val="0"/>
                <w:iCs w:val="0"/>
                <w:color w:val="000000"/>
                <w:spacing w:val="0"/>
                <w:kern w:val="0"/>
                <w:sz w:val="21"/>
                <w:szCs w:val="21"/>
                <w:u w:val="none"/>
                <w:lang w:val="en-US" w:eastAsia="zh-CN" w:bidi="ar"/>
              </w:rPr>
              <w:t>招标投标法》规定将中标项目的部分主体、关键性工作分包给他人的，或者分包人再次分包的行政处罚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招标投标法》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大英县发展和改革局【招投标管理股】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1.立案责任：发现法律法规未明确规定行政监督部门的工程建设项目中标人涉嫌将中标项目转让给他人的，将中标项目肢解后分别转让给他人的，违反《</w:t>
            </w:r>
            <w:r>
              <w:rPr>
                <w:rFonts w:hint="eastAsia" w:ascii="仿宋_GB2312" w:hAnsi="仿宋_GB2312" w:cs="仿宋_GB2312"/>
                <w:b w:val="0"/>
                <w:i w:val="0"/>
                <w:iCs w:val="0"/>
                <w:color w:val="000000"/>
                <w:spacing w:val="0"/>
                <w:kern w:val="0"/>
                <w:sz w:val="21"/>
                <w:szCs w:val="21"/>
                <w:u w:val="none"/>
                <w:lang w:val="en-US" w:eastAsia="zh-CN" w:bidi="ar"/>
              </w:rPr>
              <w:t>中华人民共和国</w:t>
            </w:r>
            <w:r>
              <w:rPr>
                <w:rFonts w:hint="eastAsia" w:ascii="仿宋_GB2312" w:hAnsi="仿宋_GB2312" w:eastAsia="仿宋_GB2312" w:cs="仿宋_GB2312"/>
                <w:b w:val="0"/>
                <w:i w:val="0"/>
                <w:iCs w:val="0"/>
                <w:color w:val="000000"/>
                <w:spacing w:val="0"/>
                <w:kern w:val="0"/>
                <w:sz w:val="21"/>
                <w:szCs w:val="21"/>
                <w:u w:val="none"/>
                <w:lang w:val="en-US" w:eastAsia="zh-CN" w:bidi="ar"/>
              </w:rPr>
              <w:t>招标投标法》规定将中标项目的部分主体、关键性工作分包给他人的，或者分包人再次分包的，予以审查，决定是否立案。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15</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法律法规未明确规定行政监督部门的工程建设项目的招标人和中标人不按照招标文件和中标人的投标文件订立合同，合同的主要条款与招标文件、中标人的投标文件的内容不一致，或者招标人、中标人订立背离合同实质性内容的协议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招标投标法》第五十九条招标人与中标人不按照招标文件和中标人的投标文件订立合同的，或者招标人、中标人订立背离合同实质性内容的协议的，责令改正；可以处中标项目金额千分之五以上千分之十以下的罚款。</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大英县发展和改革局【招投标管理股】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法律法规未明确规定行政监督部门的工程建设项目的招标人和中标人涉嫌不按照招标文件和中标人的投标文件订立合同，合同的主要条款与招标文件、中标人的投标文件的内容不一致，或者招标人、中标人订立背离合同实质性内容的协议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16</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对法律法规未明确规定行政监督部门的工程建设项目中标人不履行与招标人订立的合同、不按照与招标人订立的合同履行义务的行政处罚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招标投标法》第六十条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取消其二年至五年内参加依法必须进行招标的项目的投标资格并予以公告，直至由工商行政管理机关吊销营业执照。因不可抗力不能履行合同的，不适用前两款规定。</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大英县发展和改革局【招投标管理股】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1.立案责任：发现法律法规未明确规定行政监督部门的工程建设项目中标人涉嫌不履行与招标人订立的合同、不按照与招标人订立的合同履行义务的，予以审查，决定是否立案。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17</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对依法必须进行招标的法律法规未明确规定行政监督部门的工程建设项目的招标人不按照规定组建评标委员会的行政处罚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招标投标法实施条例》（国务院令第613号）第七十条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大英县发展和改革局【招投标管理股】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1.立案责任：发现依法必须进行招标的法律法规未明确规定行政监督部门的工程建设项目的招标人涉嫌不按照规定组建评标委员会的，予以审查，决定是否立案。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18</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对依法必须进行招标的法律法规未明确规定行政监督部门的工程建设项目的中标人无正当理由不与招标人订立合同，在签订合同时向招标人提出附加条件，或者不按照招标文件要求提交履约保证金的行政处罚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招标投标法实施条例》（国务院令第613号）第七十四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大英县发展和改革局【招投标管理股】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依法必须进行招标的法律法规未明确规定行政监督部门的工程建设项目的中标人涉嫌无正当理由不与招标人订立合同，在签订合同时向招标人提出附加条件，或者不按照招标文件要求提交履约保证金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19</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对法律法规未明确规定行政监督部门的工程建设项目招标人在发布招标公告、发出投标邀请书或者招标文件后终止招标的行政处罚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四川省国家投资工程建设项目招标投标条例》第四十三条除因不可抗力外，招标人在发布招标公告、发出投标邀请书或者招标文件后终止招标的，给予警告，根据情节可处3万元以下的罚款，并赔偿潜在投标人或者投标人的直接损失。</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大英县发展和改革局【招投标管理股】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1.立案责任：发现法律法规未明确规定行政监督部门的工程建设项目招标人涉嫌在发布招标公告、发出投标邀请书或者招标文件后终止招标的，予以审查，决定是否立案。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20</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对法律法规未明确规定行政监督部门的工程建设项目招标人强制要求中标人垫付中标项目建设资金的行政处罚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《四川省国家投资工程建设项目招标投标条例》第四十八条第二款招标人擅自提高履约保证金或者强制要求中标人垫付中标项目建设资金的，责令改正，可并处中标项目金额5‰以上10‰以下的罚款。</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大英县发展和改革局【招投标管理股】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1.立案责任：发现法律法规未明确规定行政监督部门的工程建设项目招标人涉嫌强制要求中标人垫付中标项目建设资金的，予以审查，决定是否立案。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21</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对法律法规未明确规定行政监督部门的工程建设项目招标人及其工作人员违反法律、法规和规章从事与招标代理活动有关行为的行政处罚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四川省工程建设项目招标代理办法》（四川省人民政府令第191号）第十七条招标人应当向招标代理机构提供招标代理业务所需的文件和资料，并对提供的文件和资料的准确性、合法性负责。招标人及其工作人员不得从事与招标代理活动有关的下列行为：（一）收受贿赂、索取回扣或者谋取其他不正当利益；（二）以违法压价、操纵招标投标为条件选择招标代理机构；（三）与招标代理机构串通，在招标投标中弄虚作假、规避招标、明招暗定、肢解发包；（四）指使招标代理机构不按法律、法规、规章、工程建设标准和招标投标程序进行招标代理；（五）法律、法规和规章禁止的其他行为。第三十五条招标人及其工作人员违反本办法第十七条第二款规定的，责令改正，处以1万元以上3万元以下罚款；影响中标结果的中标无效；构成犯罪的，依法追究刑事责任。</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大英县发展和改革局【招投标管理股】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1.立案责任：发现法律法规未明确规定行政监督部门的工程建设项目招标人及其工作人员涉嫌违反法律、法规和规章从事与招标代理活动有关行为的，予以审查，决定是否立案。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22</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对固定资产投资项目建设单位未按照规定进行节能审查、节能审查未通过、未经节能验收、节能验收不合格或者不符合强制性节能标准的行政处罚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四川省〈中华人民共和国节约能源法〉实施办法》第十五条未按照规定进行节能审查及节能审查未通过的固定资产投资项目，以及不符合强制性节能标准的项目，建设单位不得开工建设；已经建成的，不得投入生产、使用。政府投资项目不符合强制性节能标准的，依法负责项目审批的机关不得批准建设。固定资产投资项目投入生产、使用前，应当对其节能审查意见落实情况进行验收，未经节能验收或者验收不合格的，不得投入生产、使用。第四十一条固定资产投资项目建设单位违反本实施办法，未按照规定进行节能审查、节能审查未通过、未经节能验收、节能验收不合格或者不符合强制性节能标准的固定资产投资项目，由项目节能审查机关责令停止建设或者停止生产、使用，限期改造；不能改造或者逾期不改造的生产性项目，由节能审查机关报请本级人民政府按照国务院规定的权限责令关闭；并依法追究有关责任人的责任。</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大英县发展和改革局【综合规划股】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1.立案责任：发现固定资产投资项目建设单位涉嫌未按照规定进行节能审查、节能审查未通过、未经节能验收、节能验收不合格或者不符合强制性节能标准的，予以审查，决定是否立案。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23</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对使用国家明令淘汰的用能设备或者生产工艺的行政处罚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节约能源法》第七十一条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大英县发展和改革局【综合规划股】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1.立案责任：发现涉嫌使用国家明令淘汰的用能设备或者生产工艺的，予以审查，决定是否立案。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24</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对生产单位超过单位产品能耗限额标准用能的行政处罚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节约能源法》第七十二条生产单位超过单位产品能耗限额标准用能，情节严重，经限期治理逾期不治理或者没有达到治理要求的，可以由管理节能工作的部门提出意见，报请本级人民政府按照国务院规定的权限责令停业整顿或者关闭。</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大英县发展和改革局【综合规划股】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1.立案责任：发现生产单位涉嫌超过单位产品能耗限额标准用能的，予以审查，决定是否立案。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25</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对从事节能咨询、设计、评估、检测、审计、认证等服务的机构提供虚假信息的行政处罚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《中华人民共和国节约能源法》第七十六条从事节能咨询、设计、评估、检测、审计、认证等服务的机构提供虚假信息的，由管理节能工作的部门责令改正，没收违法所得，并处五万元以上十万元以下罚款。</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大英县发展和改革局【综合规划股】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1.立案责任：发现从事节能咨询、设计、评估、检测、审计、认证等服务的机构涉嫌提供虚假信息的，予以审查，决定是否立案。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26</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对无偿向本单位职工提供能源或者对能源消费实行包费制的行政处罚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《中华人民共和国节约能源法》第七十七条违反本法规定，无偿向本单位职工提供能源或者对能源消费实行包费制的，由管理节能工作的部门责令限期改正；逾期不改正的，处五万元以上二十万元以下罚款。</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大英县发展和改革局【综合规划股】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1.立案责任：发现涉嫌无偿向本单位职工提供能源或者对能源消费实行包费制的，予以审查，决定是否立案。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27</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对重点用能单位未履行节能管理义务的行政处罚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节约能源法》第八十二条重点用能单位未按照本法规定报送能源利用状况报告或者报告内容不实的，由管理节能工作的部门责令限期改正；逾期不改正的，处一万元以上五万元以下罚款。第八十三条重点用能单位无正当理由拒不落实本法第五十四条规定的整改要求或者整改没有达到要求的，由管理节能工作的部门处十万元以上三十万元以下罚款。第八十四条重点用能单位未按照本法规定设立能源管理岗位，聘任能源管理负责人，并报管理节能工作的部门和有关部门备案的，由管理节能工作的部门责令改正；拒不改正的，处一万元以上三万元以下罚款。</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大英县发展和改革局【综合规划股】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1.立案责任：发现重点用能单位涉嫌未履行节能管理义务的，予以审查，决定是否立案。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28</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对电力、石油加工、化工、钢铁、有色金属和建材等企业未在规定的范围或者期限内停止使用不符合国家规定的燃油发电机组或者燃油锅炉的行政处罚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循环经济促进法》第五十二条违反本法规定，电力、石油加工、化工、钢铁、有色金属和建材等企业未在规定的范围或者期限内停止使用不符合国家规定的燃油发电机组或者燃油锅炉的，由县级以上地方人民政府循环经济发展综合管理部门责令限期改正；逾期不改正的，责令拆除该燃油发电机组或者燃油锅炉，并处五万元以上五十万元以下的罚款。</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大英县发展和改革局【综合规划股】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1.立案责任：发现电力、石油加工、化工、钢铁、有色金属和建材等企业涉嫌未在规定的范围或者期限内停止使用不符合国家规定的燃油发电机组或者燃油锅炉的，予以审查，决定是否立案。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29</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对企业分拆项目、隐瞒有关情况或者提供虚假申报材料等不正当手段申请项目核准、备案的行政处罚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《企业投资项目核准和备案管理办法》第五十五条企业以分拆项目、隐瞒有关情况或者提供虚假申报材料等不正当手段申请核准、备案的，项目核准机关不受理或者不予核准、备案，并给予警告。</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大英县发展和改革局【改革法规股（行政审批股）】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1.立案责任：发现企业涉嫌分拆项目、隐瞒有关情况或者提供虚假申报材料等不正当手段申请项目核准、备案的，予以审查，决定是否立案。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30</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对企业未依法办理核准手续开工建设或者未按照核准的建设地点、建设规模、建设内容等进行建设的行政处罚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企业投资项目核准和备案管理办法》第五十六条第一款实行核准管理的项目，企业未依法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项目应视情况予以拆除或者补办相关手续。</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大英县发展和改革局【改革法规股（行政审批股）】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1.立案责任：发现企业涉嫌未依法办理核准手续开工建设或者未按照核准的建设地点、建设规模、建设内容等进行建设的，予以审查，决定是否立案。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31</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对企业以欺骗、贿赂等不正当手段取得项目核准文件的行政处罚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企业投资项目核准和备案管理办法》第五十六条第二款以欺骗、贿赂等不正当手段取得项目核准文件，尚未开工建设的，由核准机关撤销核准文件，处项目总投资额1‰以上5‰以下的罚款；已经开工建设的，依照前款规定予以处罚；构成犯罪的，依法追究刑事责任。</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大英县发展和改革局【改革法规股（行政审批股）】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1.立案责任：发现企业涉嫌以欺骗、贿赂等不正当手段取得项目核准文件的，予以审查，决定是否立案。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32</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对企业未依法将备案制项目信息或者已备案项目信息变更情况告知备案机关，或者向备案机关提供虚假信息的行政处罚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企业投资项目核准和备案管理办法》第五十七条实行备案管理的项目，企业未依法将项目信息或者已备案项目信息变更情况告知备案机关，或者向备案机关提供虚假信息的，由备案机关责令限期改正；逾期不改正的，处2万元以上5万元以下的罚款。</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大英县发展和改革局【改革法规股（行政审批股）】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1.立案责任：发现企业涉嫌未依法将备案制项目信息或者已备案项目信息变更情况告知备案机关，或者向备案机关提供虚假信息的，予以审查，决定是否立案。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33</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对企业投资建设产业政策禁止投资建设项目的行政处罚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企业投资项目核准和备案管理办法》第五十八条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属于国家工作人员的，依法给予处分。法律、行政法规另有规定的，依照其规定。</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大英县发展和改革局【改革法规股（行政审批股）】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1.立案责任：发现企业涉嫌投资建设产业政策禁止投资建设项目的，予以审查，决定是否立案。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34</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对违反政策性粮食经营活动有关规定的行政处罚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《粮食流通管理条例》(国务院令第740号修订)</w:t>
            </w:r>
            <w:r>
              <w:rPr>
                <w:rStyle w:val="29"/>
                <w:rFonts w:hint="eastAsia" w:ascii="仿宋_GB2312" w:hAnsi="仿宋_GB2312" w:eastAsia="仿宋_GB2312" w:cs="仿宋_GB2312"/>
                <w:b w:val="0"/>
                <w:spacing w:val="0"/>
                <w:sz w:val="21"/>
                <w:szCs w:val="21"/>
                <w:lang w:val="en-US" w:eastAsia="zh-CN" w:bidi="ar"/>
              </w:rPr>
              <w:t>第四十九条从事政策性粮食经营活动，有下列情形之一的，由粮食和储备行政管理部门责令改正，给予警告，没收违法所得，并处50万元以上200万元以下罚款；情节严重的，并处200万元以上500万元以下罚款：（一）虚报粮食收储数量；（二）通过以陈顶新、以次充好、低收高转、虚假购销、虚假轮换、违规倒卖等方式，套取粮食价差和财政补贴，骗取信贷资金；（三）挤占、挪用、克扣财政补贴、信贷资金；（四）以政策性粮食为债务作担保或者清偿债务；（五）利用政策性粮食进行除政府委托的政策性任务以外的其他商业经营；（六）在政策性粮食出库时掺杂使假、以次充好、调换标的物，拒不执行出库指令或者阻挠出库；（七）购买国家限定用途的政策性粮食，违规倒卖或者不按照规定用途处置；（八）擅自动用政策性粮食；（九）其他违反国家政策性粮食经营管理规定的行为。</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1.立案责任：在检查中发现或者接到举报反映涉嫌违反政策性粮食经营活动有关规定的，予以审查，决定是否立案。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35</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对粮食应急预案启动后，不按照国家要求承担应急任务，不服从国家的统一安排和调度的行政处罚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粮食流通管理条例》(国务院令第740号修订)第三十四条启动全国的粮食应急预案，由国务院发展改革部门及国家粮食和储备行政管理部门提出建议，报国务院批准后实施。启动省、自治区、直辖市的粮食应急预案，由省、自治区、直辖市发展改革部门及粮食和储备行政管理部门提出建议，报本级人民政府决定，并向国务院报告。设区的市级、县级人民政府粮食应急预案的制定和启动，由省、自治区、直辖市人民政府决定。第三十五条粮食应急预案启动后，粮食经营者必须按照国家要求承担应急任务，服从国家的统一安排和调度，保证应急的需要。第四十九条从事政策性粮食经营活动，有下列情形之一的，由粮食和储备行政管理部门责令改正，给予警告，没收违法所得，并处50万元以上200万元以下罚款；情节严重的，并处200万元以上500万元以下罚款。粮食应急预案启动后，不按照国家要求承担应急任务，不服从国家的统一安排和调度的，依照前款规定予以处罚。</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1.立案责任：在检查中发现或者接到举报反映涉嫌粮食应急预案启动后，不按照国家要求承担应急任务，不服从国家的统一安排和调度的，予以审查，决定是否立案。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36</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对违反规定且情节严重的粮食经营企业的法定代表人、主要负责人、直接负责的主管人员和其他直接责任人员的行政处罚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粮食流通管理条例》(国务院令第740号修订)第五十一条从事粮食经营活动的企业有违反本条例规定的违法情形且情节严重的，对其法定代表人、主要负责人、直接负责的主管人员和其他直接责任人员处以其上一年度从本企业取得收入的1倍以上10倍以下罚款。</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1.立案责任：在检查中发现或者接到举报反映涉嫌违反规定且情节严重的，予以审查，决定是否立案。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37</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对违反规定编造、散布、传播虚假粮食市场信息，造成不良社会影响的行政处罚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四川省粮食安全保障条例》第四十二条县级以上地方人民政府应当培育和发展粮食市场信息服务体系，支持和鼓励各类组织开展粮食市场信息服务。从事粮食市场信息服务的组织，应当坚持客观、公正、审慎的原则，依法搜集和及时发布粮食市场信息，服务国家粮食宏观调控和社会需求。严禁任何单位和个人编造、传播虚假粮食市场信息，扰乱市场秩序。第六十九条违反本条例规定，编造、散布、传播虚假粮食市场信息，造成不良社会影响的，由粮食行政主管部门责令改正，予以警告。</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1.立案责任：在检查中发现或者接到举报反映涉嫌违反规定编造、散布、传播虚假粮食市场信息，造成不良社会影响的，予以审查，决定是否立案。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38</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对粮食收购企业未按照规定备案或者提供虚假备案信息的行政处罚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粮食流通管理条例》(国务院令第740号修订)第九条第二款从事粮食收购的企业（以下简称粮食收购企业），应当向收购地的县级人民政府粮食和储备行政管理部门备案企业名称、地址、负责人以及仓储设施等信息，备案内容发生变化的，应当及时变更备案。第四十三条粮食收购企业未按照规定备案或者提供虚假备案信息的，由粮食和储备行政管理部门责令改正，给予警告；拒不改正的，处2万元以上5万元以下罚款。</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1.立案责任：在检查中发现或者接到举报反映粮食收购企业涉嫌未按照规定备案或者提供虚假备案信息的，予以审查，决定是否立案。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39</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粮食收购者等未执行国家粮食质量标准，未及时支付售粮款，违反规定代扣、代缴税费和其他款项，未按规定进行质量安全检验或者对不符合食品安全标准的粮食未作为非食用用途单独储存，未建立粮食经营台账或者未按规定报送粮食基本数据和有关情况，未按规定进行粮食销售出库质量安全检验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《粮食流通管理条例》(国务院令第740号修订)</w:t>
            </w:r>
            <w:r>
              <w:rPr>
                <w:rStyle w:val="29"/>
                <w:rFonts w:hint="eastAsia" w:ascii="仿宋_GB2312" w:hAnsi="仿宋_GB2312" w:eastAsia="仿宋_GB2312" w:cs="仿宋_GB2312"/>
                <w:b w:val="0"/>
                <w:spacing w:val="0"/>
                <w:sz w:val="21"/>
                <w:szCs w:val="21"/>
                <w:lang w:val="en-US" w:eastAsia="zh-CN" w:bidi="ar"/>
              </w:rPr>
              <w:t>第四十五条有下列情形之一的，由粮食和储备行政管理部门责令改正，给予警告，可以并处20万元以下罚款；情节严重的，并处20万元以上50万元以下罚款：（一）粮食收购者未执行国家粮食质量标准；（二）粮食收购者未及时向售粮者支付售粮款；（三）粮食收购者违反本条例规定代扣、代缴税费和其他款项；（四）粮食收购者收购粮食，未按照国家有关规定进行质量安全检验，或者对不符合食品安全标准的粮食未作为非食用用途单独储存；（五）从事粮食收购、销售、储存、加工的粮食经营者以及饲料、工业用粮企业未建立粮食经营台账，或者未按照规定报送粮食基本数据和有关情况；（六）粮食储存企业未按照规定进行粮食销售出库质量安全检验。</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在检查中发现或者接到举报反映粮食收购者等涉嫌未执行国家粮食质量标准，未及时支付售粮款，违反规定代扣、代缴税费和其他款项，未按规定进行质量安全检验或者对不符合食品安全标准的粮食未作为非食用用途单独储存，未建立粮食经营台账或者未按规定报送粮食基本数据和有关情况，未按规定进行粮食销售出库质量安全检验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40</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对粮食收购者、储存企业未按照规定使用仓储设施、运输工具的行政处罚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粮食流通管理条例》(国务院令第740号修订)第四十六条粮食经营者未按照本条例规定使用粮食仓储设施、运输工具的，由粮食行政管理部门或者卫生部门责令改正，给予警告；被污染的粮食不得非法销售、加工。</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1.立案责任：在检查中发现或者接到举报反映粮食收购者、储存企业涉嫌未按照规定使用仓储设施、运输工具的，予以审查，决定是否立案。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41</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对未在粮食收购场所明示工商营业执照的行政处罚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四川省〈粮食流通管理条例〉实施办法》（2018年1月12日四川省人民政府令第329号修改）第十条第（一）项粮食收购者应当遵守下列规定：（一）在粮食收购场所明示粮食收购许可证和工商营业执照，凭证收购。第三十三条违反本办法第十一条第（一）项、第（四）项规定的，由粮食行政管理部门责令改正，予以警告；情节严重的，可以处5000元以下罚款。</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1.立案责任：在检查中发现或者接到举报反映涉嫌未在粮食收购场所明示工商营业执照的，予以审查，决定是否立案。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42</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对未向售粮者出具粮食收购凭证，载明所收购粮食品种、质量等级、价格、数量和金额的行政处罚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四川省〈粮食流通管理条例〉实施办法》（2018年1月12日四川省人民政府令第329号修改）第十条第（四）项粮食收购者应当遵守下列规定：（四）向售粮者出具粮食收购凭证，载明所收购粮食品种、质量等级、价格、数量和金额。第三十三条违反本办法第十一条第（一）项、第（四）项规定的，由粮食行政管理部门责令改正，予以警告；情节严重的，可以处5000元以下罚款。</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1.立案责任：在检查中发现或者接到举报反映涉嫌未向售粮者出具粮食收购凭证，载明所收购粮食品种、质量等级、价格、数量和金额的，予以审查，决定是否立案。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43</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对从事粮食收购、销售、储存、加工的经营者以及饲料、工业用粮企业违反规定，粮食经营台账保留时间不足3年的行政处罚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粮食流通管理条例》(国务院令第740号修订)第二十三条所有从事粮食收购、销售、储存、加工的经营者以及饲料、工业用粮企业，应当建立粮食经营台账，并向所在地的县级人民政府粮食和储备行政管理部门报送粮食购进、销售、储存等基本数据和有关情况。粮食经营台账的保存期限不得少于3年。粮食经营者报送的基本数据和有关情况涉及商业秘密的，粮食和储备行政管理部门负有保密义务。第四十五条有下列情形之一的，由粮食和储备行政管理部门责令改正，给予警告，可以并处20万元以下罚款；情节严重的，并处20万元以上50万元以下罚款：（五）从事粮食收购、销售、储存、加工的粮食经营者以及饲料、工业用粮企业未建立粮食经营台账，或者未按照规定报送粮食基本数据和有关情况。</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1.立案责任：在检查中发现或者接到举报反映从事粮食收购、销售、储存、加工的经营者以及饲料、工业用粮企业涉嫌违反规定，粮食经营台账保留时间不足3年的，予以审查，决定是否立案。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44</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对从事粮食收购、加工、储存的经营者（不含个体工商户）未配备经过专业培训的粮油保管员和粮油质量检验员等管理</w:t>
            </w:r>
            <w:r>
              <w:rPr>
                <w:rFonts w:hint="eastAsia" w:ascii="仿宋_GB2312" w:hAnsi="仿宋_GB2312" w:eastAsia="仿宋_GB2312" w:cs="仿宋_GB2312"/>
                <w:b w:val="0"/>
                <w:i w:val="0"/>
                <w:iCs w:val="0"/>
                <w:color w:val="000000"/>
                <w:spacing w:val="-17"/>
                <w:kern w:val="0"/>
                <w:sz w:val="21"/>
                <w:szCs w:val="21"/>
                <w:u w:val="none"/>
                <w:lang w:val="en-US" w:eastAsia="zh-CN" w:bidi="ar"/>
              </w:rPr>
              <w:t>技术人员、不具</w:t>
            </w:r>
            <w:r>
              <w:rPr>
                <w:rFonts w:hint="eastAsia" w:ascii="仿宋_GB2312" w:hAnsi="仿宋_GB2312" w:eastAsia="仿宋_GB2312" w:cs="仿宋_GB2312"/>
                <w:b w:val="0"/>
                <w:i w:val="0"/>
                <w:iCs w:val="0"/>
                <w:color w:val="000000"/>
                <w:spacing w:val="0"/>
                <w:kern w:val="0"/>
                <w:sz w:val="21"/>
                <w:szCs w:val="21"/>
                <w:u w:val="none"/>
                <w:lang w:val="en-US" w:eastAsia="zh-CN" w:bidi="ar"/>
              </w:rPr>
              <w:t>有与所经营粮食种类和国家质量标准规定的检验项目相适应的粮食检验仪器设备和单独粮食检验场所的、不具备相应的质量管理制度、不具备规定的粮食质量检验能力和条件又无委托的行政处罚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四川省〈粮食流通管理条例〉实施办法》（2018年1月12日四川省人民政府令第329号修改）第十四条从事粮食收购、加工、储存的经营者（不含个体工商户），应当具有下列粮食质量检验能力和条件：（一）有取得省粮食行政管理部门或者产品质量监督部门颁发的粮食行业特有工种职业资格证书的粮食质量检验人员、仓库保管员；（二）有与所经营的粮食种类和国家质量标准规定的检验项目相适应的粮食检验仪器设备，具有能单独进行粮食检验工作的场所；（三）具备相应的仪器设备使用和管理、检验员业务培训、粮食出入库质量检验、质量档案和质量事故处理等质量管理制度。经营者不具备前款规定的粮食质量检验能力和条件的，可以委托具备粮食质量检验能力和条件的机构进行检验。第三十五条从事粮食收购、加工、储存的经营者违反本办法第十四条规定的，由粮食行政管理部门责令改正，予以警告，可以处5000元以下罚款。</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在检查中发现或者接到举报反映从事粮食收购、加工、储存的经营者（不含个体工商户）涉嫌未配备经过专业培训的粮油保管员和粮油质量检验员等管理技术人员、不具有与所经营粮食种类和国家质量标准规定的检验项目相适应的粮食检验仪器设备和单独粮食检验场所的、不具备相应的质量管理制度、不具备规定的粮食质量检验能力和条件又无委托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45</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从事粮食储存的经营者仓储设施未符合国家有关粮食储存标准和技术规范，将粮食与可能对粮食产生污染的有害物质混存或不同收获年度的粮食混存，未按规定对霉变、病虫害超标粮食进行处理，使用国家禁止使用的化学药剂或超标使用化学药剂，以及粮库周围有有害污染源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四川省〈粮食流通管理条例〉实施办法》（2018年1月12日四川省人民政府令第329号修改）第十五条从事粮食储存的经营者应当遵守下列规定：（一）仓储设施应当符合国家有关粮食储存标准和技术规范；（二）粮食不得与可能对粮食产生污染的有害物质混存，不同收获年度的粮食不得混存，霉变及病虫害超过标准规定的粮食应当单独存放并按有关规定进行销售或者销毁处理；（三）储存粮食不得使用国家禁止使用的化学药剂或者超剂量使用化学药剂，粮库周围不得有有害气体、粉末等污染源。第三十六条从事粮食储存的经营者违反本办法第十五条规定的，由粮食行政管理部门责令改正，予以警告，可以处1万元以下罚款。</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在检查中发现或者接到举报反映从事粮食储存的经营者涉嫌仓储设施未符合国家有关粮食储存标准和技术规范，将粮食与可能对粮食产生污染的有害物质混存或不同收获年度的粮食混存，未按规定对霉变、病虫害超标粮食进行处理，使用国家禁止使用的化学药剂或超标使用化学药剂，以及粮库周围有有害污染源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46</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对从事粮食收购、储存的经营者（不含个体工商户）未按照国家粮食质量标准对入库粮食进行质量检验，粮食出库或购进粮食无质检报告，或对质检报告弄虚作假的行政处罚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四川省〈粮食流通管理条例〉实施办法》（2018年1月12日四川省人民政府令第329号修改）第十六条实行粮食入库和出库质量检验制度。从事粮食收购、储存的经营者（不含个体工商户）应当按照国家粮食质量标准对入库粮食进行质量检验，在粮食销售出库时，应当出具质量检验报告，销售粮食的质量应当与检验结果一致。正常储存年限内的粮食销售出库，可以由经营者自行检验并出具检验报告。超过正常储存年限的粮食出库时，应当经过有资质的粮食质量检验机构进行质量鉴定。粮食正常储存年限由省粮食行政管理部门确定。第三十七条违反本办法第十六条、第十七条规定的，粮食出库和购进粮食无质检报告的，由粮食行政管理部门责令改正，予以警告，可以处1万元以下罚款；对质检报告弄虚作假的，由粮食行政管理部门责令改正，予以警告，情节严重的，可以处3万元以下罚款。</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在检查中发现或者接到举报反映从事粮食收购、储存的经营者（不含个体工商户）涉嫌未按照国家粮食质量标准对入库粮食进行质量检验，粮食出库或购进粮食无质检报告，或对质检报告弄虚作假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47</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对在粮食交易过程中，粮食销售、加工、转化经营者未索取质检报告或对质检报告弄虚作假的行政处罚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四川省〈粮食流通管理条例〉实施办法》（2018年1月12日四川省人民政府令第329号修改）第十七条在粮食交易过程中，粮食销售、加工、转化经营者向第十六条规定的粮食经营者购买粮食，应当索取粮食质量检验报告。第三十七条违反本办法第十六条、第十七条规定的，粮食出库和购进粮食无质检报告的，由粮食行政管理部门责令改正，予以警告，可以处1万元以下罚款；对质检报告弄虚作假的，由粮食行政管理部门责令改正，予以警告，情节严重的，可以处3万元以下罚款。</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1.立案责任：在检查中发现或者接到举报反映粮食销售、加工、转化经营者涉嫌在粮食交易过程中，未索取质检报告或对质检报告弄虚作假的，予以审查，决定是否立案。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48</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对粮食收购者、粮食储存企业将不得作为食用用途的粮食作为食用用途销售的行政处罚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四川省〈粮食流通管理条例〉实施办法》（2018年1月12日四川省人民政府令第329号修改）第三十八条粮食经营者未按规定使用粮食仓储设施、运输工具的，由粮食行政管理部门或者卫生部门责令改正，予以警告；被污染或者不符合食用卫生标准的粮食不得非法销售、加工；其质量符合饲料卫生标准的，由粮食行政管理部门责令当事人转作饲料；不符合饲料卫生标准的，由粮食行政管理部门责令转作其他安全用途或者销毁。</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1.立案责任：在检查中发现或者接到举报反映粮食收购者、粮食储存企业涉嫌将不得作为食用用途的粮食作为食用用途销售的，予以审查，决定是否立案。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49</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对粮油仓储单位未在规定时间备案或备案内容弄虚作假的行政处罚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粮油仓储管理办法》（国家发展和改革委员会令第5号）第六条粮油仓储单位应当自设立或者开始从事粮油仓储活动之日起30个工作日内，向所在地粮食行政管理部门备案。备案应当包括单位名称、地址、法定代表人、主要仓储业务类型、仓（罐）容规模等内容。具体备案管理办法由省、自治区、直辖市人民政府粮食行政管理部门制定。第二十八条粮油仓储单位违反本办法第六条规定，未在规定时间向粮食行政管理部门备案，或者备案内容弄虚作假的，由负责备案管理的粮食行政管理部门责令改正，给予警告；拒不改正的，处1万元以下罚款。</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1.立案责任：在检查中发现或者接到举报反映粮油仓储单位涉嫌未在规定时间备案或备案内容弄虚作假的，予以审查，决定是否立案。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50</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对粮油仓储单位不具备规定条件的行政处罚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粮油仓储管理办法》（国家发展和改革委员会令第5号）第七条粮油仓储单位应当具备以下条件：（一）拥有固定经营场地，并符合本办法有关污染源、危险源安全距离的规定；（二）拥有与从事粮油仓储活动相适应的设施设备，并符合粮油储藏技术规范的要求；（三）拥有相应的专业技术管理人员。第二十九条粮油仓储单位不具备本办法第七条规定条件的，由负责备案管理的粮食行政管理部门责令改正，给予警告；拒不改正的，处1万元以上3万元以下罚款。</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1.立案责任：在检查中发现或者接到举报反映粮油仓储单位涉嫌不具备规定条件的，予以审查，决定是否立案。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51</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对粮油仓储单位违规使用“国家储备粮”和“中央储备粮”字样的行政处罚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粮油仓储管理办法》（国家发展和改革委员会令第5号）第八条未经国家粮食行政管理部门批准，粮油仓储单位名称中不得使用“国家储备粮”和“中央储备粮”字样。第三十条粮油仓储单位的名称不符合本办法第八条规定的，由负责备案管理的粮食行政管理部门责令改正，给予警告。</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1.立案责任：在检查中发现或者接到举报反映粮油仓储单位涉嫌违规使用“国家储备粮”和“中央储备粮”字样的，予以审查，决定是否立案。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52</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对粮油仓储单位违反粮油出入库、储存等管理规定的行政处罚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粮油仓储管理办法》（国家发展和改革委员会令第5号）第三十一条粮油仓储单位违反本办法有关粮油出入库、储存等管理规定的，由所在地粮食行政管理部门责令改正，给予警告；情节严重的，可以并处3万元以下罚款；造成粮油储存事故或者安全生产事故的，按照有关法律法规和国家有关规定给予处罚。</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1.立案责任：在检查中发现或者接到举报反映粮油仓储单位涉嫌违反粮油出入库、储存等管理规定的，予以审查，决定是否立案。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53</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对未实行粮食质量安全档案制度的行政处罚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粮食质量安全监管办法》第二十三条实行粮食质量安全档案制度。粮食经营者经营粮食，应当建立粮食质量安全档案，如实记录以下信息：粮食品种、供货方、粮食产地、收获年度、收购或入库时间、货位及数量、质量等级、品质情况、施药情况、销售去向及出库时间，其他有关信息。第四十三条违反本办法第十一条、第十四条第二、第三、第四、第五款、第十七条第一款、第十九条、第二十二条、第二十三条、第二十五条规定的，由县级以上粮食行政管理部门责令改正，予以警告。</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1.立案责任：在检查中发现或者接到举报反映涉嫌未实行粮食质量安全档案制度的，予以审查，决定是否立案。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54</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对未实行粮食召回制度的行政处罚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粮食质量安全监管办法》第二十五条实行粮食召回制度。粮食经营者发现其销售的粮食有害成分含量超过食品安全标准限量的，应当立即停止销售，通知相关经营者和消费者，召回已售粮食，并记录备查；同时将召回和处理情况向县级以上粮食行政管理部门报告。未按规定召回、停止经营的，县级以上粮食行政管理部门可以责令其召回或者停止经营。第四十三条违反本办法第十一条、第十四条第二、第三、第四、第五款、第十七条第一款、第十九条、第二十二条、第二十三条、第二十五条规定的，由县级以上粮食行政管理部门责令改正，予以警告。</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1.立案责任：在检查中发现或者接到举报反映涉嫌未实行粮食召回制度的，予以审查，决定是否立案。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55</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对违规拆除、迁移粮油仓储物流设施，非法侵占、损坏粮油仓储物流设施或者擅自改变其用途的行政处罚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国有粮油仓储物流设施保护办法》第五条任何单位和个人不得侵占、损坏、擅自拆除粮油仓储物流设施，不得擅自改变粮油仓储物流设施用途，不得危害粮油仓储物流设施安全和粮油储存安全。第二十一条任何公民、法人和其他组织违反本办法规定拆除、迁移粮油仓储物流设施，非法侵占、损坏粮油仓储物流设施或者擅自改变其用途，由粮油仓储物流设施所在地粮食行政管理部门责令其限期改正，并依法予以警告或者罚款；有违法所得的，没收违法所得；造成财产损失的，依法承担民事赔偿责任；构成犯罪的，依法追究刑事责任。</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1.立案责任：在检查中发现或者接到举报反映涉嫌违规拆除、迁移粮油仓储物流设施，非法侵占、损坏粮油仓储物流设施或者擅自改变其用途的，予以审查，决定是否立案。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56</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对石油天然气管道企业未依法履行管道保护相关义务的行政处罚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石油天然气管道保护法》第七条管道企业应当遵守本法和有关规划、建设、安全生产、质量监督、环境保护等法律、行政法规，执行国家技术规范的强制性要求，建立、健全本企业有关管道保护的规章制度和操作规程并组织实施，宣传管道安全与保护知识，履行管道保护义务，接受人民政府及其有关部门依法实施的监督，保障管道安全运行。第五十条第一款管道企业有下列行为之一的，由县级以上地方人民政府主管管道保护工作的部门责令限期改正；逾期不改正的，处2万元以上10万元以下的罚款；对直接负责的主管人员和其他直接责任人员给予处分：（一）未依照本法规定对管道进行巡护、检测和维修的；（二）对不符合安全使用条件的管道未及时更新、改造或者停止使用的；（三）未依照本法规定设置、修复或者更新有关管道标志的；（四）未依照本法规定将管道竣工测量图报人民政府主管管道保护工作的部门备案的；（五）未制定本企业管道事故应急预案，或者未将本企业管道事故应急预案报人民政府主管管道保护工作的部门备案的；（六）发生管道事故，未采取有效措施消除或者减轻事故危害的；（七）未对停止运行、封存、报废的管道采取必要的安全防护措施的。</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大英县发展和改革局【能源交通股】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1.立案责任：发现石油天然气管道企业涉嫌未依法履行管道保护相关义务的，予以审查，决定是否立案。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57</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对实施危害石油天然气管道安全行为的行政处罚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石油天然气管道保护法》第八条任何单位和个人不得实施危害管道安全的行为。对危害管道安全的行为，任何单位和个人有权向县级以上地方人民政府主管管道保护工作的部门或者其他有关部门举报。接到举报的部门应当在职责范围内及时处理。第五十二条违反本法第二十九条、第三十条、第三十二条或者第三十三条第一款的规定，实施危害管道安全行为的，由县级以上地方人民政府主管管道保护工作的部门责令停止违法行为；情节较重的，对单位处1万元以上10万元以下的罚款，对个人处200元以上2000元以下的罚款。</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大英县发展和改革局【能源交通股】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1.立案责任：发现涉嫌实施危害石油天然气管道安全行为的，予以审查，决定是否立案。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58</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对未经依法批准进行危害石油天然气管道安全的施工作业的行政处罚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石油天然气管道保护法》第三十五条进行下列施工作业，施工单位应当向管道所在地县级人民政府主管管道保护工作的部门提出申请：（一）穿跨越管道的施工作业；（二）在管道线路中心线两侧各五米至五十米和本法第五十八条第一项所列管道附属设施周边一百米地域范围内，新建、改建、扩建铁路、公路、河渠，架设电力线路，埋设地下电缆、光缆，设置安全接地体、避雷接地体；（三）在管道线路中心线两侧各二百米和本法第五十八条第一项所列管道附属设施周边五百米地域范围内，进行爆破、地震法勘探或者工程挖掘、工程钻探、采矿。县级人民政府主管管道保护工作的部门接到申请后，应当组织施工单位与管道企业协商确定施工作业方案，并签订安全防护协议；协商不成的，主管管道保护工作的部门应当组织进行安全评审，作出是否批准作业的决定。第五十三条未经依法批准，进行本法第三十三条第二款或者第三十五条规定的施工作业的，由县级以上地方人民政府主管管道保护工作的部门责令停止违法行为；情节较重的，处1万元以上5万元以下的罚款。</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大英县发展和改革局【能源交通股】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1.立案责任：发现涉嫌未经依法批准进行危害石油天然气管道安全的施工作业的，予以审查，决定是否立案。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59</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行政处罚</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对擅自开启、关闭管道阀门等危害石油天然气管道安全及阻碍管道建设行为的行政处罚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石油天然气管道保护法》第十五条依照法律和国务院的规定，取得行政许可或者已报送备案并符合开工条件的管道项目的建设，任何单位和个人不得阻碍。第二十八条禁止下列危害管道安全的行为：（一）擅自开启、关闭管道阀门；（二）采用移动、切割、打孔、砸撬、拆卸等手段损坏管道；（三）移动、毁损、涂改管道标志；（四）在埋地管道上方巡查便道上行驶重型车辆；（五）在地面管道线路、架空管道线路和管桥上行走或者放置重物。第五十四条违反本法规定，有下列行为之一的，由县级以上地方人民政府主管管道保护工作的部门责令改正；情节严重的，处200元以上1000元以下的罚款：（一）擅自开启、关闭管道阀门的；（二）移动、毁损、涂改管道标志的；（三）在埋地管道上方巡查便道上行驶重型车辆的；（四）在地面管道线路、架空管道线路和管桥上行走或者放置重物的；（五）阻碍依法进行的管道建设的。</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大英县发展和改革局【能源交通股】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1.立案责任：发现涉嫌擅自开启、关闭管道阀门等危害石油天然气管道安全及阻碍管道建设行为的，予以审查，决定是否立案。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3.审查责任：对案件违法事实、证据、调查取证程序、法律适用、处罚种类和幅度、当事人陈述和申辩等进行审查，提出处理意见。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5.决定责任：作出行政处罚决定，制作《行政处罚决定书》，并载明行政处罚告知、当事人陈述申辩或者听证情况等内容。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6.送达责任：按照法律法规规定的方式和时限，将《行政处罚决定书》送达当事人。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8.其他责任：法律法规规章文件规定应履行的其他责任。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《中华人民共和国行政处罚法》第七十六条、第七十七条、第七十八条、第七十九条、第八十三条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追责情形：《中华人民共和国行政处罚法》第七十六条、《中华人民共和国行政机关公务员处分条例》第二十一条规定的情形，以及其他依法应当追究的情形。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60</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行政强制</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查封、扣押非法收购或者不符合国家粮食质量安全标准的粮食，用于违法经营或者被污染的工具、设备以及有关账簿资料，查封违法从事粮食经营活动的场所</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粮食流通管理条例》(国务院令第740号修订)第三十八条粮食和储备行政管理部门依照本条例对粮食经营者从事粮食收购、储存、运输活动和政策性粮食的购销活动，以及执行国家粮食流通统计制度的情况进行监督检查。粮食和储备行政管理部门在监督检查过程中，可以进入粮食经营者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1.催告责任：对非法收购或者经营不符合国家粮食质量安全标准的粮食的行为人下达催告通知书，催告查封、扣押的时间、内容、方式，告知其依法享有的陈述权和申辩权。</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3.执行责任：组织对非法收购或者不符合国家粮食质量安全标准的粮食，用于违法经营或者被污染的工具、设备以及有关账簿资料进行查封、扣押，对违法从事粮食经营活动的场所进行查封。</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4.事后监督责任：现场检查查封的物品、场所是否被擅自动用。</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5.其他责任：法律法规规章文件规定应履行的其他责任。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w:t>
            </w:r>
            <w:r>
              <w:rPr>
                <w:rFonts w:hint="eastAsia" w:ascii="仿宋_GB2312" w:hAnsi="仿宋_GB2312" w:cs="仿宋_GB2312"/>
                <w:b w:val="0"/>
                <w:i w:val="0"/>
                <w:iCs w:val="0"/>
                <w:color w:val="000000"/>
                <w:spacing w:val="0"/>
                <w:kern w:val="0"/>
                <w:sz w:val="21"/>
                <w:szCs w:val="21"/>
                <w:u w:val="none"/>
                <w:lang w:val="en-US" w:eastAsia="zh-CN" w:bidi="ar"/>
              </w:rPr>
              <w:t>中华人民共和国</w:t>
            </w:r>
            <w:r>
              <w:rPr>
                <w:rFonts w:hint="eastAsia" w:ascii="仿宋_GB2312" w:hAnsi="仿宋_GB2312" w:eastAsia="仿宋_GB2312" w:cs="仿宋_GB2312"/>
                <w:b w:val="0"/>
                <w:i w:val="0"/>
                <w:iCs w:val="0"/>
                <w:color w:val="000000"/>
                <w:spacing w:val="0"/>
                <w:kern w:val="0"/>
                <w:sz w:val="21"/>
                <w:szCs w:val="21"/>
                <w:u w:val="none"/>
                <w:lang w:val="en-US" w:eastAsia="zh-CN" w:bidi="ar"/>
              </w:rPr>
              <w:t>行政强制法》第六十一条、第六十二条、第六十三条、第六十四条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追责情形：《中华人民共和国行政强制法》第六十一条、第六十二条、《中华人民共和国行政机关公务员处分条例》第二十一条规定的情形，以及其他依法应当追究的情形。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61</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行政强制</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对违法修建的危害石油天然气管道安全的建筑物、构筑物或者其他设施的强制拆除</w:t>
            </w:r>
          </w:p>
        </w:tc>
        <w:tc>
          <w:tcPr>
            <w:tcW w:w="321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18"/>
                <w:szCs w:val="18"/>
                <w:u w:val="none"/>
                <w:lang w:val="en-US" w:eastAsia="zh-CN" w:bidi="ar"/>
              </w:rPr>
              <w:t>《中华人民共和国石油天然气管道保护法》第二十九条禁止在本法第五十八条第一项所列管道附属设施的上方架设电力线路、通信线路或者在储气库构造区域范围内进行工程挖掘、工程钻探、采矿。第三十条在管道线路中心线两侧各五米地域范围内，禁止下列危害管道安全的行为：（一）种植乔木、灌木、藤类、芦苇、竹子或者其他根系深达管道埋设部位可能损坏管道防腐层的深根植物；（二）取土、采石、用火、堆放重物、排放腐蚀性物质、使用机械工具进行挖掘施工；（三）挖塘、修渠、修晒场、修建水产养殖场、建温室、建家畜棚圈、建房以及修建其他建筑物、构筑物。第三十一条在管道线路中心线两侧和本法第五十八条第一项所列管道附属设施周边修建下列建筑物、构筑物的，建筑物、构筑物与管道线路和管道附属设施的距离应当符合国家技术规范的强制性要求：（一）居民小区、学校、医院、娱乐场所、车站、商场等人口密集的建筑物；（二）变电站、加油站、加气站、储油罐、储气罐等易燃易爆物品的生产、经营、存储场所。前款规定的国家技术规范的强制性要求，应当按照保障管道及建筑物、构筑物安全和节约用地的原则确定。第五十二条对违法修建的建筑物、构筑物或者其他设施限期拆除；逾期未拆除的，由县级以上地方人民政府主管管道保护工作的部门组织拆除，所需费用由违法行为人承担。第五十三条对违法修建的危害管道安全的建筑物、构筑物或者其他设施限期拆除；逾期未拆除的，由县级以上地方人民政府主管管道保护工作的部门组织拆除，所需费用由违法行为人承担。</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大英县发展和改革局【能源交通股】</w:t>
            </w:r>
          </w:p>
        </w:tc>
        <w:tc>
          <w:tcPr>
            <w:tcW w:w="404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1.催告责任：对危害管道安全，违法修建建筑物、构筑物或者其他设施的行为人下达催告通知书，催告拆除以及拆除的期限、方式，告知其依法享有的陈述权和申辩权。</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3.执行责任：当事人在法定期限内不申请行政复议或者提起行政诉讼，又不拆除的，依法组织强制拆除，所需费用由违法行为人承担。</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4.事后监管责任：对违法修建的危害管道安全的建筑物、构筑物或者其他设施限期拆除情况进行监督检查。</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5.其他责任：法律法规规章文件规定应履行的其他责任。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w:t>
            </w:r>
            <w:r>
              <w:rPr>
                <w:rFonts w:hint="eastAsia" w:ascii="仿宋_GB2312" w:hAnsi="仿宋_GB2312" w:cs="仿宋_GB2312"/>
                <w:b w:val="0"/>
                <w:i w:val="0"/>
                <w:iCs w:val="0"/>
                <w:color w:val="000000"/>
                <w:spacing w:val="0"/>
                <w:kern w:val="0"/>
                <w:sz w:val="21"/>
                <w:szCs w:val="21"/>
                <w:u w:val="none"/>
                <w:lang w:val="en-US" w:eastAsia="zh-CN" w:bidi="ar"/>
              </w:rPr>
              <w:t>中华人民共和国</w:t>
            </w:r>
            <w:r>
              <w:rPr>
                <w:rFonts w:hint="eastAsia" w:ascii="仿宋_GB2312" w:hAnsi="仿宋_GB2312" w:eastAsia="仿宋_GB2312" w:cs="仿宋_GB2312"/>
                <w:b w:val="0"/>
                <w:i w:val="0"/>
                <w:iCs w:val="0"/>
                <w:color w:val="000000"/>
                <w:spacing w:val="0"/>
                <w:kern w:val="0"/>
                <w:sz w:val="21"/>
                <w:szCs w:val="21"/>
                <w:u w:val="none"/>
                <w:lang w:val="en-US" w:eastAsia="zh-CN" w:bidi="ar"/>
              </w:rPr>
              <w:t>行政强制法》第六十一条、第六十二条、第六十三条、第六十四条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追责情形：《中华人民共和国行政强制法》第六十一条、第六十二条、《中华人民共和国行政机关公务员处分条例》第二十一条规定的情形，以及其他依法应当追究的情形。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62</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行政确认</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涉案财物价格认定</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四川省涉案财物价格鉴证管理条例》第三条本条例所称涉案财物价格鉴证，是指县级以上人民政府价格主管部门设立的价格鉴证机构对司法机关、行政执法机关（以下简称办案机关）提出的涉案财物进行价格鉴定和认证。本条例所称涉案财物，是指办案机关在办理刑事、行政执法案件中涉及的各类有形财产、无形资产及财产性权益。法律、行政法规另有规定的从其规定。第四条办案机关在办理案件中，对价格不明、价格有争议或价格难以确定的涉案财物，应依法进行价格鉴证。第五条县级以上人民政府价格主管部门负责本行政区域内涉案财物价格鉴证工作的监督管理，其设立的价格鉴证机构是办理办案机关涉案财物价格鉴证的专门机构。</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w:t>
            </w:r>
            <w:r>
              <w:rPr>
                <w:rFonts w:hint="eastAsia" w:ascii="仿宋_GB2312" w:hAnsi="仿宋_GB2312" w:cs="仿宋_GB2312"/>
                <w:b w:val="0"/>
                <w:i w:val="0"/>
                <w:iCs w:val="0"/>
                <w:color w:val="000000"/>
                <w:spacing w:val="0"/>
                <w:kern w:val="0"/>
                <w:sz w:val="21"/>
                <w:szCs w:val="21"/>
                <w:u w:val="none"/>
                <w:lang w:val="en-US" w:eastAsia="zh-CN" w:bidi="ar"/>
              </w:rPr>
              <w:t>价费成本股</w:t>
            </w:r>
            <w:r>
              <w:rPr>
                <w:rFonts w:hint="eastAsia" w:ascii="仿宋_GB2312" w:hAnsi="仿宋_GB2312" w:eastAsia="仿宋_GB2312" w:cs="仿宋_GB2312"/>
                <w:b w:val="0"/>
                <w:i w:val="0"/>
                <w:iCs w:val="0"/>
                <w:color w:val="000000"/>
                <w:spacing w:val="0"/>
                <w:kern w:val="0"/>
                <w:sz w:val="21"/>
                <w:szCs w:val="21"/>
                <w:u w:val="none"/>
                <w:lang w:val="en-US" w:eastAsia="zh-CN" w:bidi="ar"/>
              </w:rPr>
              <w:t>】</w:t>
            </w:r>
          </w:p>
        </w:tc>
        <w:tc>
          <w:tcPr>
            <w:tcW w:w="404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1.受理责任：公示依法应当提交的材料；一次性告知补正材料；依法受理或不予受理（不予受理应当告知理由）。</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2.认定（鉴证）责任：实物勘验；价格调查；价格测算；起草价格认定结论书（或价格鉴证结论书）。遇到中止或终止价格认定（鉴证）情形应当及时通知提请机关。</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3.签批责任：按照规定程序签批《价格认定结论书》或《价格鉴证结论书》。</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4.送达责任：制发送达文书。</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5.监管责任：加强日常监督检查。</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6.其他法律法规规章规定应履行的责任。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《四川省涉案财物价格鉴证管理条例》二十三条、二十四条、二十五条、二十七条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追责情形：《价格认定规定》第二十三条规定的情形，以及其他依法应当追究的情形。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lang w:val="en-US" w:eastAsia="zh-CN"/>
              </w:rPr>
            </w:pPr>
            <w:r>
              <w:rPr>
                <w:rFonts w:hint="eastAsia" w:ascii="仿宋_GB2312" w:hAnsi="仿宋_GB2312" w:eastAsia="仿宋_GB2312" w:cs="仿宋_GB2312"/>
                <w:b/>
                <w:bCs/>
                <w:color w:val="000000"/>
                <w:spacing w:val="0"/>
                <w:sz w:val="21"/>
                <w:szCs w:val="21"/>
                <w:lang w:val="en-US" w:eastAsia="zh-CN"/>
              </w:rPr>
              <w:t>涉密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63</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行政检查</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节能监察</w:t>
            </w:r>
          </w:p>
        </w:tc>
        <w:tc>
          <w:tcPr>
            <w:tcW w:w="321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18"/>
                <w:szCs w:val="18"/>
                <w:u w:val="none"/>
                <w:lang w:val="en-US" w:eastAsia="zh-CN" w:bidi="ar"/>
              </w:rPr>
              <w:t>《节能监察办法》第三条国家发展和改革委员会负责全国节能监察工作的统筹协调和指导。县级以上地方人民政府管理节能工作的部门负责本行政区域内节能监察工作的统筹协调和指导。第六条节能监察机构应当开展下列工作：（一）监督检查被监察单位执行节能法律、法规、规章和强制性节能标准的情况，督促被监察单位依法用能、合理用能，依法处理违法违规行为；（二）受理对违法违规用能行为的举报和投诉，办理其他行政执法单位依法移送或者政府有关部门交办的违法违规用能案件；（三）协助政府管理节能工作的部门和有关部门开展其他节能监督管理工作；（四）节能法律、法规、规章和规范性文件规定的其他工作。第二十三条被监察单位应当配合节能监察人员依法实施节能监察。被监察单位拒绝依法实施的节能监察的，由有处罚权的节能监察机构或委托开展节能监察的单位给予警告，责令限期改正；拒不改正的，处1万元以上3万元以下罚款。阻碍依法实施节能监察的，移交公安机关按照《</w:t>
            </w:r>
            <w:r>
              <w:rPr>
                <w:rFonts w:hint="eastAsia" w:ascii="仿宋_GB2312" w:hAnsi="仿宋_GB2312" w:cs="仿宋_GB2312"/>
                <w:b w:val="0"/>
                <w:i w:val="0"/>
                <w:iCs w:val="0"/>
                <w:color w:val="000000"/>
                <w:spacing w:val="0"/>
                <w:kern w:val="0"/>
                <w:sz w:val="18"/>
                <w:szCs w:val="18"/>
                <w:u w:val="none"/>
                <w:lang w:val="en-US" w:eastAsia="zh-CN" w:bidi="ar"/>
              </w:rPr>
              <w:t>中华人民共和国</w:t>
            </w:r>
            <w:r>
              <w:rPr>
                <w:rFonts w:hint="eastAsia" w:ascii="仿宋_GB2312" w:hAnsi="仿宋_GB2312" w:eastAsia="仿宋_GB2312" w:cs="仿宋_GB2312"/>
                <w:b w:val="0"/>
                <w:i w:val="0"/>
                <w:iCs w:val="0"/>
                <w:color w:val="000000"/>
                <w:spacing w:val="0"/>
                <w:kern w:val="0"/>
                <w:sz w:val="18"/>
                <w:szCs w:val="18"/>
                <w:u w:val="none"/>
                <w:lang w:val="en-US" w:eastAsia="zh-CN" w:bidi="ar"/>
              </w:rPr>
              <w:t>治安管理处罚法》相关规定处理，构成犯罪的，依法追究刑事责任。第二十四条被监察单位在整改期限届满后，整改未达到要求的，由节能监察机构将相关情况向社会公布，并纳入社会信用体系记录。被监察单位仍有违反节能法律、法规、规章和强制性节能标准的用能行为的，由节能监察机构将有关线索转交有处罚权的机关进行处理。</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大英县发展和改革局【综合规划股】</w:t>
            </w:r>
          </w:p>
        </w:tc>
        <w:tc>
          <w:tcPr>
            <w:tcW w:w="404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1.检查责任：根据本地区的实际情况，对能源生产、经营、使用单位和其他相关单位执行节能法律、法规、规章和强制性节能标准的情况等进行监督检查。</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2.处置责任：对违规用能行为予以处理，并提出依法用能、合理用能建议。</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3.信息公开责任：按照相关规定办理信息公开事项。</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4.其他责任：法律法规规章文件规定应履行的其他责任。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《节能监察办法》第二十五条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追责情形：《节能监察办法》第二十五条规定的情形，以及其他依法应当追究的情形。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64</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行政检查</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对粮食经营者从事粮食收购、储存、运输活动和政策性粮食的购销活动，以及执行国家粮食流通统计制度的情况的检查</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《粮食流通管理条例》(国务院令第740号修订）</w:t>
            </w:r>
            <w:r>
              <w:rPr>
                <w:rStyle w:val="29"/>
                <w:rFonts w:hint="eastAsia" w:ascii="仿宋_GB2312" w:hAnsi="仿宋_GB2312" w:eastAsia="仿宋_GB2312" w:cs="仿宋_GB2312"/>
                <w:b w:val="0"/>
                <w:spacing w:val="0"/>
                <w:sz w:val="21"/>
                <w:szCs w:val="21"/>
                <w:lang w:val="en-US" w:eastAsia="zh-CN" w:bidi="ar"/>
              </w:rPr>
              <w:t>第三十八条第一款粮食和储备行政管理部门依照本条例对粮食经营者从事粮食收购、储存、运输活动和政策性粮食的购销活动，以及执行国家粮食流通统计制度的情况进行监督检查。</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1.检查责任：根据本地区的实际情况，对粮食经营者从事粮食收购、储存、运输活动和政策性用粮的购销活动，以及执行国家粮食流通统计制度的情况开展定期或不定期的监督检查。</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2.处置责任：对粮食经营者非法从事粮食收购、储存、运输活动和政策性用粮的购销活动，以及执行国家粮食流通统计制度中违反相关规定的，粮食行政管理部门应当责令改正，并按相关规定和程序进行处理。</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3.信息公开责任：按照相关规定办理信息公开事项。</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4.其他责任：法律法规规章文件规定应履行的其他责任。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《粮食流通管理条例》第四十二条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追责情形：《四川省粮食安全保障条例》第六十六条规定的情形，以及其他依法应当追究的情形。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65</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行政奖励</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对在循环经济管理、科学技术研究、产品开发、示范和推广工作中做出显著成绩的单位和个人的表彰奖励</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《中华人民共和国循环经济促进法》第四十八条县级以上人民政府及其有关部门应当对在循环经济管理、科学技术研究、产品开发、示范和推广工作中</w:t>
            </w:r>
            <w:bookmarkStart w:id="0" w:name="_GoBack"/>
            <w:bookmarkEnd w:id="0"/>
            <w:r>
              <w:rPr>
                <w:rFonts w:hint="eastAsia" w:ascii="仿宋_GB2312" w:hAnsi="仿宋_GB2312" w:eastAsia="仿宋_GB2312" w:cs="仿宋_GB2312"/>
                <w:b w:val="0"/>
                <w:i w:val="0"/>
                <w:iCs w:val="0"/>
                <w:color w:val="000000"/>
                <w:spacing w:val="0"/>
                <w:kern w:val="0"/>
                <w:sz w:val="21"/>
                <w:szCs w:val="21"/>
                <w:u w:val="none"/>
                <w:lang w:val="en-US" w:eastAsia="zh-CN" w:bidi="ar"/>
              </w:rPr>
              <w:t>做出显著成绩的单位和个人给予表彰和奖励。</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大英县发展和改革局【综合规划股】</w:t>
            </w:r>
          </w:p>
        </w:tc>
        <w:tc>
          <w:tcPr>
            <w:tcW w:w="404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1.制定方案责任：在广泛征求意见的基础上，科学制定表彰奖励方案。</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2.组织推荐责任：严格按照奖励方案的条件、程序，组织推荐工作，对符合条件单位或个人一次性告知补正材料；对推荐对象进行初审。</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3.审核公示责任：对符合条件的推荐对象进行审核，报请临时性表彰奖励领导小组及市委、市政府研究审定，并公示。</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4.表彰责任：按照程序制定表彰奖励文件。</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5.其他责任：法律法规规章文件规定应履行的其他责任。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《中华人民共和国节约能源法》第八十六条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追责情形：《中华人民共和国节约能源法》第八十六条规定的情形，以及其他依法应当追究的情形。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66</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其他行政权力</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物业服务收费标准调价合理性评审</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四川省物业管理条例》第五十一条物业管理区域所在地县级人民政府价格行政主管部门应当加强物业服务收费的监督和管理。调整物业服务收费标准产生纠纷时，物业服务合同双方当事人可以向物业管理区域所在地县级人民政府价格行政主管部门设立的价格认证机构申请对调价幅度的合理性进行评审。</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Style w:val="30"/>
                <w:rFonts w:hint="eastAsia" w:ascii="仿宋_GB2312" w:hAnsi="仿宋_GB2312" w:eastAsia="仿宋_GB2312" w:cs="仿宋_GB2312"/>
                <w:b w:val="0"/>
                <w:spacing w:val="0"/>
                <w:sz w:val="21"/>
                <w:szCs w:val="21"/>
                <w:lang w:val="en-US" w:eastAsia="zh-CN" w:bidi="ar"/>
              </w:rPr>
              <w:t>大英县发展和改革局【</w:t>
            </w:r>
            <w:r>
              <w:rPr>
                <w:rFonts w:hint="eastAsia" w:ascii="仿宋_GB2312" w:hAnsi="仿宋_GB2312" w:eastAsia="仿宋_GB2312" w:cs="仿宋_GB2312"/>
                <w:b w:val="0"/>
                <w:i w:val="0"/>
                <w:iCs w:val="0"/>
                <w:color w:val="000000"/>
                <w:spacing w:val="0"/>
                <w:kern w:val="0"/>
                <w:sz w:val="21"/>
                <w:szCs w:val="21"/>
                <w:u w:val="none"/>
                <w:lang w:val="en-US" w:eastAsia="zh-CN" w:bidi="ar"/>
              </w:rPr>
              <w:t>价费成本股】</w:t>
            </w:r>
          </w:p>
        </w:tc>
        <w:tc>
          <w:tcPr>
            <w:tcW w:w="404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1.受理责任：公示依法应当提交的材料；一次性告知补正材料；依法受理或不予受理（不予受理应当告知理由）。</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审查责任：依法审核物业双方提交的材料，通过实地调查、走访业主、召开座谈会，征询相关政府部门意见，充分听取申请双方意见等方式方法全面了解物业状况、物业服务企业收入状况、同一区域同一类型其他物业服务收费标准等情况，提出审查意见。</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3.决定责任：出具《物业服务收费标准调价幅度合理性评审意见书》。</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4.送达责任：评审意见书按规定的方式送达申请人。</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5.其他责任：法律法规规章规定应履行的其他责任。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《四川省物业管理条例》第七十七条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追责情形：《四川省物业管理条例》第七十七条规定的情形，以及其他依法应当追究的情形。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5"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67</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其他行政权力</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权限内商品和服务价格政府定价、政府指导价制定</w:t>
            </w:r>
          </w:p>
        </w:tc>
        <w:tc>
          <w:tcPr>
            <w:tcW w:w="321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价格法》第五条第二款县级以上地方各级人民政府价格主管部门负责本行政区域内的价格工作。县级以上地方各级人民政府其他有关部门在各自的职责范围内，负责有关的价格工作。第十八条下列商品和服务价格，政府在必要时可以实行政府指导价或者政府定价：（一）与国民经济发展和人民生活关系重大的极少数商品价格；（二）资源稀缺的少数商品价格；（三）自然垄断经营的商品价格；（四）重要的公用事业价格；（五）重要的公益性服务价格。第二十条第三款市、县人民政府可以根据省、自治区、直辖市人民政府的授权，按照地方定价目录规定的定价权限和具体适用范围制定在本地区执行的政府指导价、政府定价。</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Style w:val="30"/>
                <w:rFonts w:hint="eastAsia" w:ascii="仿宋_GB2312" w:hAnsi="仿宋_GB2312" w:eastAsia="仿宋_GB2312" w:cs="仿宋_GB2312"/>
                <w:b w:val="0"/>
                <w:spacing w:val="0"/>
                <w:sz w:val="21"/>
                <w:szCs w:val="21"/>
                <w:lang w:val="en-US" w:eastAsia="zh-CN" w:bidi="ar"/>
              </w:rPr>
              <w:t>大英县发展和改革局【</w:t>
            </w:r>
            <w:r>
              <w:rPr>
                <w:rFonts w:hint="eastAsia" w:ascii="仿宋_GB2312" w:hAnsi="仿宋_GB2312" w:eastAsia="仿宋_GB2312" w:cs="仿宋_GB2312"/>
                <w:b w:val="0"/>
                <w:i w:val="0"/>
                <w:iCs w:val="0"/>
                <w:color w:val="000000"/>
                <w:spacing w:val="0"/>
                <w:kern w:val="0"/>
                <w:sz w:val="21"/>
                <w:szCs w:val="21"/>
                <w:u w:val="none"/>
                <w:lang w:val="en-US" w:eastAsia="zh-CN" w:bidi="ar"/>
              </w:rPr>
              <w:t>价费成本股】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立项责任：根据《中华人民共和国价格法》和《四川省定价目录》启动定价程序。对有建议人的，公示依法应当提交的材料，一次性告知补正材料，依法受理或不予受理（不予受理的应当告知建议人向有关部门申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审查责任：对建议人提交的材料进行审核。根据需要开展定调价基础工作，履行价格、成本调查程序，听取经营者、消费者和有关方面意见，制定初步方案。依法需成本监审、专家论证、价格听证的履行相应法定程序。</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3.决定公布责任：集体讨论作出制定价格或不予制定价格的决定（不予制定价格的，应告知建议人）。向社会公布制定价格的决定（涉及国家秘密的除外）。</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4.事后监管责任：适时开展价格执行情况调查，涉及人民群众重大利益的，开展事后评估。</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5.其他责任：法律法规规章规定应履行的其他责任。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《中华人民共和国价格法》第四十五条、四十六条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追责情形：《中华人民共和国价格法》第四十五条、四十六条、《政府制定价格行为规则》第三十二条、三十三条规定的情形，以及其他依法应当追究的情形。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68</w:t>
            </w:r>
          </w:p>
        </w:tc>
        <w:tc>
          <w:tcPr>
            <w:tcW w:w="6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其他行政权力</w:t>
            </w:r>
          </w:p>
        </w:tc>
        <w:tc>
          <w:tcPr>
            <w:tcW w:w="11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企业投资项目备案</w:t>
            </w:r>
          </w:p>
        </w:tc>
        <w:tc>
          <w:tcPr>
            <w:tcW w:w="3210" w:type="dxa"/>
            <w:noWrap/>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企业投资项目核准和备案管理条例》第三条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p>
        </w:tc>
        <w:tc>
          <w:tcPr>
            <w:tcW w:w="7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bCs w:val="0"/>
                <w:spacing w:val="0"/>
                <w:sz w:val="21"/>
                <w:szCs w:val="21"/>
                <w:lang w:val="en-US" w:eastAsia="zh-CN"/>
              </w:rPr>
              <w:t>大英县</w:t>
            </w:r>
            <w:r>
              <w:rPr>
                <w:rFonts w:hint="eastAsia" w:ascii="仿宋_GB2312" w:hAnsi="仿宋_GB2312" w:eastAsia="仿宋_GB2312" w:cs="仿宋_GB2312"/>
                <w:b w:val="0"/>
                <w:bCs w:val="0"/>
                <w:spacing w:val="0"/>
                <w:sz w:val="21"/>
                <w:szCs w:val="21"/>
              </w:rPr>
              <w:t>发展</w:t>
            </w:r>
            <w:r>
              <w:rPr>
                <w:rFonts w:hint="eastAsia" w:ascii="仿宋_GB2312" w:hAnsi="仿宋_GB2312" w:eastAsia="仿宋_GB2312" w:cs="仿宋_GB2312"/>
                <w:b w:val="0"/>
                <w:bCs w:val="0"/>
                <w:spacing w:val="0"/>
                <w:sz w:val="21"/>
                <w:szCs w:val="21"/>
                <w:lang w:val="en-US" w:eastAsia="zh-CN"/>
              </w:rPr>
              <w:t>和</w:t>
            </w:r>
            <w:r>
              <w:rPr>
                <w:rFonts w:hint="eastAsia" w:ascii="仿宋_GB2312" w:hAnsi="仿宋_GB2312" w:eastAsia="仿宋_GB2312" w:cs="仿宋_GB2312"/>
                <w:b w:val="0"/>
                <w:bCs w:val="0"/>
                <w:spacing w:val="0"/>
                <w:sz w:val="21"/>
                <w:szCs w:val="21"/>
              </w:rPr>
              <w:t>改革</w:t>
            </w:r>
            <w:r>
              <w:rPr>
                <w:rFonts w:hint="eastAsia" w:ascii="仿宋_GB2312" w:hAnsi="仿宋_GB2312" w:eastAsia="仿宋_GB2312" w:cs="仿宋_GB2312"/>
                <w:b w:val="0"/>
                <w:bCs w:val="0"/>
                <w:spacing w:val="0"/>
                <w:sz w:val="21"/>
                <w:szCs w:val="21"/>
                <w:lang w:val="en-US" w:eastAsia="zh-CN"/>
              </w:rPr>
              <w:t>局</w:t>
            </w:r>
            <w:r>
              <w:rPr>
                <w:rFonts w:hint="eastAsia" w:ascii="仿宋_GB2312" w:hAnsi="仿宋_GB2312" w:eastAsia="仿宋_GB2312" w:cs="仿宋_GB2312"/>
                <w:b w:val="0"/>
                <w:bCs w:val="0"/>
                <w:spacing w:val="0"/>
                <w:sz w:val="21"/>
                <w:szCs w:val="21"/>
              </w:rPr>
              <w:t>【</w:t>
            </w:r>
            <w:r>
              <w:rPr>
                <w:rFonts w:hint="eastAsia" w:ascii="仿宋_GB2312" w:hAnsi="仿宋_GB2312" w:eastAsia="仿宋_GB2312" w:cs="仿宋_GB2312"/>
                <w:b w:val="0"/>
                <w:bCs w:val="0"/>
                <w:spacing w:val="0"/>
                <w:sz w:val="21"/>
                <w:szCs w:val="21"/>
                <w:lang w:val="en-US" w:eastAsia="zh-CN"/>
              </w:rPr>
              <w:t>改革法规股</w:t>
            </w:r>
            <w:r>
              <w:rPr>
                <w:rFonts w:hint="eastAsia" w:ascii="仿宋_GB2312" w:hAnsi="仿宋_GB2312" w:eastAsia="仿宋_GB2312" w:cs="仿宋_GB2312"/>
                <w:b w:val="0"/>
                <w:bCs w:val="0"/>
                <w:spacing w:val="0"/>
                <w:sz w:val="21"/>
                <w:szCs w:val="21"/>
              </w:rPr>
              <w:t>（行政审批</w:t>
            </w:r>
            <w:r>
              <w:rPr>
                <w:rFonts w:hint="eastAsia" w:ascii="仿宋_GB2312" w:hAnsi="仿宋_GB2312" w:eastAsia="仿宋_GB2312" w:cs="仿宋_GB2312"/>
                <w:b w:val="0"/>
                <w:bCs w:val="0"/>
                <w:spacing w:val="0"/>
                <w:sz w:val="21"/>
                <w:szCs w:val="21"/>
                <w:lang w:val="en-US" w:eastAsia="zh-CN"/>
              </w:rPr>
              <w:t>股）</w:t>
            </w:r>
            <w:r>
              <w:rPr>
                <w:rFonts w:hint="eastAsia" w:ascii="仿宋_GB2312" w:hAnsi="仿宋_GB2312" w:eastAsia="仿宋_GB2312" w:cs="仿宋_GB2312"/>
                <w:b w:val="0"/>
                <w:bCs w:val="0"/>
                <w:spacing w:val="0"/>
                <w:sz w:val="21"/>
                <w:szCs w:val="21"/>
              </w:rPr>
              <w:t>】</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1.受理责任：收到企业填写的项目备案基本信息格式文本即为受理。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2.审查责任：对备案信息不完整的，及时提醒和指导项目单位补正。发现项目符合备案条件的，及时告知企业。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3.决定责任：在规定时限内，作出是否通过审查的决定。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4.事后监管责任：建立实施监督检查的运行机制和管理制度，开展定期和不定期检查，依法采取相关处置措施。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5.其他责任：法律法规规章文件规定应履行的其他责任。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bCs w:val="0"/>
                <w:color w:val="000000"/>
                <w:spacing w:val="0"/>
                <w:sz w:val="21"/>
                <w:szCs w:val="21"/>
              </w:rPr>
              <w:t>《企业投资项目核准和备案管理条例》第五十二条、第五十三条、第五十四条</w:t>
            </w:r>
          </w:p>
        </w:tc>
        <w:tc>
          <w:tcPr>
            <w:tcW w:w="190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追责情形：《企业投资项目核准和备案管理条例》第二十一条规定的情形，以及其他依法应当追究的情形。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p>
        </w:tc>
        <w:tc>
          <w:tcPr>
            <w:tcW w:w="441" w:type="dxa"/>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69</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其他行政权力</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粮食收购企业备案</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粮食流通管理条例》(国务院令第740号修订)第九条第二款从事粮食收购的企业（以下简称粮食收购企业），应当向收购地的县级人民政府粮食和储备行政管理部门备案企业名称、地址、负责人以及仓储设施等信息，备案内容发生变化的，应当及时变更备案。</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大英县发展和改革局【粮食和物资储备股】</w:t>
            </w:r>
          </w:p>
        </w:tc>
        <w:tc>
          <w:tcPr>
            <w:tcW w:w="404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1.受理责任：收到企业填写的粮食收购企业备案信息即为受理。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2.审查责任：对备案信息不完整的，及时提醒和指导企业补正。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3.决定责任：在规定时限内，作出是否通过审查的决定。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4.事后监管责任：加强监管，开展定期和不定期监督检查，依法采取相关处置措施。</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5.其他责任：法律法规规章文件规定应履行的其他责任。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《粮食流通管理条例》第四十二条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追责情形：《四川省粮食安全保障条例》第六十六条规定的情形，以及其他依法应当追究的情形。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9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70</w:t>
            </w:r>
          </w:p>
        </w:tc>
        <w:tc>
          <w:tcPr>
            <w:tcW w:w="667"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其他行政权力</w:t>
            </w:r>
          </w:p>
        </w:tc>
        <w:tc>
          <w:tcPr>
            <w:tcW w:w="1173"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石油天然气管道竣工验收</w:t>
            </w:r>
          </w:p>
        </w:tc>
        <w:tc>
          <w:tcPr>
            <w:tcW w:w="3210"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《中华人民共和国石油天然气管道保护法》第十九条管道建成后应当按照国家有关规定进行竣工验收。竣工验收应当审查管道是否符合本法规定的管道保护要求，经验收合格方可正式交付使用。</w:t>
            </w:r>
          </w:p>
        </w:tc>
        <w:tc>
          <w:tcPr>
            <w:tcW w:w="7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大英县发展和改革局【能源交通股】</w:t>
            </w:r>
          </w:p>
        </w:tc>
        <w:tc>
          <w:tcPr>
            <w:tcW w:w="4049"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1.制定方案责任：按照《中华人民共和国石油天然气管道保护法》，科学制定完善验收方案。</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2.组织验收责任：严格按照验收方案，组织验收委员会审查管道是否符合《中华人民共和国石油天然气管道保护法》规定的管道保护要求。</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3.决定公布责任：作出验收合格或不合格的决定并向社会公布。</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4.其他责任：法律法规规章文件规定应履行的其他责任。</w:t>
            </w:r>
          </w:p>
        </w:tc>
        <w:tc>
          <w:tcPr>
            <w:tcW w:w="1065"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《中华人民共和国石油天然气管道保护法》第五十六条</w:t>
            </w:r>
          </w:p>
        </w:tc>
        <w:tc>
          <w:tcPr>
            <w:tcW w:w="1904" w:type="dxa"/>
            <w:noWrap/>
            <w:vAlign w:val="center"/>
          </w:tcPr>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追责情形：《中华人民共和国石油天然气管道保护法》第五十六条规定的情形，以及其他依法应当追究的情形。</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免责情形：《中华人民共和国公职人员政务处分法》第十二条及其他依法应当免责的情形。</w:t>
            </w:r>
          </w:p>
        </w:tc>
        <w:tc>
          <w:tcPr>
            <w:tcW w:w="8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i w:val="0"/>
                <w:iCs w:val="0"/>
                <w:color w:val="000000"/>
                <w:spacing w:val="0"/>
                <w:kern w:val="0"/>
                <w:sz w:val="21"/>
                <w:szCs w:val="21"/>
                <w:u w:val="none"/>
                <w:lang w:val="en-US" w:eastAsia="zh-CN" w:bidi="ar"/>
              </w:rPr>
            </w:pPr>
            <w:r>
              <w:rPr>
                <w:rFonts w:hint="eastAsia" w:ascii="仿宋_GB2312" w:hAnsi="仿宋_GB2312" w:eastAsia="仿宋_GB2312" w:cs="仿宋_GB2312"/>
                <w:b w:val="0"/>
                <w:i w:val="0"/>
                <w:iCs w:val="0"/>
                <w:color w:val="000000"/>
                <w:spacing w:val="0"/>
                <w:kern w:val="0"/>
                <w:sz w:val="21"/>
                <w:szCs w:val="21"/>
                <w:u w:val="none"/>
                <w:lang w:val="en-US" w:eastAsia="zh-CN" w:bidi="ar"/>
              </w:rPr>
              <w:t>监督</w:t>
            </w:r>
          </w:p>
          <w:p>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b/>
                <w:i w:val="0"/>
                <w:iCs w:val="0"/>
                <w:color w:val="000000"/>
                <w:spacing w:val="0"/>
                <w:kern w:val="2"/>
                <w:sz w:val="21"/>
                <w:szCs w:val="21"/>
                <w:u w:val="none"/>
                <w:lang w:val="en-US" w:eastAsia="zh-CN" w:bidi="ar-SA"/>
              </w:rPr>
            </w:pPr>
            <w:r>
              <w:rPr>
                <w:rFonts w:hint="eastAsia" w:ascii="仿宋_GB2312" w:hAnsi="仿宋_GB2312" w:eastAsia="仿宋_GB2312" w:cs="仿宋_GB2312"/>
                <w:b w:val="0"/>
                <w:i w:val="0"/>
                <w:iCs w:val="0"/>
                <w:color w:val="000000"/>
                <w:spacing w:val="0"/>
                <w:kern w:val="0"/>
                <w:sz w:val="21"/>
                <w:szCs w:val="21"/>
                <w:u w:val="none"/>
                <w:lang w:val="en-US" w:eastAsia="zh-CN" w:bidi="ar"/>
              </w:rPr>
              <w:t>电话：0825-6162332</w:t>
            </w:r>
          </w:p>
        </w:tc>
        <w:tc>
          <w:tcPr>
            <w:tcW w:w="441" w:type="dxa"/>
            <w:noWrap/>
            <w:vAlign w:val="center"/>
          </w:tcPr>
          <w:p>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b w:val="0"/>
                <w:color w:val="000000"/>
                <w:spacing w:val="0"/>
                <w:sz w:val="21"/>
                <w:szCs w:val="21"/>
              </w:rPr>
            </w:pPr>
          </w:p>
        </w:tc>
      </w:tr>
    </w:tbl>
    <w:p>
      <w:pPr>
        <w:adjustRightInd w:val="0"/>
        <w:snapToGrid w:val="0"/>
        <w:rPr>
          <w:rFonts w:hint="eastAsia" w:ascii="Times New Roman" w:hAnsi="Times New Roman"/>
          <w:b w:val="0"/>
          <w:bCs/>
          <w:spacing w:val="0"/>
          <w:sz w:val="24"/>
        </w:rPr>
      </w:pPr>
    </w:p>
    <w:p>
      <w:pPr>
        <w:pStyle w:val="20"/>
        <w:spacing w:line="20" w:lineRule="exact"/>
        <w:rPr>
          <w:rFonts w:hint="eastAsia" w:ascii="Times New Roman" w:hAnsi="Times New Roman" w:eastAsia="仿宋_GB2312"/>
          <w:b w:val="0"/>
          <w:spacing w:val="0"/>
          <w:lang w:eastAsia="zh-CN"/>
        </w:rPr>
      </w:pPr>
    </w:p>
    <w:p>
      <w:pPr>
        <w:pStyle w:val="6"/>
        <w:rPr>
          <w:rFonts w:hint="eastAsia"/>
        </w:rPr>
      </w:pPr>
    </w:p>
    <w:sectPr>
      <w:footerReference r:id="rId5" w:type="default"/>
      <w:footerReference r:id="rId6" w:type="even"/>
      <w:pgSz w:w="16838" w:h="11906" w:orient="landscape"/>
      <w:pgMar w:top="1134" w:right="1417" w:bottom="850" w:left="1417" w:header="851" w:footer="1247" w:gutter="0"/>
      <w:cols w:space="720" w:num="1"/>
      <w:docGrid w:type="linesAndChar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3"/>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eastAsia="宋体"/>
        <w:b w:val="0"/>
        <w:sz w:val="28"/>
        <w:szCs w:val="28"/>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3"/>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080">
                        <a:noFill/>
                      </a:ln>
                    </wps:spPr>
                    <wps:txbx>
                      <w:txbxContent>
                        <w:p>
                          <w:pPr>
                            <w:pStyle w:val="6"/>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  \* MERGEFORMAT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73</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lang w:eastAsia="zh-CN"/>
                            </w:rPr>
                            <w:t>—</w:t>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CgNuWzRAAAABQEAAA8AAABkcnMvZG93bnJldi54bWxNj8FOwzAQRO9I/IO1&#10;SNyokx5oFOL0UJUDAiG16Qc48ZJEjdeW7Tbh71kQElxWO5rV7Jtqu9hJXDHE0ZGCfJWBQOqcGalX&#10;cGqeHwoQMWkyenKECj4xwra+val0adxMB7weUy84hGKpFQwp+VLK2A1odVw5j8TehwtWJ5ahlybo&#10;mcPtJNdZ9iitHok/DNrjbsDufLxYBZvu/NK85X72+/61bYJ53ywHVOr+Ls+eQCRc0t8xfOMzOtTM&#10;1LoLmSgmBVwk/Uz21kXBsv1dZF3J//T1F1BLAwQUAAAACACHTuJA35x559MBAAClAwAADgAAAGRy&#10;cy9lMm9Eb2MueG1srVPNjtMwEL4j8Q6W7zRpEShETVegahESYlfa5QFcx24s+U8et0lfAN6A0164&#10;81x9jh07SRctlz1wcWY842/m+2ayvhqMJkcRQDnb0OWipERY7lpl9w39fn/9pqIEIrMt086Khp4E&#10;0KvN61fr3tdi5TqnWxEIglioe9/QLkZfFwXwThgGC+eFxaB0wbCIbtgXbWA9ohtdrMryfdG70Prg&#10;uADA2+0YpBNieAmgk1JxsXX8YISNI2oQmkWkBJ3yQDe5WykFjzdSgohENxSZxnxiEbR36Sw2a1bv&#10;A/Od4lML7CUtPONkmLJY9AK1ZZGRQ1D/QBnFgwMn44I7U4xEsiLIYlk+0+auY15kLig1+Ivo8P9g&#10;+bfjbSCqbeg7SiwzOPDzr5/nhz/n3z/Isnz7ISnUe6gx8c5jahw+uQH3Zr4HvEzEBxlM+iIlgnHU&#10;93TRVwyR8PSoWlVViSGOsdlB/OLpuQ8QPwtnSDIaGnCAWVd2/ApxTJ1TUjXrrpXWeYjakh5ZlFWZ&#10;H1wiCK4t1kgkxmaTFYfdMDHbufaExHpcgoZa3HlK9BeLGqd9mY0wG7vZOPig9l1eqNQJ+I+HiN3k&#10;JlOFEXYqjNPLNKdNS+vxt5+znv6uzS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oDbls0QAAAAUB&#10;AAAPAAAAAAAAAAEAIAAAADgAAABkcnMvZG93bnJldi54bWxQSwECFAAUAAAACACHTuJA35x559MB&#10;AAClAwAADgAAAAAAAAABACAAAAA2AQAAZHJzL2Uyb0RvYy54bWxQSwUGAAAAAAYABgBZAQAAewUA&#10;AAAA&#10;">
              <v:fill on="f" focussize="0,0"/>
              <v:stroke on="f" weight="0.4pt"/>
              <v:imagedata o:title=""/>
              <o:lock v:ext="edit" aspectratio="f"/>
              <v:textbox inset="0mm,0mm,0mm,0mm" style="mso-fit-shape-to-text:t;">
                <w:txbxContent>
                  <w:p>
                    <w:pPr>
                      <w:pStyle w:val="6"/>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  \* MERGEFORMAT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73</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eastAsia="仿宋_GB2312"/>
        <w:b w:val="0"/>
        <w:sz w:val="28"/>
        <w:szCs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080">
                        <a:noFill/>
                      </a:ln>
                    </wps:spPr>
                    <wps:txbx>
                      <w:txbxContent>
                        <w:p>
                          <w:pPr>
                            <w:pStyle w:val="6"/>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  \* MERGEFORMAT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74</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lang w:eastAsia="zh-CN"/>
                            </w:rPr>
                            <w:t>—</w:t>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CgNuWzRAAAABQEAAA8AAABkcnMvZG93bnJldi54bWxNj8FOwzAQRO9I/IO1&#10;SNyokx5oFOL0UJUDAiG16Qc48ZJEjdeW7Tbh71kQElxWO5rV7Jtqu9hJXDHE0ZGCfJWBQOqcGalX&#10;cGqeHwoQMWkyenKECj4xwra+val0adxMB7weUy84hGKpFQwp+VLK2A1odVw5j8TehwtWJ5ahlybo&#10;mcPtJNdZ9iitHok/DNrjbsDufLxYBZvu/NK85X72+/61bYJ53ywHVOr+Ls+eQCRc0t8xfOMzOtTM&#10;1LoLmSgmBVwk/Uz21kXBsv1dZF3J//T1F1BLAwQUAAAACACHTuJAI0tNwtMBAAClAwAADgAAAGRy&#10;cy9lMm9Eb2MueG1srVPNjtMwEL4j8Q6W7zRpBasoarpaVC1CQoC07AO4jt1Y8p88bpO+ALwBJy7c&#10;ea4+B2MnadFy2cNenBnP+Jv5vpmsbwejyVEEUM42dLkoKRGWu1bZfUMfv92/qSiByGzLtLOioScB&#10;9Hbz+tW697VYuc7pVgSCIBbq3je0i9HXRQG8E4bBwnlhMShdMCyiG/ZFG1iP6EYXq7K8KXoXWh8c&#10;FwB4ux2DdEIMzwF0Uiouto4fjLBxRA1Cs4iUoFMe6CZ3K6Xg8YuUICLRDUWmMZ9YBO1dOovNmtX7&#10;wHyn+NQCe04LTzgZpiwWvUBtWWTkENR/UEbx4MDJuODOFCORrAiyWJZPtHnomBeZC0oN/iI6vBws&#10;/3z8GohqG3pDiWUGB37++eP868/593eyLN9mhXoPNSY+eEyNw3s34N4k5dI94GUiPshg0hcpEYyj&#10;vqeLvmKIhKdH1aqqSgxxjM0O4hTX5z5A/CCcIcloaMABZl3Z8RPEMXVOSdWsu1da5yFqS/qGviur&#10;Mj+4RBBcW6xxbTZZcdgNE4Oda09IrMclaKjFnadEf7SocdqX2QizsZuNgw9q3+WFSp2AvztE7CY3&#10;mSqMsFNhnF6mOW1aWo9//Zx1/bs2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oDbls0QAAAAUB&#10;AAAPAAAAAAAAAAEAIAAAADgAAABkcnMvZG93bnJldi54bWxQSwECFAAUAAAACACHTuJAI0tNwtMB&#10;AAClAwAADgAAAAAAAAABACAAAAA2AQAAZHJzL2Uyb0RvYy54bWxQSwUGAAAAAAYABgBZAQAAewUA&#10;AAAA&#10;">
              <v:fill on="f" focussize="0,0"/>
              <v:stroke on="f" weight="0.4pt"/>
              <v:imagedata o:title=""/>
              <o:lock v:ext="edit" aspectratio="f"/>
              <v:textbox inset="0mm,0mm,0mm,0mm" style="mso-fit-shape-to-text:t;">
                <w:txbxContent>
                  <w:p>
                    <w:pPr>
                      <w:pStyle w:val="6"/>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  \* MERGEFORMAT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74</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OTRhMWI4NzQ4YzFkMmI1MGMyMTYyNWQ4YzAxMGEifQ=="/>
  </w:docVars>
  <w:rsids>
    <w:rsidRoot w:val="00C9596E"/>
    <w:rsid w:val="00003976"/>
    <w:rsid w:val="00006A2D"/>
    <w:rsid w:val="000107D5"/>
    <w:rsid w:val="00016C3D"/>
    <w:rsid w:val="00016E21"/>
    <w:rsid w:val="00017F00"/>
    <w:rsid w:val="00027B78"/>
    <w:rsid w:val="000309EF"/>
    <w:rsid w:val="00032B39"/>
    <w:rsid w:val="00033161"/>
    <w:rsid w:val="000437CB"/>
    <w:rsid w:val="0004435A"/>
    <w:rsid w:val="0006112C"/>
    <w:rsid w:val="000634EA"/>
    <w:rsid w:val="00063DDE"/>
    <w:rsid w:val="0006544F"/>
    <w:rsid w:val="0006569D"/>
    <w:rsid w:val="00080CF8"/>
    <w:rsid w:val="00081216"/>
    <w:rsid w:val="00083648"/>
    <w:rsid w:val="00095A4F"/>
    <w:rsid w:val="00096A97"/>
    <w:rsid w:val="000A1440"/>
    <w:rsid w:val="000A2E6A"/>
    <w:rsid w:val="000A59AC"/>
    <w:rsid w:val="000A5DC8"/>
    <w:rsid w:val="000B043F"/>
    <w:rsid w:val="000B0D0A"/>
    <w:rsid w:val="000B0D4E"/>
    <w:rsid w:val="000B2851"/>
    <w:rsid w:val="000B4F46"/>
    <w:rsid w:val="000C5C39"/>
    <w:rsid w:val="000D6C46"/>
    <w:rsid w:val="000E13A8"/>
    <w:rsid w:val="000E1B9B"/>
    <w:rsid w:val="000E3663"/>
    <w:rsid w:val="000F1073"/>
    <w:rsid w:val="000F34C9"/>
    <w:rsid w:val="000F456E"/>
    <w:rsid w:val="000F74F8"/>
    <w:rsid w:val="000F7F83"/>
    <w:rsid w:val="0010534B"/>
    <w:rsid w:val="00114A03"/>
    <w:rsid w:val="0011695B"/>
    <w:rsid w:val="00121007"/>
    <w:rsid w:val="001213C7"/>
    <w:rsid w:val="001273F4"/>
    <w:rsid w:val="00127B25"/>
    <w:rsid w:val="00141EEB"/>
    <w:rsid w:val="00143885"/>
    <w:rsid w:val="00143A6D"/>
    <w:rsid w:val="0015348D"/>
    <w:rsid w:val="00153D81"/>
    <w:rsid w:val="00161507"/>
    <w:rsid w:val="00170AF0"/>
    <w:rsid w:val="0017433C"/>
    <w:rsid w:val="00175B13"/>
    <w:rsid w:val="00180A4B"/>
    <w:rsid w:val="00181750"/>
    <w:rsid w:val="0018591C"/>
    <w:rsid w:val="001921A9"/>
    <w:rsid w:val="00195B30"/>
    <w:rsid w:val="0019676D"/>
    <w:rsid w:val="001A2015"/>
    <w:rsid w:val="001A208C"/>
    <w:rsid w:val="001A5128"/>
    <w:rsid w:val="001A5F40"/>
    <w:rsid w:val="001B111C"/>
    <w:rsid w:val="001B53C6"/>
    <w:rsid w:val="001B7F59"/>
    <w:rsid w:val="001C2883"/>
    <w:rsid w:val="001C2905"/>
    <w:rsid w:val="001D1A9F"/>
    <w:rsid w:val="001D281F"/>
    <w:rsid w:val="001D3266"/>
    <w:rsid w:val="001D49B4"/>
    <w:rsid w:val="001E02D7"/>
    <w:rsid w:val="001E1F18"/>
    <w:rsid w:val="001F18CF"/>
    <w:rsid w:val="001F3136"/>
    <w:rsid w:val="002115F5"/>
    <w:rsid w:val="0021482E"/>
    <w:rsid w:val="00215793"/>
    <w:rsid w:val="00222630"/>
    <w:rsid w:val="002305D7"/>
    <w:rsid w:val="00231688"/>
    <w:rsid w:val="00232F25"/>
    <w:rsid w:val="002368F3"/>
    <w:rsid w:val="00240CC0"/>
    <w:rsid w:val="00242006"/>
    <w:rsid w:val="00242B1A"/>
    <w:rsid w:val="00246DC7"/>
    <w:rsid w:val="00254F9A"/>
    <w:rsid w:val="0025695D"/>
    <w:rsid w:val="002578DB"/>
    <w:rsid w:val="002611D8"/>
    <w:rsid w:val="002635D6"/>
    <w:rsid w:val="0026592C"/>
    <w:rsid w:val="00280A8A"/>
    <w:rsid w:val="00285947"/>
    <w:rsid w:val="00296FB3"/>
    <w:rsid w:val="002A2B4B"/>
    <w:rsid w:val="002B3352"/>
    <w:rsid w:val="002B3EAA"/>
    <w:rsid w:val="002B4DAE"/>
    <w:rsid w:val="002B74B0"/>
    <w:rsid w:val="002C39A4"/>
    <w:rsid w:val="002D1E1C"/>
    <w:rsid w:val="002D30DA"/>
    <w:rsid w:val="002E46C7"/>
    <w:rsid w:val="002E5EA9"/>
    <w:rsid w:val="002E7C20"/>
    <w:rsid w:val="002E7D68"/>
    <w:rsid w:val="002F0528"/>
    <w:rsid w:val="002F49FB"/>
    <w:rsid w:val="00301362"/>
    <w:rsid w:val="00314CA8"/>
    <w:rsid w:val="003256D5"/>
    <w:rsid w:val="00325B52"/>
    <w:rsid w:val="0033246B"/>
    <w:rsid w:val="00334804"/>
    <w:rsid w:val="00335565"/>
    <w:rsid w:val="00335CDC"/>
    <w:rsid w:val="00340594"/>
    <w:rsid w:val="003420C8"/>
    <w:rsid w:val="003546E8"/>
    <w:rsid w:val="00371F1D"/>
    <w:rsid w:val="0037485B"/>
    <w:rsid w:val="00375DCF"/>
    <w:rsid w:val="00376B20"/>
    <w:rsid w:val="00376C17"/>
    <w:rsid w:val="00377AFC"/>
    <w:rsid w:val="00381526"/>
    <w:rsid w:val="00382441"/>
    <w:rsid w:val="00385646"/>
    <w:rsid w:val="00393B88"/>
    <w:rsid w:val="00397885"/>
    <w:rsid w:val="003A3821"/>
    <w:rsid w:val="003B29CD"/>
    <w:rsid w:val="003D0F7C"/>
    <w:rsid w:val="003F63C3"/>
    <w:rsid w:val="00416CA8"/>
    <w:rsid w:val="004234EF"/>
    <w:rsid w:val="00424F2D"/>
    <w:rsid w:val="004253D8"/>
    <w:rsid w:val="004278A3"/>
    <w:rsid w:val="00440A89"/>
    <w:rsid w:val="004424E1"/>
    <w:rsid w:val="00456919"/>
    <w:rsid w:val="00462FBE"/>
    <w:rsid w:val="00475DAE"/>
    <w:rsid w:val="0047613E"/>
    <w:rsid w:val="004765B9"/>
    <w:rsid w:val="00490906"/>
    <w:rsid w:val="00491A06"/>
    <w:rsid w:val="004957DF"/>
    <w:rsid w:val="004B1A17"/>
    <w:rsid w:val="004B275D"/>
    <w:rsid w:val="004B7CFF"/>
    <w:rsid w:val="004C024C"/>
    <w:rsid w:val="004C053E"/>
    <w:rsid w:val="004C06E1"/>
    <w:rsid w:val="004C59A1"/>
    <w:rsid w:val="004C603C"/>
    <w:rsid w:val="004D1B59"/>
    <w:rsid w:val="004D347C"/>
    <w:rsid w:val="004D4086"/>
    <w:rsid w:val="004D4A93"/>
    <w:rsid w:val="004E0CDF"/>
    <w:rsid w:val="004E157A"/>
    <w:rsid w:val="004F1050"/>
    <w:rsid w:val="00502909"/>
    <w:rsid w:val="00507E84"/>
    <w:rsid w:val="005106B4"/>
    <w:rsid w:val="00527114"/>
    <w:rsid w:val="005327E2"/>
    <w:rsid w:val="00532FAA"/>
    <w:rsid w:val="00534984"/>
    <w:rsid w:val="005369B5"/>
    <w:rsid w:val="0054118B"/>
    <w:rsid w:val="0054213A"/>
    <w:rsid w:val="00542426"/>
    <w:rsid w:val="00542775"/>
    <w:rsid w:val="00555ACD"/>
    <w:rsid w:val="00557A17"/>
    <w:rsid w:val="005604DA"/>
    <w:rsid w:val="00563E2D"/>
    <w:rsid w:val="0058126F"/>
    <w:rsid w:val="00583BE4"/>
    <w:rsid w:val="005919E2"/>
    <w:rsid w:val="005933CD"/>
    <w:rsid w:val="005953B7"/>
    <w:rsid w:val="00597B5F"/>
    <w:rsid w:val="005A1540"/>
    <w:rsid w:val="005A2B8F"/>
    <w:rsid w:val="005A35EE"/>
    <w:rsid w:val="005B0ED4"/>
    <w:rsid w:val="005B0FD6"/>
    <w:rsid w:val="005C4A0A"/>
    <w:rsid w:val="005C6F6F"/>
    <w:rsid w:val="005C7C9C"/>
    <w:rsid w:val="005D0F56"/>
    <w:rsid w:val="005D7C44"/>
    <w:rsid w:val="005F05CA"/>
    <w:rsid w:val="005F1A15"/>
    <w:rsid w:val="00601B48"/>
    <w:rsid w:val="00611815"/>
    <w:rsid w:val="00620C1D"/>
    <w:rsid w:val="00621278"/>
    <w:rsid w:val="006261B8"/>
    <w:rsid w:val="0063387A"/>
    <w:rsid w:val="00641E55"/>
    <w:rsid w:val="00650883"/>
    <w:rsid w:val="006514B1"/>
    <w:rsid w:val="0065278D"/>
    <w:rsid w:val="0065346F"/>
    <w:rsid w:val="006600CC"/>
    <w:rsid w:val="00660E25"/>
    <w:rsid w:val="006714EF"/>
    <w:rsid w:val="00671F06"/>
    <w:rsid w:val="00672663"/>
    <w:rsid w:val="006737F3"/>
    <w:rsid w:val="00683098"/>
    <w:rsid w:val="00692670"/>
    <w:rsid w:val="00693F3E"/>
    <w:rsid w:val="006A0D9A"/>
    <w:rsid w:val="006A42DC"/>
    <w:rsid w:val="006A4FA9"/>
    <w:rsid w:val="006B3890"/>
    <w:rsid w:val="006C67E9"/>
    <w:rsid w:val="006F1D22"/>
    <w:rsid w:val="0070642F"/>
    <w:rsid w:val="00710573"/>
    <w:rsid w:val="00714EF7"/>
    <w:rsid w:val="00715506"/>
    <w:rsid w:val="007309F7"/>
    <w:rsid w:val="00730ECE"/>
    <w:rsid w:val="00733EC6"/>
    <w:rsid w:val="00736E4C"/>
    <w:rsid w:val="007376AC"/>
    <w:rsid w:val="007436BD"/>
    <w:rsid w:val="007474ED"/>
    <w:rsid w:val="00756C55"/>
    <w:rsid w:val="00757C64"/>
    <w:rsid w:val="00763BCC"/>
    <w:rsid w:val="007662BF"/>
    <w:rsid w:val="007718F8"/>
    <w:rsid w:val="007720E4"/>
    <w:rsid w:val="00782196"/>
    <w:rsid w:val="00792820"/>
    <w:rsid w:val="00792833"/>
    <w:rsid w:val="00792AFC"/>
    <w:rsid w:val="007931C5"/>
    <w:rsid w:val="007975C3"/>
    <w:rsid w:val="007A0F10"/>
    <w:rsid w:val="007A15C6"/>
    <w:rsid w:val="007A168B"/>
    <w:rsid w:val="007B197A"/>
    <w:rsid w:val="007B4912"/>
    <w:rsid w:val="007C2CD0"/>
    <w:rsid w:val="007C63C3"/>
    <w:rsid w:val="007D0F2A"/>
    <w:rsid w:val="007D104B"/>
    <w:rsid w:val="007D14A1"/>
    <w:rsid w:val="007D18DF"/>
    <w:rsid w:val="007D585F"/>
    <w:rsid w:val="007E5358"/>
    <w:rsid w:val="007E5435"/>
    <w:rsid w:val="007F0D97"/>
    <w:rsid w:val="007F2F17"/>
    <w:rsid w:val="00804804"/>
    <w:rsid w:val="00807DA4"/>
    <w:rsid w:val="00810CEC"/>
    <w:rsid w:val="00811CEC"/>
    <w:rsid w:val="00820225"/>
    <w:rsid w:val="008221AC"/>
    <w:rsid w:val="0083096F"/>
    <w:rsid w:val="00834D7F"/>
    <w:rsid w:val="008357F2"/>
    <w:rsid w:val="0084255F"/>
    <w:rsid w:val="00845737"/>
    <w:rsid w:val="00846CEF"/>
    <w:rsid w:val="00852A28"/>
    <w:rsid w:val="00864823"/>
    <w:rsid w:val="008767C1"/>
    <w:rsid w:val="00881A51"/>
    <w:rsid w:val="00883B0D"/>
    <w:rsid w:val="008868B7"/>
    <w:rsid w:val="00895925"/>
    <w:rsid w:val="008A4C52"/>
    <w:rsid w:val="008A5605"/>
    <w:rsid w:val="008A5E4F"/>
    <w:rsid w:val="008B23DC"/>
    <w:rsid w:val="008B4037"/>
    <w:rsid w:val="008B5443"/>
    <w:rsid w:val="008C1140"/>
    <w:rsid w:val="008D2FA6"/>
    <w:rsid w:val="008D40DB"/>
    <w:rsid w:val="008D45B6"/>
    <w:rsid w:val="008E0C6A"/>
    <w:rsid w:val="008E215A"/>
    <w:rsid w:val="008E4B80"/>
    <w:rsid w:val="008E51C1"/>
    <w:rsid w:val="008F0490"/>
    <w:rsid w:val="008F31DB"/>
    <w:rsid w:val="008F3209"/>
    <w:rsid w:val="008F5A84"/>
    <w:rsid w:val="008F73AE"/>
    <w:rsid w:val="00900ECF"/>
    <w:rsid w:val="0090555B"/>
    <w:rsid w:val="00906417"/>
    <w:rsid w:val="00910025"/>
    <w:rsid w:val="00912054"/>
    <w:rsid w:val="00914AFA"/>
    <w:rsid w:val="009154BB"/>
    <w:rsid w:val="00915C8B"/>
    <w:rsid w:val="00916E86"/>
    <w:rsid w:val="009170A4"/>
    <w:rsid w:val="00925470"/>
    <w:rsid w:val="0092751D"/>
    <w:rsid w:val="00930298"/>
    <w:rsid w:val="009321B9"/>
    <w:rsid w:val="0093565A"/>
    <w:rsid w:val="009415D2"/>
    <w:rsid w:val="00945AAB"/>
    <w:rsid w:val="00945E38"/>
    <w:rsid w:val="0094780F"/>
    <w:rsid w:val="00950050"/>
    <w:rsid w:val="0096462F"/>
    <w:rsid w:val="0097277C"/>
    <w:rsid w:val="00977C4E"/>
    <w:rsid w:val="00981BBF"/>
    <w:rsid w:val="00987E3D"/>
    <w:rsid w:val="00991D45"/>
    <w:rsid w:val="009A3F66"/>
    <w:rsid w:val="009B1CC7"/>
    <w:rsid w:val="009C5BC6"/>
    <w:rsid w:val="009D5EA6"/>
    <w:rsid w:val="009E334F"/>
    <w:rsid w:val="009F6F26"/>
    <w:rsid w:val="00A01C6E"/>
    <w:rsid w:val="00A038C2"/>
    <w:rsid w:val="00A03DC7"/>
    <w:rsid w:val="00A109F5"/>
    <w:rsid w:val="00A203EA"/>
    <w:rsid w:val="00A24184"/>
    <w:rsid w:val="00A24DAD"/>
    <w:rsid w:val="00A33AAA"/>
    <w:rsid w:val="00A33E91"/>
    <w:rsid w:val="00A37EB4"/>
    <w:rsid w:val="00A403FC"/>
    <w:rsid w:val="00A4174F"/>
    <w:rsid w:val="00A47B2D"/>
    <w:rsid w:val="00A572B2"/>
    <w:rsid w:val="00A57779"/>
    <w:rsid w:val="00A60E7A"/>
    <w:rsid w:val="00A815A4"/>
    <w:rsid w:val="00A86E37"/>
    <w:rsid w:val="00A87FAE"/>
    <w:rsid w:val="00A92AB8"/>
    <w:rsid w:val="00A942F8"/>
    <w:rsid w:val="00AA67E9"/>
    <w:rsid w:val="00AB4B59"/>
    <w:rsid w:val="00AB54DC"/>
    <w:rsid w:val="00AC13F8"/>
    <w:rsid w:val="00AC2792"/>
    <w:rsid w:val="00AC7759"/>
    <w:rsid w:val="00AE2330"/>
    <w:rsid w:val="00AF2C0C"/>
    <w:rsid w:val="00AF33C2"/>
    <w:rsid w:val="00AF44E1"/>
    <w:rsid w:val="00AF5A42"/>
    <w:rsid w:val="00B008EE"/>
    <w:rsid w:val="00B05765"/>
    <w:rsid w:val="00B06A6C"/>
    <w:rsid w:val="00B159FD"/>
    <w:rsid w:val="00B23B87"/>
    <w:rsid w:val="00B2467B"/>
    <w:rsid w:val="00B30641"/>
    <w:rsid w:val="00B44A5E"/>
    <w:rsid w:val="00B45C22"/>
    <w:rsid w:val="00B47F32"/>
    <w:rsid w:val="00B51EDF"/>
    <w:rsid w:val="00B53775"/>
    <w:rsid w:val="00B55DCC"/>
    <w:rsid w:val="00B572DA"/>
    <w:rsid w:val="00B57304"/>
    <w:rsid w:val="00B623D7"/>
    <w:rsid w:val="00B66EF6"/>
    <w:rsid w:val="00B86400"/>
    <w:rsid w:val="00B9301E"/>
    <w:rsid w:val="00B95596"/>
    <w:rsid w:val="00BA1A84"/>
    <w:rsid w:val="00BA3ED3"/>
    <w:rsid w:val="00BB3807"/>
    <w:rsid w:val="00BB5593"/>
    <w:rsid w:val="00BB7631"/>
    <w:rsid w:val="00BB7A47"/>
    <w:rsid w:val="00BC50FD"/>
    <w:rsid w:val="00BC6085"/>
    <w:rsid w:val="00BC7F40"/>
    <w:rsid w:val="00BD2C14"/>
    <w:rsid w:val="00BD76C2"/>
    <w:rsid w:val="00BE2DE1"/>
    <w:rsid w:val="00BE6CBB"/>
    <w:rsid w:val="00BF125B"/>
    <w:rsid w:val="00BF5C33"/>
    <w:rsid w:val="00C0064B"/>
    <w:rsid w:val="00C013E7"/>
    <w:rsid w:val="00C113E5"/>
    <w:rsid w:val="00C15BB3"/>
    <w:rsid w:val="00C15CAC"/>
    <w:rsid w:val="00C262D1"/>
    <w:rsid w:val="00C2654B"/>
    <w:rsid w:val="00C31105"/>
    <w:rsid w:val="00C456CE"/>
    <w:rsid w:val="00C45D16"/>
    <w:rsid w:val="00C50E70"/>
    <w:rsid w:val="00C62299"/>
    <w:rsid w:val="00C73ECC"/>
    <w:rsid w:val="00C751BE"/>
    <w:rsid w:val="00C7605D"/>
    <w:rsid w:val="00C85A8A"/>
    <w:rsid w:val="00C86443"/>
    <w:rsid w:val="00C87C63"/>
    <w:rsid w:val="00C9134C"/>
    <w:rsid w:val="00C92722"/>
    <w:rsid w:val="00C932E8"/>
    <w:rsid w:val="00C9596E"/>
    <w:rsid w:val="00CB15C8"/>
    <w:rsid w:val="00CC274C"/>
    <w:rsid w:val="00CC51EC"/>
    <w:rsid w:val="00CD5494"/>
    <w:rsid w:val="00CE052F"/>
    <w:rsid w:val="00D0040E"/>
    <w:rsid w:val="00D01C92"/>
    <w:rsid w:val="00D11E79"/>
    <w:rsid w:val="00D151FF"/>
    <w:rsid w:val="00D16656"/>
    <w:rsid w:val="00D248F5"/>
    <w:rsid w:val="00D32768"/>
    <w:rsid w:val="00D371D9"/>
    <w:rsid w:val="00D378C6"/>
    <w:rsid w:val="00D438DB"/>
    <w:rsid w:val="00D543F9"/>
    <w:rsid w:val="00D563B4"/>
    <w:rsid w:val="00D61DCA"/>
    <w:rsid w:val="00D65844"/>
    <w:rsid w:val="00D668DD"/>
    <w:rsid w:val="00D722D8"/>
    <w:rsid w:val="00D77727"/>
    <w:rsid w:val="00D811ED"/>
    <w:rsid w:val="00D8557A"/>
    <w:rsid w:val="00D87F18"/>
    <w:rsid w:val="00D87F83"/>
    <w:rsid w:val="00DA0817"/>
    <w:rsid w:val="00DA6A0A"/>
    <w:rsid w:val="00DB68B9"/>
    <w:rsid w:val="00DC0625"/>
    <w:rsid w:val="00DC210C"/>
    <w:rsid w:val="00DD2FAB"/>
    <w:rsid w:val="00DD3BE2"/>
    <w:rsid w:val="00DE212E"/>
    <w:rsid w:val="00DE2D2B"/>
    <w:rsid w:val="00DE44AD"/>
    <w:rsid w:val="00DE64B0"/>
    <w:rsid w:val="00DF6B25"/>
    <w:rsid w:val="00E05794"/>
    <w:rsid w:val="00E073AC"/>
    <w:rsid w:val="00E11879"/>
    <w:rsid w:val="00E16197"/>
    <w:rsid w:val="00E1675E"/>
    <w:rsid w:val="00E202A7"/>
    <w:rsid w:val="00E20DD1"/>
    <w:rsid w:val="00E21B70"/>
    <w:rsid w:val="00E32A6E"/>
    <w:rsid w:val="00E35DE9"/>
    <w:rsid w:val="00E45F94"/>
    <w:rsid w:val="00E5315B"/>
    <w:rsid w:val="00E53C9A"/>
    <w:rsid w:val="00E600D9"/>
    <w:rsid w:val="00E61B06"/>
    <w:rsid w:val="00E72CF5"/>
    <w:rsid w:val="00E74B00"/>
    <w:rsid w:val="00E8570C"/>
    <w:rsid w:val="00EA3257"/>
    <w:rsid w:val="00EA5568"/>
    <w:rsid w:val="00EB6796"/>
    <w:rsid w:val="00EC1410"/>
    <w:rsid w:val="00EC2085"/>
    <w:rsid w:val="00EC42A6"/>
    <w:rsid w:val="00EC7774"/>
    <w:rsid w:val="00ED6EB6"/>
    <w:rsid w:val="00EE01E9"/>
    <w:rsid w:val="00EE62F8"/>
    <w:rsid w:val="00EF33EA"/>
    <w:rsid w:val="00EF7A31"/>
    <w:rsid w:val="00F03E51"/>
    <w:rsid w:val="00F06A08"/>
    <w:rsid w:val="00F07D65"/>
    <w:rsid w:val="00F11D99"/>
    <w:rsid w:val="00F1208A"/>
    <w:rsid w:val="00F13B10"/>
    <w:rsid w:val="00F338D1"/>
    <w:rsid w:val="00F402B9"/>
    <w:rsid w:val="00F42424"/>
    <w:rsid w:val="00F542C0"/>
    <w:rsid w:val="00F54DD9"/>
    <w:rsid w:val="00F55175"/>
    <w:rsid w:val="00F56DC5"/>
    <w:rsid w:val="00F606EA"/>
    <w:rsid w:val="00F6466D"/>
    <w:rsid w:val="00F67FA1"/>
    <w:rsid w:val="00F80871"/>
    <w:rsid w:val="00F817DF"/>
    <w:rsid w:val="00F84F43"/>
    <w:rsid w:val="00F85D1A"/>
    <w:rsid w:val="00F86A6A"/>
    <w:rsid w:val="00FE06D1"/>
    <w:rsid w:val="00FE08A6"/>
    <w:rsid w:val="00FE0F8C"/>
    <w:rsid w:val="00FF0B04"/>
    <w:rsid w:val="00FF3EE3"/>
    <w:rsid w:val="01E52B01"/>
    <w:rsid w:val="02ED4364"/>
    <w:rsid w:val="03CB7B24"/>
    <w:rsid w:val="04750429"/>
    <w:rsid w:val="05B30EC9"/>
    <w:rsid w:val="08BA0844"/>
    <w:rsid w:val="0A145522"/>
    <w:rsid w:val="0B87450F"/>
    <w:rsid w:val="0BC814CA"/>
    <w:rsid w:val="0C590374"/>
    <w:rsid w:val="0F2131DE"/>
    <w:rsid w:val="0F5D753D"/>
    <w:rsid w:val="12372F05"/>
    <w:rsid w:val="1405017E"/>
    <w:rsid w:val="145002AE"/>
    <w:rsid w:val="153951E6"/>
    <w:rsid w:val="159C12AB"/>
    <w:rsid w:val="167A5AB7"/>
    <w:rsid w:val="17AD27E8"/>
    <w:rsid w:val="184706AA"/>
    <w:rsid w:val="19A370D2"/>
    <w:rsid w:val="1B4752A7"/>
    <w:rsid w:val="1BD3623E"/>
    <w:rsid w:val="1CBC1C20"/>
    <w:rsid w:val="1CEE4B08"/>
    <w:rsid w:val="1D482E73"/>
    <w:rsid w:val="1D7F39B2"/>
    <w:rsid w:val="1E034C7F"/>
    <w:rsid w:val="1EFF6095"/>
    <w:rsid w:val="1FCF6E7A"/>
    <w:rsid w:val="20474C5B"/>
    <w:rsid w:val="20514B81"/>
    <w:rsid w:val="20914128"/>
    <w:rsid w:val="22082A45"/>
    <w:rsid w:val="225C06BE"/>
    <w:rsid w:val="22D7348E"/>
    <w:rsid w:val="23FF4511"/>
    <w:rsid w:val="26DF753D"/>
    <w:rsid w:val="282370EA"/>
    <w:rsid w:val="28B92995"/>
    <w:rsid w:val="29336F60"/>
    <w:rsid w:val="2960141F"/>
    <w:rsid w:val="2A557F75"/>
    <w:rsid w:val="2AED7227"/>
    <w:rsid w:val="2D4744ED"/>
    <w:rsid w:val="2D6B7AAF"/>
    <w:rsid w:val="2E9964F0"/>
    <w:rsid w:val="2E9E86B1"/>
    <w:rsid w:val="2EFEE035"/>
    <w:rsid w:val="2F283EAA"/>
    <w:rsid w:val="2F4800A8"/>
    <w:rsid w:val="30232088"/>
    <w:rsid w:val="31D00FAF"/>
    <w:rsid w:val="326444BD"/>
    <w:rsid w:val="3348004E"/>
    <w:rsid w:val="33730803"/>
    <w:rsid w:val="34967489"/>
    <w:rsid w:val="3608233F"/>
    <w:rsid w:val="366F6862"/>
    <w:rsid w:val="369D33CF"/>
    <w:rsid w:val="37FBFC57"/>
    <w:rsid w:val="37FFFAFD"/>
    <w:rsid w:val="388303A3"/>
    <w:rsid w:val="38A54123"/>
    <w:rsid w:val="38EE6570"/>
    <w:rsid w:val="392B4CC2"/>
    <w:rsid w:val="3A453C6A"/>
    <w:rsid w:val="3AFEF36B"/>
    <w:rsid w:val="3B7F969A"/>
    <w:rsid w:val="3BA16154"/>
    <w:rsid w:val="3CE3E94E"/>
    <w:rsid w:val="3EF3328E"/>
    <w:rsid w:val="3FBE2D36"/>
    <w:rsid w:val="3FCA1DA9"/>
    <w:rsid w:val="414A0BF3"/>
    <w:rsid w:val="425224A1"/>
    <w:rsid w:val="42B54F2A"/>
    <w:rsid w:val="43D57693"/>
    <w:rsid w:val="45B55914"/>
    <w:rsid w:val="46C966AB"/>
    <w:rsid w:val="482B59E6"/>
    <w:rsid w:val="49877D6A"/>
    <w:rsid w:val="49D125A3"/>
    <w:rsid w:val="4B630066"/>
    <w:rsid w:val="4BFC4854"/>
    <w:rsid w:val="4C653BF0"/>
    <w:rsid w:val="4D7C06A1"/>
    <w:rsid w:val="4E0833CC"/>
    <w:rsid w:val="4EFF8A08"/>
    <w:rsid w:val="4F4A6265"/>
    <w:rsid w:val="4FAE60D5"/>
    <w:rsid w:val="4FDE0866"/>
    <w:rsid w:val="4FF55875"/>
    <w:rsid w:val="507408A5"/>
    <w:rsid w:val="521A646F"/>
    <w:rsid w:val="53610B9B"/>
    <w:rsid w:val="53E7291A"/>
    <w:rsid w:val="55057FA4"/>
    <w:rsid w:val="56797873"/>
    <w:rsid w:val="56B194B1"/>
    <w:rsid w:val="583A5CB7"/>
    <w:rsid w:val="58BE1257"/>
    <w:rsid w:val="59712415"/>
    <w:rsid w:val="598A601C"/>
    <w:rsid w:val="59FBF546"/>
    <w:rsid w:val="5A0B678B"/>
    <w:rsid w:val="5A588EE5"/>
    <w:rsid w:val="5DBFE932"/>
    <w:rsid w:val="5DFF5E93"/>
    <w:rsid w:val="5EF410A2"/>
    <w:rsid w:val="5F7766F6"/>
    <w:rsid w:val="5FDF9FBA"/>
    <w:rsid w:val="5FFBCADD"/>
    <w:rsid w:val="624361D0"/>
    <w:rsid w:val="63AFAA1D"/>
    <w:rsid w:val="645E8475"/>
    <w:rsid w:val="64950FB0"/>
    <w:rsid w:val="67B833A8"/>
    <w:rsid w:val="686C7B4B"/>
    <w:rsid w:val="698C05B6"/>
    <w:rsid w:val="69DFFD76"/>
    <w:rsid w:val="69FF0EA9"/>
    <w:rsid w:val="6AEC52E0"/>
    <w:rsid w:val="6B9B5128"/>
    <w:rsid w:val="6C354F35"/>
    <w:rsid w:val="6DF55A33"/>
    <w:rsid w:val="6E60613A"/>
    <w:rsid w:val="6EC90E9A"/>
    <w:rsid w:val="6F1773ED"/>
    <w:rsid w:val="6FC3732E"/>
    <w:rsid w:val="6FEFD8AB"/>
    <w:rsid w:val="708B42D1"/>
    <w:rsid w:val="70D21600"/>
    <w:rsid w:val="70F7581C"/>
    <w:rsid w:val="71F5898C"/>
    <w:rsid w:val="71F7389F"/>
    <w:rsid w:val="71FC20DE"/>
    <w:rsid w:val="72655B19"/>
    <w:rsid w:val="72FBD6FC"/>
    <w:rsid w:val="73832869"/>
    <w:rsid w:val="748922C2"/>
    <w:rsid w:val="775FC58A"/>
    <w:rsid w:val="78C87F96"/>
    <w:rsid w:val="78CF02BC"/>
    <w:rsid w:val="793DAC41"/>
    <w:rsid w:val="794A4544"/>
    <w:rsid w:val="796B7601"/>
    <w:rsid w:val="7B13AB59"/>
    <w:rsid w:val="7B407452"/>
    <w:rsid w:val="7B7F7F7B"/>
    <w:rsid w:val="7BADDB2F"/>
    <w:rsid w:val="7BBB26AD"/>
    <w:rsid w:val="7BE53354"/>
    <w:rsid w:val="7C480CB4"/>
    <w:rsid w:val="7D8B495A"/>
    <w:rsid w:val="7DF7DF28"/>
    <w:rsid w:val="7DFB7064"/>
    <w:rsid w:val="7E46C95C"/>
    <w:rsid w:val="7EB5D87F"/>
    <w:rsid w:val="7F455AEC"/>
    <w:rsid w:val="7F4D5D17"/>
    <w:rsid w:val="7F7F8E83"/>
    <w:rsid w:val="7F95D7CB"/>
    <w:rsid w:val="7FADA09D"/>
    <w:rsid w:val="7FDE9990"/>
    <w:rsid w:val="7FE9D190"/>
    <w:rsid w:val="7FF713A1"/>
    <w:rsid w:val="7FFDDDCA"/>
    <w:rsid w:val="8F7FBB42"/>
    <w:rsid w:val="97FFF55B"/>
    <w:rsid w:val="98ADE0C7"/>
    <w:rsid w:val="9BDB4D2A"/>
    <w:rsid w:val="9DF7B262"/>
    <w:rsid w:val="9FF3D65F"/>
    <w:rsid w:val="9FF934E7"/>
    <w:rsid w:val="A71E64B4"/>
    <w:rsid w:val="A79F773C"/>
    <w:rsid w:val="A7DBC81C"/>
    <w:rsid w:val="B67FA289"/>
    <w:rsid w:val="B7DF405A"/>
    <w:rsid w:val="B8EBAFB1"/>
    <w:rsid w:val="BA7F2412"/>
    <w:rsid w:val="BBB7CAC3"/>
    <w:rsid w:val="BF6ECE19"/>
    <w:rsid w:val="BFEFB2D7"/>
    <w:rsid w:val="BFFF7201"/>
    <w:rsid w:val="D9EEF7A0"/>
    <w:rsid w:val="DBCF72A9"/>
    <w:rsid w:val="DD6B90F4"/>
    <w:rsid w:val="DEB7911B"/>
    <w:rsid w:val="DEDFB577"/>
    <w:rsid w:val="DFFD5EAC"/>
    <w:rsid w:val="DFFE5CB0"/>
    <w:rsid w:val="E5D77E7B"/>
    <w:rsid w:val="EAFDADEA"/>
    <w:rsid w:val="EDA1E6D8"/>
    <w:rsid w:val="EE58A04C"/>
    <w:rsid w:val="EF8F0A46"/>
    <w:rsid w:val="EFCFF01D"/>
    <w:rsid w:val="F3EE8FE6"/>
    <w:rsid w:val="F73749A0"/>
    <w:rsid w:val="F75A68EA"/>
    <w:rsid w:val="F7FF3F6C"/>
    <w:rsid w:val="F93F4F63"/>
    <w:rsid w:val="FAFF7B0B"/>
    <w:rsid w:val="FB362369"/>
    <w:rsid w:val="FB7BA0FE"/>
    <w:rsid w:val="FE9D3541"/>
    <w:rsid w:val="FEFF689D"/>
    <w:rsid w:val="FF6CD584"/>
    <w:rsid w:val="FF7F4999"/>
    <w:rsid w:val="FF9DB686"/>
    <w:rsid w:val="FFB86AD4"/>
    <w:rsid w:val="FFF36B29"/>
    <w:rsid w:val="FFF71EE7"/>
    <w:rsid w:val="FFFA43BB"/>
    <w:rsid w:val="FFFF5E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b/>
      <w:spacing w:val="-20"/>
      <w:kern w:val="2"/>
      <w:sz w:val="32"/>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link w:val="14"/>
    <w:qFormat/>
    <w:uiPriority w:val="0"/>
    <w:pPr>
      <w:widowControl w:val="0"/>
      <w:jc w:val="both"/>
    </w:pPr>
    <w:rPr>
      <w:rFonts w:ascii="宋体" w:hAnsi="Times New Roman" w:eastAsia="宋体" w:cs="Times New Roman"/>
      <w:kern w:val="2"/>
      <w:sz w:val="21"/>
      <w:lang w:val="en-US" w:eastAsia="zh-CN" w:bidi="ar-SA"/>
    </w:rPr>
  </w:style>
  <w:style w:type="paragraph" w:styleId="4">
    <w:name w:val="Date"/>
    <w:basedOn w:val="1"/>
    <w:next w:val="1"/>
    <w:qFormat/>
    <w:uiPriority w:val="0"/>
    <w:pPr>
      <w:ind w:left="100" w:leftChars="2500"/>
    </w:pPr>
  </w:style>
  <w:style w:type="paragraph" w:styleId="5">
    <w:name w:val="Balloon Text"/>
    <w:basedOn w:val="1"/>
    <w:link w:val="15"/>
    <w:qFormat/>
    <w:uiPriority w:val="0"/>
    <w:rPr>
      <w:sz w:val="18"/>
      <w:szCs w:val="18"/>
    </w:rPr>
  </w:style>
  <w:style w:type="paragraph" w:styleId="6">
    <w:name w:val="footer"/>
    <w:basedOn w:val="1"/>
    <w:next w:val="1"/>
    <w:link w:val="16"/>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b w:val="0"/>
      <w:spacing w:val="0"/>
      <w:kern w:val="0"/>
      <w:sz w:val="24"/>
    </w:rPr>
  </w:style>
  <w:style w:type="table" w:styleId="10">
    <w:name w:val="Table Grid"/>
    <w:basedOn w:val="9"/>
    <w:qFormat/>
    <w:uiPriority w:val="59"/>
    <w:rPr>
      <w:rFonts w:ascii="Calibri" w:hAnsi="Calibri" w:eastAsia="宋体"/>
      <w:color w:val="000000"/>
      <w:kern w:val="2"/>
      <w:sz w:val="32"/>
      <w:szCs w:val="3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Strong"/>
    <w:basedOn w:val="11"/>
    <w:qFormat/>
    <w:uiPriority w:val="22"/>
    <w:rPr>
      <w:b/>
      <w:bCs/>
    </w:rPr>
  </w:style>
  <w:style w:type="character" w:styleId="13">
    <w:name w:val="page number"/>
    <w:basedOn w:val="11"/>
    <w:qFormat/>
    <w:uiPriority w:val="0"/>
  </w:style>
  <w:style w:type="character" w:customStyle="1" w:styleId="14">
    <w:name w:val="纯文本 Char"/>
    <w:basedOn w:val="11"/>
    <w:link w:val="3"/>
    <w:qFormat/>
    <w:uiPriority w:val="0"/>
    <w:rPr>
      <w:rFonts w:ascii="宋体"/>
      <w:kern w:val="2"/>
      <w:sz w:val="21"/>
      <w:lang w:val="en-US" w:eastAsia="zh-CN" w:bidi="ar-SA"/>
    </w:rPr>
  </w:style>
  <w:style w:type="character" w:customStyle="1" w:styleId="15">
    <w:name w:val="批注框文本 Char"/>
    <w:basedOn w:val="11"/>
    <w:link w:val="5"/>
    <w:qFormat/>
    <w:uiPriority w:val="0"/>
    <w:rPr>
      <w:rFonts w:eastAsia="仿宋_GB2312"/>
      <w:b/>
      <w:spacing w:val="-20"/>
      <w:kern w:val="2"/>
      <w:sz w:val="18"/>
      <w:szCs w:val="18"/>
    </w:rPr>
  </w:style>
  <w:style w:type="character" w:customStyle="1" w:styleId="16">
    <w:name w:val="页脚 Char"/>
    <w:basedOn w:val="11"/>
    <w:link w:val="6"/>
    <w:qFormat/>
    <w:uiPriority w:val="99"/>
    <w:rPr>
      <w:rFonts w:eastAsia="仿宋_GB2312"/>
      <w:b/>
      <w:spacing w:val="-20"/>
      <w:kern w:val="2"/>
      <w:sz w:val="18"/>
      <w:szCs w:val="18"/>
    </w:rPr>
  </w:style>
  <w:style w:type="paragraph" w:customStyle="1" w:styleId="17">
    <w:name w:val="default paragraph font Char"/>
    <w:basedOn w:val="1"/>
    <w:qFormat/>
    <w:uiPriority w:val="0"/>
    <w:pPr>
      <w:spacing w:line="240" w:lineRule="atLeast"/>
      <w:ind w:left="420" w:firstLine="420"/>
    </w:pPr>
    <w:rPr>
      <w:rFonts w:eastAsia="仿宋_GB2312"/>
      <w:sz w:val="32"/>
    </w:rPr>
  </w:style>
  <w:style w:type="paragraph" w:customStyle="1" w:styleId="18">
    <w:name w:val="Char Char Char Char"/>
    <w:basedOn w:val="1"/>
    <w:qFormat/>
    <w:uiPriority w:val="0"/>
    <w:rPr>
      <w:szCs w:val="21"/>
    </w:rPr>
  </w:style>
  <w:style w:type="paragraph" w:customStyle="1" w:styleId="19">
    <w:name w:val=" Char Char Char Char"/>
    <w:basedOn w:val="1"/>
    <w:qFormat/>
    <w:uiPriority w:val="0"/>
    <w:rPr>
      <w:szCs w:val="21"/>
    </w:rPr>
  </w:style>
  <w:style w:type="paragraph" w:styleId="20">
    <w:name w:val="No Spacing"/>
    <w:qFormat/>
    <w:uiPriority w:val="0"/>
    <w:pPr>
      <w:widowControl w:val="0"/>
      <w:jc w:val="both"/>
    </w:pPr>
    <w:rPr>
      <w:rFonts w:ascii="Times New Roman" w:hAnsi="Times New Roman" w:eastAsia="仿宋_GB2312" w:cs="Times New Roman"/>
      <w:b/>
      <w:spacing w:val="-20"/>
      <w:kern w:val="2"/>
      <w:sz w:val="32"/>
      <w:szCs w:val="24"/>
      <w:lang w:val="en-US" w:eastAsia="zh-CN" w:bidi="ar-SA"/>
    </w:rPr>
  </w:style>
  <w:style w:type="paragraph" w:styleId="21">
    <w:name w:val="List Paragraph"/>
    <w:basedOn w:val="1"/>
    <w:qFormat/>
    <w:uiPriority w:val="0"/>
    <w:pPr>
      <w:spacing w:line="700" w:lineRule="exact"/>
      <w:ind w:firstLine="420" w:firstLineChars="200"/>
    </w:pPr>
    <w:rPr>
      <w:rFonts w:ascii="Calibri" w:hAnsi="Calibri" w:eastAsia="宋体"/>
      <w:b w:val="0"/>
      <w:spacing w:val="0"/>
      <w:sz w:val="21"/>
      <w:szCs w:val="22"/>
    </w:rPr>
  </w:style>
  <w:style w:type="character" w:customStyle="1" w:styleId="22">
    <w:name w:val="font11"/>
    <w:basedOn w:val="11"/>
    <w:qFormat/>
    <w:uiPriority w:val="0"/>
    <w:rPr>
      <w:rFonts w:ascii="仿宋_GB2312" w:eastAsia="仿宋_GB2312" w:cs="仿宋_GB2312"/>
      <w:color w:val="000000"/>
      <w:sz w:val="22"/>
      <w:szCs w:val="22"/>
      <w:u w:val="none"/>
    </w:rPr>
  </w:style>
  <w:style w:type="character" w:customStyle="1" w:styleId="23">
    <w:name w:val="font71"/>
    <w:basedOn w:val="11"/>
    <w:qFormat/>
    <w:uiPriority w:val="0"/>
    <w:rPr>
      <w:rFonts w:hint="eastAsia" w:ascii="仿宋_GB2312" w:eastAsia="仿宋_GB2312" w:cs="仿宋_GB2312"/>
      <w:color w:val="000000"/>
      <w:sz w:val="22"/>
      <w:szCs w:val="22"/>
      <w:u w:val="none"/>
    </w:rPr>
  </w:style>
  <w:style w:type="character" w:customStyle="1" w:styleId="24">
    <w:name w:val="font51"/>
    <w:basedOn w:val="11"/>
    <w:qFormat/>
    <w:uiPriority w:val="0"/>
    <w:rPr>
      <w:rFonts w:ascii="仿宋_GB2312" w:eastAsia="仿宋_GB2312" w:cs="仿宋_GB2312"/>
      <w:color w:val="000000"/>
      <w:sz w:val="22"/>
      <w:szCs w:val="22"/>
      <w:u w:val="none"/>
    </w:rPr>
  </w:style>
  <w:style w:type="table" w:customStyle="1" w:styleId="25">
    <w:name w:val="网格型1"/>
    <w:basedOn w:val="9"/>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常用样式（方正仿宋简）"/>
    <w:basedOn w:val="1"/>
    <w:unhideWhenUsed/>
    <w:qFormat/>
    <w:uiPriority w:val="0"/>
    <w:pPr>
      <w:spacing w:line="560" w:lineRule="exact"/>
      <w:ind w:firstLine="640" w:firstLineChars="200"/>
    </w:pPr>
    <w:rPr>
      <w:rFonts w:ascii="Calibri" w:hAnsi="Calibri" w:eastAsia="方正仿宋简体"/>
      <w:sz w:val="32"/>
    </w:rPr>
  </w:style>
  <w:style w:type="character" w:customStyle="1" w:styleId="27">
    <w:name w:val="font21"/>
    <w:basedOn w:val="11"/>
    <w:qFormat/>
    <w:uiPriority w:val="0"/>
    <w:rPr>
      <w:rFonts w:hint="default" w:ascii="Times New Roman" w:hAnsi="Times New Roman" w:cs="Times New Roman"/>
      <w:color w:val="000000"/>
      <w:sz w:val="20"/>
      <w:szCs w:val="20"/>
      <w:u w:val="none"/>
    </w:rPr>
  </w:style>
  <w:style w:type="character" w:customStyle="1" w:styleId="28">
    <w:name w:val="font41"/>
    <w:basedOn w:val="11"/>
    <w:qFormat/>
    <w:uiPriority w:val="0"/>
    <w:rPr>
      <w:rFonts w:hint="default" w:ascii="Times New Roman" w:hAnsi="Times New Roman" w:cs="Times New Roman"/>
      <w:color w:val="000000"/>
      <w:sz w:val="20"/>
      <w:szCs w:val="20"/>
      <w:u w:val="none"/>
    </w:rPr>
  </w:style>
  <w:style w:type="character" w:customStyle="1" w:styleId="29">
    <w:name w:val="font61"/>
    <w:basedOn w:val="11"/>
    <w:qFormat/>
    <w:uiPriority w:val="0"/>
    <w:rPr>
      <w:rFonts w:hint="eastAsia" w:ascii="宋体" w:hAnsi="宋体" w:eastAsia="宋体" w:cs="宋体"/>
      <w:color w:val="000000"/>
      <w:sz w:val="20"/>
      <w:szCs w:val="20"/>
      <w:u w:val="none"/>
    </w:rPr>
  </w:style>
  <w:style w:type="character" w:customStyle="1" w:styleId="30">
    <w:name w:val="font0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75</Pages>
  <Words>61680</Words>
  <Characters>63257</Characters>
  <Lines>25</Lines>
  <Paragraphs>7</Paragraphs>
  <TotalTime>48</TotalTime>
  <ScaleCrop>false</ScaleCrop>
  <LinksUpToDate>false</LinksUpToDate>
  <CharactersWithSpaces>63260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2019-12-13T02:09:00Z</dcterms:created>
  <dc:creator>微软用户</dc:creator>
  <cp:lastModifiedBy>user</cp:lastModifiedBy>
  <cp:lastPrinted>2023-01-30T09:57:00Z</cp:lastPrinted>
  <dcterms:modified xsi:type="dcterms:W3CDTF">2024-04-12T16:42:43Z</dcterms:modified>
  <dc:title>中共遂宁市委机构编制委员会办公室</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F5C103995E00C91B03F41866F38EE609</vt:lpwstr>
  </property>
</Properties>
</file>