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37</w:t>
      </w:r>
      <w:r>
        <w:rPr>
          <w:rFonts w:hint="eastAsia" w:ascii="仿宋_GB2312" w:hAnsi="仿宋_GB2312" w:eastAsia="仿宋_GB2312" w:cs="仿宋_GB2312"/>
          <w:sz w:val="32"/>
          <w:szCs w:val="32"/>
        </w:rPr>
        <w:t>号</w:t>
      </w:r>
    </w:p>
    <w:p>
      <w:pPr>
        <w:pStyle w:val="2"/>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spacing w:line="60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大英县郪江盐井街道段防洪治理工程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eastAsia="方正小标宋简体"/>
          <w:sz w:val="44"/>
          <w:szCs w:val="44"/>
        </w:rPr>
        <w:t>环境影响报告表的批复</w:t>
      </w: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keepNext w:val="0"/>
        <w:keepLines w:val="0"/>
        <w:pageBreakBefore w:val="0"/>
        <w:widowControl w:val="0"/>
        <w:kinsoku/>
        <w:topLinePunct w:val="0"/>
        <w:bidi w:val="0"/>
        <w:spacing w:line="600" w:lineRule="exact"/>
        <w:jc w:val="both"/>
        <w:textAlignment w:val="auto"/>
        <w:rPr>
          <w:rFonts w:eastAsia="仿宋_GB2312"/>
          <w:bCs/>
          <w:kern w:val="0"/>
          <w:sz w:val="32"/>
          <w:szCs w:val="32"/>
          <w:lang w:val="ru-RU"/>
        </w:rPr>
      </w:pPr>
      <w:r>
        <w:rPr>
          <w:rFonts w:eastAsia="仿宋_GB2312"/>
          <w:bCs/>
          <w:kern w:val="0"/>
          <w:sz w:val="32"/>
          <w:szCs w:val="32"/>
          <w:lang w:val="ru-RU"/>
        </w:rPr>
        <w:t>大英县祥凤寨水库建设开发有限责任公司：</w:t>
      </w:r>
    </w:p>
    <w:p>
      <w:pPr>
        <w:keepNext w:val="0"/>
        <w:keepLines w:val="0"/>
        <w:pageBreakBefore w:val="0"/>
        <w:widowControl w:val="0"/>
        <w:kinsoku/>
        <w:topLinePunct w:val="0"/>
        <w:bidi w:val="0"/>
        <w:spacing w:line="600" w:lineRule="exact"/>
        <w:ind w:firstLine="640" w:firstLineChars="200"/>
        <w:jc w:val="both"/>
        <w:textAlignment w:val="auto"/>
        <w:rPr>
          <w:rFonts w:eastAsia="仿宋_GB2312"/>
          <w:color w:val="000000"/>
          <w:sz w:val="32"/>
          <w:szCs w:val="32"/>
        </w:rPr>
      </w:pPr>
      <w:r>
        <w:rPr>
          <w:rFonts w:eastAsia="仿宋_GB2312"/>
          <w:color w:val="000000"/>
          <w:sz w:val="32"/>
          <w:szCs w:val="32"/>
        </w:rPr>
        <w:t>你公司报送的《</w:t>
      </w:r>
      <w:r>
        <w:rPr>
          <w:rFonts w:hint="eastAsia" w:eastAsia="仿宋_GB2312"/>
          <w:color w:val="000000"/>
          <w:sz w:val="32"/>
          <w:szCs w:val="32"/>
        </w:rPr>
        <w:t>大英县郪江盐井街道段防洪治理工程环境影响报告表</w:t>
      </w:r>
      <w:r>
        <w:rPr>
          <w:rFonts w:eastAsia="仿宋_GB2312"/>
          <w:color w:val="000000"/>
          <w:sz w:val="32"/>
          <w:szCs w:val="32"/>
        </w:rPr>
        <w:t>》</w:t>
      </w:r>
      <w:r>
        <w:rPr>
          <w:rFonts w:hint="eastAsia" w:eastAsia="仿宋_GB2312"/>
          <w:color w:val="000000"/>
          <w:sz w:val="32"/>
          <w:szCs w:val="32"/>
        </w:rPr>
        <w:t>（以下简称报告表）</w:t>
      </w:r>
      <w:r>
        <w:rPr>
          <w:rFonts w:eastAsia="仿宋_GB2312"/>
          <w:color w:val="000000"/>
          <w:sz w:val="32"/>
          <w:szCs w:val="32"/>
        </w:rPr>
        <w:t>收悉。经研究，批复如下：</w:t>
      </w:r>
    </w:p>
    <w:p>
      <w:pPr>
        <w:keepNext w:val="0"/>
        <w:keepLines w:val="0"/>
        <w:pageBreakBefore w:val="0"/>
        <w:widowControl w:val="0"/>
        <w:kinsoku/>
        <w:topLinePunct w:val="0"/>
        <w:bidi w:val="0"/>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widowControl w:val="0"/>
        <w:kinsoku/>
        <w:topLinePunct w:val="0"/>
        <w:autoSpaceDE w:val="0"/>
        <w:autoSpaceDN w:val="0"/>
        <w:bidi w:val="0"/>
        <w:adjustRightInd w:val="0"/>
        <w:spacing w:line="600" w:lineRule="exact"/>
        <w:ind w:firstLine="641"/>
        <w:jc w:val="both"/>
        <w:textAlignment w:val="auto"/>
        <w:rPr>
          <w:rFonts w:ascii="Times New Roman" w:hAnsi="Times New Roman" w:eastAsia="仿宋_GB2312" w:cs="Times New Roman"/>
          <w:color w:val="000000"/>
          <w:sz w:val="32"/>
          <w:szCs w:val="32"/>
        </w:rPr>
        <w:sectPr>
          <w:footerReference r:id="rId3" w:type="default"/>
          <w:pgSz w:w="11906" w:h="16838"/>
          <w:pgMar w:top="2098" w:right="1474" w:bottom="1474" w:left="158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r>
        <w:rPr>
          <w:rFonts w:ascii="Times New Roman" w:hAnsi="Times New Roman" w:eastAsia="仿宋_GB2312" w:cs="Times New Roman"/>
          <w:color w:val="000000"/>
          <w:sz w:val="32"/>
          <w:szCs w:val="32"/>
        </w:rPr>
        <w:t>项目地处</w:t>
      </w:r>
      <w:r>
        <w:rPr>
          <w:rFonts w:hint="eastAsia" w:ascii="Times New Roman" w:hAnsi="Times New Roman" w:eastAsia="仿宋_GB2312" w:cs="Times New Roman"/>
          <w:color w:val="000000"/>
          <w:sz w:val="32"/>
          <w:szCs w:val="32"/>
        </w:rPr>
        <w:t>郪</w:t>
      </w:r>
      <w:r>
        <w:rPr>
          <w:rFonts w:ascii="Times New Roman" w:hAnsi="Times New Roman" w:eastAsia="仿宋_GB2312" w:cs="Times New Roman"/>
          <w:color w:val="000000"/>
          <w:sz w:val="32"/>
          <w:szCs w:val="32"/>
        </w:rPr>
        <w:t>江流域，位于</w:t>
      </w:r>
      <w:r>
        <w:rPr>
          <w:rFonts w:hint="eastAsia" w:ascii="Times New Roman" w:hAnsi="Times New Roman" w:eastAsia="仿宋_GB2312" w:cs="Times New Roman"/>
          <w:color w:val="000000"/>
          <w:sz w:val="32"/>
          <w:szCs w:val="32"/>
        </w:rPr>
        <w:t>郪</w:t>
      </w:r>
      <w:r>
        <w:rPr>
          <w:rFonts w:ascii="Times New Roman" w:hAnsi="Times New Roman" w:eastAsia="仿宋_GB2312" w:cs="Times New Roman"/>
          <w:color w:val="000000"/>
          <w:sz w:val="32"/>
          <w:szCs w:val="32"/>
        </w:rPr>
        <w:t>江</w:t>
      </w:r>
      <w:r>
        <w:rPr>
          <w:rFonts w:hint="eastAsia" w:ascii="Times New Roman" w:hAnsi="Times New Roman" w:eastAsia="仿宋_GB2312" w:cs="Times New Roman"/>
          <w:color w:val="000000"/>
          <w:sz w:val="32"/>
          <w:szCs w:val="32"/>
        </w:rPr>
        <w:t>蓬莱</w:t>
      </w:r>
      <w:r>
        <w:rPr>
          <w:rFonts w:ascii="Times New Roman" w:hAnsi="Times New Roman" w:eastAsia="仿宋_GB2312" w:cs="Times New Roman"/>
          <w:color w:val="000000"/>
          <w:sz w:val="32"/>
          <w:szCs w:val="32"/>
        </w:rPr>
        <w:t>镇河段，起点为校园路</w:t>
      </w:r>
      <w:r>
        <w:rPr>
          <w:rFonts w:hint="eastAsia" w:ascii="Times New Roman" w:hAnsi="Times New Roman" w:eastAsia="仿宋_GB2312" w:cs="Times New Roman"/>
          <w:color w:val="000000"/>
          <w:sz w:val="32"/>
          <w:szCs w:val="32"/>
        </w:rPr>
        <w:t>郪江大桥上游侧，</w:t>
      </w:r>
      <w:r>
        <w:rPr>
          <w:rFonts w:ascii="Times New Roman" w:hAnsi="Times New Roman" w:eastAsia="仿宋_GB2312" w:cs="Times New Roman"/>
          <w:color w:val="000000"/>
          <w:sz w:val="32"/>
          <w:szCs w:val="32"/>
        </w:rPr>
        <w:t>终点为采和四桥上游侧</w:t>
      </w:r>
      <w:r>
        <w:rPr>
          <w:rFonts w:hint="eastAsia" w:ascii="Times New Roman" w:hAnsi="Times New Roman" w:eastAsia="仿宋_GB2312" w:cs="Times New Roman"/>
          <w:color w:val="000000"/>
          <w:sz w:val="32"/>
          <w:szCs w:val="32"/>
        </w:rPr>
        <w:t>，涉及郪江及其盛马化工支沟、古</w:t>
      </w:r>
      <w:r>
        <w:rPr>
          <w:rFonts w:hint="eastAsia" w:ascii="仿宋_GB2312" w:hAnsi="Times New Roman" w:eastAsia="宋体" w:cs="宋体"/>
          <w:kern w:val="0"/>
          <w:sz w:val="32"/>
          <w:szCs w:val="32"/>
        </w:rPr>
        <w:t>柏</w:t>
      </w:r>
      <w:r>
        <w:rPr>
          <w:rFonts w:hint="eastAsia" w:ascii="Times New Roman" w:hAnsi="Times New Roman" w:eastAsia="仿宋_GB2312" w:cs="Times New Roman"/>
          <w:color w:val="000000"/>
          <w:sz w:val="32"/>
          <w:szCs w:val="32"/>
        </w:rPr>
        <w:t>溪支沟，工程以防洪为主，注重改善河道生态环境</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主要建设内容为</w:t>
      </w:r>
      <w:r>
        <w:rPr>
          <w:rFonts w:ascii="Times New Roman" w:hAnsi="Times New Roman" w:eastAsia="仿宋_GB2312" w:cs="Times New Roman"/>
          <w:color w:val="000000"/>
          <w:sz w:val="32"/>
          <w:szCs w:val="32"/>
        </w:rPr>
        <w:t>综合治理河道7.14km，</w:t>
      </w:r>
      <w:r>
        <w:rPr>
          <w:rFonts w:hint="eastAsia" w:ascii="Times New Roman" w:hAnsi="Times New Roman" w:eastAsia="仿宋_GB2312" w:cs="Times New Roman"/>
          <w:color w:val="000000"/>
          <w:sz w:val="32"/>
          <w:szCs w:val="32"/>
        </w:rPr>
        <w:t>包括清障工程和堤防工程。</w:t>
      </w:r>
      <w:r>
        <w:rPr>
          <w:rFonts w:ascii="Times New Roman" w:hAnsi="Times New Roman" w:eastAsia="仿宋_GB2312" w:cs="Times New Roman"/>
          <w:color w:val="000000"/>
          <w:sz w:val="32"/>
          <w:szCs w:val="32"/>
        </w:rPr>
        <w:t>其中：</w:t>
      </w:r>
      <w:r>
        <w:rPr>
          <w:rFonts w:hint="eastAsia" w:ascii="Times New Roman" w:hAnsi="Times New Roman" w:eastAsia="仿宋_GB2312" w:cs="Times New Roman"/>
          <w:color w:val="000000"/>
          <w:sz w:val="32"/>
          <w:szCs w:val="32"/>
        </w:rPr>
        <w:t>清障工程</w:t>
      </w:r>
      <w:r>
        <w:rPr>
          <w:rFonts w:hint="eastAsia" w:ascii="Times New Roman" w:hAnsi="Times New Roman" w:eastAsia="仿宋_GB2312" w:cs="Times New Roman"/>
          <w:color w:val="000000"/>
          <w:kern w:val="0"/>
          <w:sz w:val="32"/>
          <w:szCs w:val="32"/>
        </w:rPr>
        <w:t>为河道岸坡</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十年洪水位以上</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除杂清障，不涉及底泥疏浚、河道开挖等涉水工程，</w:t>
      </w:r>
      <w:r>
        <w:rPr>
          <w:rFonts w:ascii="Times New Roman" w:hAnsi="Times New Roman" w:eastAsia="仿宋_GB2312" w:cs="Times New Roman"/>
          <w:color w:val="000000"/>
          <w:sz w:val="32"/>
          <w:szCs w:val="32"/>
        </w:rPr>
        <w:t>共4段总长1.49km</w:t>
      </w:r>
      <w:r>
        <w:rPr>
          <w:rFonts w:hint="eastAsia" w:ascii="Times New Roman" w:hAnsi="Times New Roman" w:eastAsia="仿宋_GB2312" w:cs="Times New Roman"/>
          <w:color w:val="000000"/>
          <w:sz w:val="32"/>
          <w:szCs w:val="32"/>
        </w:rPr>
        <w:t>；堤防工程为</w:t>
      </w:r>
      <w:r>
        <w:rPr>
          <w:rFonts w:ascii="Times New Roman" w:hAnsi="Times New Roman" w:eastAsia="仿宋_GB2312" w:cs="Times New Roman"/>
          <w:color w:val="000000"/>
          <w:sz w:val="32"/>
          <w:szCs w:val="32"/>
        </w:rPr>
        <w:t>新建堤防4段总长3.65km，新建护岸</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段总长1.17km，新建穿堤涵管</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座，新建下河梯步</w:t>
      </w:r>
      <w:r>
        <w:rPr>
          <w:rFonts w:hint="eastAsia" w:ascii="Times New Roman" w:hAnsi="Times New Roman" w:eastAsia="仿宋_GB2312" w:cs="Times New Roman"/>
          <w:color w:val="000000"/>
          <w:sz w:val="32"/>
          <w:szCs w:val="32"/>
        </w:rPr>
        <w:t>12</w:t>
      </w:r>
      <w:r>
        <w:rPr>
          <w:rFonts w:ascii="Times New Roman" w:hAnsi="Times New Roman" w:eastAsia="仿宋_GB2312" w:cs="Times New Roman"/>
          <w:color w:val="000000"/>
          <w:sz w:val="32"/>
          <w:szCs w:val="32"/>
        </w:rPr>
        <w:t>座。工程防洪标准为</w:t>
      </w:r>
      <w:r>
        <w:rPr>
          <w:rFonts w:hint="eastAsia" w:ascii="Times New Roman" w:hAnsi="Times New Roman" w:eastAsia="仿宋_GB2312" w:cs="Times New Roman"/>
          <w:color w:val="000000"/>
          <w:sz w:val="32"/>
          <w:szCs w:val="32"/>
        </w:rPr>
        <w:t>20</w:t>
      </w:r>
      <w:r>
        <w:rPr>
          <w:rFonts w:ascii="Times New Roman" w:hAnsi="Times New Roman" w:eastAsia="仿宋_GB2312" w:cs="Times New Roman"/>
          <w:color w:val="000000"/>
          <w:sz w:val="32"/>
          <w:szCs w:val="32"/>
        </w:rPr>
        <w:t>年一遇洪水重现期。工程</w:t>
      </w:r>
      <w:r>
        <w:rPr>
          <w:rFonts w:hint="eastAsia" w:ascii="Times New Roman" w:hAnsi="Times New Roman" w:eastAsia="仿宋_GB2312" w:cs="Times New Roman"/>
          <w:color w:val="000000"/>
          <w:sz w:val="32"/>
          <w:szCs w:val="32"/>
        </w:rPr>
        <w:t>等别</w:t>
      </w:r>
      <w:r>
        <w:rPr>
          <w:rFonts w:ascii="Times New Roman" w:hAnsi="Times New Roman" w:eastAsia="仿宋_GB2312" w:cs="Times New Roman"/>
          <w:color w:val="000000"/>
          <w:sz w:val="32"/>
          <w:szCs w:val="32"/>
        </w:rPr>
        <w:t>为</w:t>
      </w:r>
      <w:r>
        <w:rPr>
          <w:rFonts w:hint="eastAsia" w:ascii="Times New Roman" w:hAnsi="Times New Roman" w:eastAsia="仿宋_GB2312" w:cs="Times New Roman"/>
          <w:color w:val="000000"/>
          <w:sz w:val="32"/>
          <w:szCs w:val="32"/>
        </w:rPr>
        <w:t>Ⅳ</w:t>
      </w:r>
      <w:r>
        <w:rPr>
          <w:rFonts w:ascii="Times New Roman" w:hAnsi="Times New Roman" w:eastAsia="仿宋_GB2312" w:cs="Times New Roman"/>
          <w:color w:val="000000"/>
          <w:sz w:val="32"/>
          <w:szCs w:val="32"/>
        </w:rPr>
        <w:t>等，堤防工程主要建筑物按</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级设计，次</w:t>
      </w:r>
    </w:p>
    <w:p>
      <w:pPr>
        <w:keepNext w:val="0"/>
        <w:keepLines w:val="0"/>
        <w:pageBreakBefore w:val="0"/>
        <w:widowControl w:val="0"/>
        <w:kinsoku/>
        <w:topLinePunct w:val="0"/>
        <w:autoSpaceDE w:val="0"/>
        <w:autoSpaceDN w:val="0"/>
        <w:bidi w:val="0"/>
        <w:adjustRightInd w:val="0"/>
        <w:spacing w:line="600" w:lineRule="exact"/>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要建筑物及临时建筑物按</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级设计</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保护区排涝标准为</w:t>
      </w:r>
      <w:r>
        <w:rPr>
          <w:rFonts w:hint="eastAsia" w:ascii="Times New Roman" w:hAnsi="Times New Roman" w:eastAsia="仿宋_GB2312" w:cs="Times New Roman"/>
          <w:color w:val="000000"/>
          <w:sz w:val="32"/>
          <w:szCs w:val="32"/>
        </w:rPr>
        <w:t>10</w:t>
      </w:r>
      <w:r>
        <w:rPr>
          <w:rFonts w:ascii="Times New Roman" w:hAnsi="Times New Roman" w:eastAsia="仿宋_GB2312" w:cs="Times New Roman"/>
          <w:color w:val="000000"/>
          <w:sz w:val="32"/>
          <w:szCs w:val="32"/>
        </w:rPr>
        <w:t>年一遇暴雨重现期。工程合理使用年限</w:t>
      </w:r>
      <w:r>
        <w:rPr>
          <w:rFonts w:hint="eastAsia" w:ascii="Times New Roman" w:hAnsi="Times New Roman" w:eastAsia="仿宋_GB2312" w:cs="Times New Roman"/>
          <w:color w:val="000000"/>
          <w:sz w:val="32"/>
          <w:szCs w:val="32"/>
        </w:rPr>
        <w:t>30</w:t>
      </w:r>
      <w:r>
        <w:rPr>
          <w:rFonts w:ascii="Times New Roman" w:hAnsi="Times New Roman" w:eastAsia="仿宋_GB2312" w:cs="Times New Roman"/>
          <w:color w:val="000000"/>
          <w:sz w:val="32"/>
          <w:szCs w:val="32"/>
        </w:rPr>
        <w:t>年。</w:t>
      </w:r>
    </w:p>
    <w:p>
      <w:pPr>
        <w:keepNext w:val="0"/>
        <w:keepLines w:val="0"/>
        <w:pageBreakBefore w:val="0"/>
        <w:widowControl w:val="0"/>
        <w:kinsoku/>
        <w:topLinePunct w:val="0"/>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项目为防洪治理工程，属于《产业结构调整指导目录》（20</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年本）中的鼓励类</w:t>
      </w:r>
      <w:r>
        <w:rPr>
          <w:rFonts w:ascii="Times New Roman" w:hAnsi="Times New Roman" w:eastAsia="仿宋_GB2312" w:cs="Times New Roman"/>
          <w:color w:val="000000"/>
          <w:sz w:val="32"/>
          <w:szCs w:val="32"/>
        </w:rPr>
        <w:t>项目，取得了《大英县水利局 大英县发展和改革局关于大英县</w:t>
      </w:r>
      <w:r>
        <w:rPr>
          <w:rFonts w:hint="eastAsia" w:ascii="Times New Roman" w:hAnsi="Times New Roman" w:eastAsia="仿宋_GB2312" w:cs="Times New Roman"/>
          <w:color w:val="000000"/>
          <w:sz w:val="32"/>
          <w:szCs w:val="32"/>
        </w:rPr>
        <w:t>郪江盐井街道防洪治理工程初步设计及概算审查的</w:t>
      </w:r>
      <w:r>
        <w:rPr>
          <w:rFonts w:ascii="Times New Roman" w:hAnsi="Times New Roman" w:eastAsia="仿宋_GB2312" w:cs="Times New Roman"/>
          <w:color w:val="000000"/>
          <w:sz w:val="32"/>
          <w:szCs w:val="32"/>
        </w:rPr>
        <w:t>批复》（大水</w:t>
      </w:r>
      <w:r>
        <w:rPr>
          <w:rFonts w:hint="eastAsia" w:ascii="Times New Roman" w:hAnsi="Times New Roman" w:eastAsia="仿宋_GB2312" w:cs="Times New Roman"/>
          <w:color w:val="000000"/>
          <w:sz w:val="32"/>
          <w:szCs w:val="32"/>
        </w:rPr>
        <w:t>函</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号）文件，该项目建设符合</w:t>
      </w:r>
      <w:r>
        <w:rPr>
          <w:rFonts w:hint="eastAsia" w:ascii="Times New Roman" w:hAnsi="Times New Roman" w:eastAsia="仿宋_GB2312" w:cs="Times New Roman"/>
          <w:color w:val="000000"/>
          <w:sz w:val="32"/>
          <w:szCs w:val="32"/>
        </w:rPr>
        <w:t>当前</w:t>
      </w:r>
      <w:r>
        <w:rPr>
          <w:rFonts w:ascii="Times New Roman" w:hAnsi="Times New Roman" w:eastAsia="仿宋_GB2312" w:cs="Times New Roman"/>
          <w:color w:val="000000"/>
          <w:sz w:val="32"/>
          <w:szCs w:val="32"/>
        </w:rPr>
        <w:t>国家产业政策，选址符合相关要求</w:t>
      </w:r>
      <w:r>
        <w:rPr>
          <w:rFonts w:ascii="Times New Roman" w:hAnsi="Times New Roman" w:eastAsia="仿宋_GB2312" w:cs="Times New Roman"/>
          <w:sz w:val="32"/>
          <w:szCs w:val="32"/>
        </w:rPr>
        <w:t>。</w:t>
      </w:r>
    </w:p>
    <w:p>
      <w:pPr>
        <w:keepNext w:val="0"/>
        <w:keepLines w:val="0"/>
        <w:pageBreakBefore w:val="0"/>
        <w:widowControl w:val="0"/>
        <w:kinsoku/>
        <w:overflowPunct w:val="0"/>
        <w:topLinePunct w:val="0"/>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生态环境保护对策及措施，严格执行环境保护“三同时”制度，认真落实环境风险防范措施及应急预案的前提下，该项目建设从生态环境保护角度可行，我局原则同意《报告表》的总体结论和拟采取的各项生态环境保护措施。你公司应严格按照《报告表》中所列项目的建设性质、规模、工艺、地点和拟采取的生态环境保护措施进行建设和运行，以确保对生态环境的不利影响得到缓解和控制。</w:t>
      </w:r>
    </w:p>
    <w:p>
      <w:pPr>
        <w:keepNext w:val="0"/>
        <w:keepLines w:val="0"/>
        <w:pageBreakBefore w:val="0"/>
        <w:widowControl w:val="0"/>
        <w:numPr>
          <w:ilvl w:val="0"/>
          <w:numId w:val="2"/>
        </w:numPr>
        <w:kinsoku/>
        <w:topLinePunct w:val="0"/>
        <w:bidi w:val="0"/>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项目建设及营运重点做好以下工作</w:t>
      </w:r>
    </w:p>
    <w:p>
      <w:pPr>
        <w:keepNext w:val="0"/>
        <w:keepLines w:val="0"/>
        <w:pageBreakBefore w:val="0"/>
        <w:widowControl w:val="0"/>
        <w:kinsoku/>
        <w:overflowPunct w:val="0"/>
        <w:topLinePunct w:val="0"/>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（一）落实生态保护措施</w:t>
      </w:r>
      <w:r>
        <w:rPr>
          <w:rFonts w:hint="eastAsia" w:ascii="仿宋_GB2312" w:hAnsi="仿宋_GB2312" w:eastAsia="仿宋_GB2312" w:cs="仿宋_GB2312"/>
          <w:sz w:val="32"/>
          <w:szCs w:val="32"/>
        </w:rPr>
        <w:t>。严格按照设计文件确定征占土地和临时用地范围，加强施工期的组织管理，严禁随意开挖取土取石、破坏植被；合理安排施工工期，施工过程应避免废水和固废入河对水质及水生生物造成影响；通过设置排水沟、沉砂池、密目网遮盖、土袋拦挡等系列措施做好水土保持工作，防止水土流失；施工结束后，采用表土回覆、土地整治、植被恢复等措施，及时做好项目临时用地迹地生态恢复。项目清障工程部分位于四川大英郪江省级湿地公园合理利用区，临近郪江黄颡鱼国家级水产种质资源保护区实验区，应采用</w:t>
      </w:r>
      <w:r>
        <w:rPr>
          <w:rFonts w:hint="eastAsia" w:ascii="仿宋_GB2312" w:hAnsi="仿宋_GB2312" w:eastAsia="仿宋_GB2312" w:cs="仿宋_GB2312"/>
          <w:kern w:val="2"/>
          <w:sz w:val="32"/>
          <w:szCs w:val="32"/>
        </w:rPr>
        <w:t>人工清理方式，避免扰动水体，清理后的杂物及时清运处置</w:t>
      </w:r>
      <w:r>
        <w:rPr>
          <w:rFonts w:hint="eastAsia" w:ascii="仿宋_GB2312" w:hAnsi="仿宋_GB2312" w:eastAsia="仿宋_GB2312" w:cs="仿宋_GB2312"/>
          <w:sz w:val="32"/>
          <w:szCs w:val="32"/>
        </w:rPr>
        <w:t>，最大限度减少不利影响，防止生态破坏</w:t>
      </w:r>
      <w:r>
        <w:rPr>
          <w:rFonts w:hint="eastAsia" w:ascii="仿宋_GB2312" w:hAnsi="仿宋_GB2312" w:eastAsia="仿宋_GB2312" w:cs="仿宋_GB2312"/>
          <w:kern w:val="2"/>
          <w:sz w:val="32"/>
          <w:szCs w:val="32"/>
        </w:rPr>
        <w:t>。</w:t>
      </w:r>
    </w:p>
    <w:p>
      <w:pPr>
        <w:keepNext w:val="0"/>
        <w:keepLines w:val="0"/>
        <w:pageBreakBefore w:val="0"/>
        <w:widowControl w:val="0"/>
        <w:kinsoku/>
        <w:overflowPunct w:val="0"/>
        <w:topLinePunct w:val="0"/>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（二）落实废水处置措施</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施工期施工废水经隔油沉淀池沉淀后回用于场区洒水降尘，不外排；混凝土养护废水经堤后设置排水沟引至沉砂池沉淀后回用于场区洒水降尘；施工人员生活污水依托周边居民已建污水处理设施处置。</w:t>
      </w:r>
    </w:p>
    <w:p>
      <w:pPr>
        <w:keepNext w:val="0"/>
        <w:keepLines w:val="0"/>
        <w:pageBreakBefore w:val="0"/>
        <w:widowControl w:val="0"/>
        <w:kinsoku/>
        <w:overflowPunct w:val="0"/>
        <w:topLinePunct w:val="0"/>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ascii="楷体_GB2312" w:hAnsi="楷体_GB2312" w:eastAsia="楷体_GB2312" w:cs="楷体_GB2312"/>
          <w:sz w:val="32"/>
          <w:szCs w:val="32"/>
        </w:rPr>
        <w:t>落实废</w:t>
      </w:r>
      <w:r>
        <w:rPr>
          <w:rFonts w:hint="eastAsia" w:ascii="楷体_GB2312" w:hAnsi="楷体_GB2312" w:eastAsia="楷体_GB2312" w:cs="楷体_GB2312"/>
          <w:sz w:val="32"/>
          <w:szCs w:val="32"/>
        </w:rPr>
        <w:t>气</w:t>
      </w:r>
      <w:r>
        <w:rPr>
          <w:rFonts w:ascii="楷体_GB2312" w:hAnsi="楷体_GB2312" w:eastAsia="楷体_GB2312" w:cs="楷体_GB2312"/>
          <w:sz w:val="32"/>
          <w:szCs w:val="32"/>
        </w:rPr>
        <w:t>处置措施。</w:t>
      </w:r>
      <w:r>
        <w:rPr>
          <w:rFonts w:hint="eastAsia" w:ascii="仿宋_GB2312" w:hAnsi="仿宋_GB2312" w:eastAsia="仿宋_GB2312" w:cs="仿宋_GB2312"/>
          <w:sz w:val="32"/>
          <w:szCs w:val="32"/>
        </w:rPr>
        <w:t>项目施工采取设置施工围挡、喷雾洒水降尘、临时堆场覆盖、运输车辆清洗及</w:t>
      </w:r>
      <w:r>
        <w:rPr>
          <w:rFonts w:hint="eastAsia" w:ascii="仿宋_GB2312" w:hAnsi="仿宋_GB2312" w:eastAsia="仿宋_GB2312" w:cs="仿宋_GB2312"/>
          <w:sz w:val="32"/>
          <w:szCs w:val="32"/>
          <w:lang w:eastAsia="zh-CN"/>
        </w:rPr>
        <w:t>车箱</w:t>
      </w:r>
      <w:r>
        <w:rPr>
          <w:rFonts w:hint="eastAsia" w:ascii="仿宋_GB2312" w:hAnsi="仿宋_GB2312" w:eastAsia="仿宋_GB2312" w:cs="仿宋_GB2312"/>
          <w:sz w:val="32"/>
          <w:szCs w:val="32"/>
        </w:rPr>
        <w:t>严密遮盖等措施减少扬尘污染；严格落实非道路移动机械环境管理要求。</w:t>
      </w:r>
    </w:p>
    <w:p>
      <w:pPr>
        <w:keepNext w:val="0"/>
        <w:keepLines w:val="0"/>
        <w:pageBreakBefore w:val="0"/>
        <w:widowControl w:val="0"/>
        <w:kinsoku/>
        <w:overflowPunct w:val="0"/>
        <w:topLinePunct w:val="0"/>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四</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落实固废处置措施。</w:t>
      </w:r>
      <w:r>
        <w:rPr>
          <w:rFonts w:hint="eastAsia" w:ascii="仿宋_GB2312" w:hAnsi="仿宋_GB2312" w:eastAsia="仿宋_GB2312" w:cs="仿宋_GB2312"/>
          <w:color w:val="000000"/>
          <w:kern w:val="18"/>
          <w:sz w:val="32"/>
          <w:szCs w:val="32"/>
        </w:rPr>
        <w:t>项目施工产生的各类固体废物分类收集、妥善处置，严禁渣土入河。</w:t>
      </w:r>
      <w:r>
        <w:rPr>
          <w:rFonts w:hint="eastAsia" w:ascii="仿宋_GB2312" w:hAnsi="仿宋_GB2312" w:eastAsia="仿宋_GB2312" w:cs="仿宋_GB2312"/>
          <w:sz w:val="32"/>
          <w:szCs w:val="32"/>
        </w:rPr>
        <w:t>施工期开挖料全部用于堤坝回填综合利用，无弃方，不设专门弃渣场；建筑垃圾分类回收利用，不能利用的部分运至指定地点堆放；生活垃圾统一收集交由环卫部门清运处理。</w:t>
      </w:r>
    </w:p>
    <w:p>
      <w:pPr>
        <w:keepNext w:val="0"/>
        <w:keepLines w:val="0"/>
        <w:pageBreakBefore w:val="0"/>
        <w:widowControl w:val="0"/>
        <w:kinsoku/>
        <w:overflowPunct w:val="0"/>
        <w:topLinePunct w:val="0"/>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（五）落实噪声处置措施。</w:t>
      </w:r>
      <w:r>
        <w:rPr>
          <w:rFonts w:hint="eastAsia" w:ascii="仿宋_GB2312" w:hAnsi="仿宋_GB2312" w:eastAsia="仿宋_GB2312" w:cs="仿宋_GB2312"/>
          <w:sz w:val="32"/>
          <w:szCs w:val="32"/>
        </w:rPr>
        <w:t>项目施工采用低噪声施工机械，通过采取规范施工、合理安排施工时间、科学布设噪声源、加强车辆管理等措施，确保噪声不扰民。</w:t>
      </w:r>
    </w:p>
    <w:p>
      <w:pPr>
        <w:keepNext w:val="0"/>
        <w:keepLines w:val="0"/>
        <w:pageBreakBefore w:val="0"/>
        <w:widowControl w:val="0"/>
        <w:kinsoku/>
        <w:overflowPunct w:val="0"/>
        <w:topLinePunct w:val="0"/>
        <w:bidi w:val="0"/>
        <w:snapToGrid w:val="0"/>
        <w:spacing w:line="600" w:lineRule="exact"/>
        <w:ind w:firstLine="640" w:firstLineChars="200"/>
        <w:jc w:val="both"/>
        <w:textAlignment w:val="auto"/>
        <w:rPr>
          <w:rFonts w:ascii="仿宋_GB2312" w:hAnsi="仿宋_GB2312" w:eastAsia="仿宋_GB2312" w:cs="仿宋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六</w:t>
      </w:r>
      <w:r>
        <w:rPr>
          <w:rFonts w:ascii="楷体_GB2312" w:hAnsi="楷体_GB2312" w:eastAsia="楷体_GB2312" w:cs="楷体_GB2312"/>
          <w:sz w:val="32"/>
          <w:szCs w:val="32"/>
        </w:rPr>
        <w:t>）落实环境风险防范措施。</w:t>
      </w:r>
      <w:r>
        <w:rPr>
          <w:rFonts w:ascii="仿宋_GB2312" w:hAnsi="仿宋_GB2312" w:eastAsia="仿宋_GB2312" w:cs="仿宋_GB2312"/>
          <w:sz w:val="32"/>
          <w:szCs w:val="32"/>
        </w:rPr>
        <w:t>落实环境事故风险防范及应急措施，确保项目环境安全。在工程施工过程中，应建立畅通的公众参与平台，及时解决公众担忧的环境问题，满足公众合理的环境诉求。</w:t>
      </w:r>
    </w:p>
    <w:p>
      <w:pPr>
        <w:keepNext w:val="0"/>
        <w:keepLines w:val="0"/>
        <w:pageBreakBefore w:val="0"/>
        <w:widowControl w:val="0"/>
        <w:kinsoku/>
        <w:overflowPunct w:val="0"/>
        <w:topLinePunct w:val="0"/>
        <w:bidi w:val="0"/>
        <w:snapToGrid w:val="0"/>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bCs/>
          <w:sz w:val="32"/>
          <w:szCs w:val="32"/>
        </w:rPr>
        <w:t>项目开工建设前，依法完备其他行政许可手续</w:t>
      </w:r>
    </w:p>
    <w:p>
      <w:pPr>
        <w:keepNext w:val="0"/>
        <w:keepLines w:val="0"/>
        <w:pageBreakBefore w:val="0"/>
        <w:widowControl w:val="0"/>
        <w:kinsoku/>
        <w:overflowPunct w:val="0"/>
        <w:topLinePunct w:val="0"/>
        <w:bidi w:val="0"/>
        <w:snapToGrid w:val="0"/>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四、“三同时”管理和环保验收</w:t>
      </w:r>
    </w:p>
    <w:p>
      <w:pPr>
        <w:keepNext w:val="0"/>
        <w:keepLines w:val="0"/>
        <w:pageBreakBefore w:val="0"/>
        <w:widowControl w:val="0"/>
        <w:kinsoku/>
        <w:topLinePunct w:val="0"/>
        <w:bidi w:val="0"/>
        <w:spacing w:line="600" w:lineRule="exact"/>
        <w:ind w:firstLine="656" w:firstLineChars="200"/>
        <w:jc w:val="both"/>
        <w:textAlignment w:val="auto"/>
        <w:rPr>
          <w:rFonts w:ascii="仿宋_GB2312" w:hAnsi="仿宋_GB2312" w:eastAsia="仿宋_GB2312" w:cs="仿宋_GB2312"/>
          <w:color w:val="000000"/>
          <w:spacing w:val="4"/>
          <w:kern w:val="18"/>
          <w:sz w:val="32"/>
          <w:szCs w:val="32"/>
        </w:rPr>
      </w:pPr>
      <w:r>
        <w:rPr>
          <w:rFonts w:hint="eastAsia" w:ascii="仿宋_GB2312" w:hAnsi="仿宋_GB2312" w:eastAsia="仿宋_GB2312" w:cs="仿宋_GB2312"/>
          <w:color w:val="000000"/>
          <w:spacing w:val="4"/>
          <w:kern w:val="18"/>
          <w:sz w:val="32"/>
          <w:szCs w:val="32"/>
        </w:rPr>
        <w:t>项目必须严格执行配套建设的环境保护设施与主体工程同时设计、同时施工、同时投产使用的环境保护“三同时”制度。建设项目竣工后，你公司应当按照规定的程序和标准，组织对生态环境保护对策措施和配套建设的环境保护设施进行验收，并依法向社会公开验收报告等相关信息，接受社会监督。</w:t>
      </w:r>
    </w:p>
    <w:p>
      <w:pPr>
        <w:keepNext w:val="0"/>
        <w:keepLines w:val="0"/>
        <w:pageBreakBefore w:val="0"/>
        <w:widowControl w:val="0"/>
        <w:kinsoku/>
        <w:overflowPunct w:val="0"/>
        <w:topLinePunct w:val="0"/>
        <w:bidi w:val="0"/>
        <w:snapToGrid w:val="0"/>
        <w:spacing w:line="600" w:lineRule="exact"/>
        <w:ind w:firstLine="640" w:firstLineChars="200"/>
        <w:jc w:val="both"/>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五、其他规定</w:t>
      </w:r>
    </w:p>
    <w:p>
      <w:pPr>
        <w:keepNext w:val="0"/>
        <w:keepLines w:val="0"/>
        <w:pageBreakBefore w:val="0"/>
        <w:widowControl w:val="0"/>
        <w:kinsoku/>
        <w:topLinePunct w:val="0"/>
        <w:bidi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eastAsia="仿宋_GB2312"/>
          <w:sz w:val="32"/>
          <w:szCs w:val="32"/>
        </w:rPr>
        <w:t>项目环境影响评价文件经批准后，如工程的性质、规模、地点、工艺或者防治污染、防止生态破坏的措施发生重大变动，你公司应当重新报批环境影响评价文件，否则不得实施建设。自环境影响评价文件批准之日起，如工程超</w:t>
      </w:r>
      <w:r>
        <w:rPr>
          <w:rFonts w:ascii="Times New Roman" w:hAnsi="Times New Roman" w:eastAsia="仿宋_GB2312" w:cs="Times New Roman"/>
          <w:sz w:val="32"/>
          <w:szCs w:val="32"/>
        </w:rPr>
        <w:t>过5</w:t>
      </w:r>
      <w:r>
        <w:rPr>
          <w:rFonts w:eastAsia="仿宋_GB2312"/>
          <w:sz w:val="32"/>
          <w:szCs w:val="32"/>
        </w:rPr>
        <w:t>年未开工建设，环境影响评价文件应当报我局重新审核。</w:t>
      </w:r>
    </w:p>
    <w:p>
      <w:pPr>
        <w:pStyle w:val="2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pStyle w:val="21"/>
        <w:keepNext w:val="0"/>
        <w:keepLines w:val="0"/>
        <w:pageBreakBefore w:val="0"/>
        <w:widowControl w:val="0"/>
        <w:kinsoku/>
        <w:wordWrap/>
        <w:overflowPunct/>
        <w:topLinePunct w:val="0"/>
        <w:autoSpaceDE/>
        <w:autoSpaceDN/>
        <w:bidi w:val="0"/>
        <w:adjustRightInd/>
        <w:snapToGrid/>
        <w:spacing w:line="600" w:lineRule="exact"/>
        <w:ind w:firstLine="4928" w:firstLineChars="16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遂宁市大英生态环境局</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cs="Times New Roman"/>
          <w:lang w:val="en-US" w:eastAsia="zh-CN"/>
        </w:rPr>
      </w:pPr>
      <w:r>
        <w:rPr>
          <w:rFonts w:hint="default" w:ascii="Times New Roman" w:hAnsi="Times New Roman" w:eastAsia="仿宋_GB2312" w:cs="Times New Roman"/>
          <w:spacing w:val="-6"/>
          <w:sz w:val="32"/>
          <w:szCs w:val="32"/>
          <w:lang w:val="en-US" w:eastAsia="zh-CN"/>
        </w:rPr>
        <w:t>2024年</w:t>
      </w:r>
      <w:r>
        <w:rPr>
          <w:rFonts w:hint="eastAsia"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lang w:val="en-US" w:eastAsia="zh-CN"/>
        </w:rPr>
        <w:t>月</w:t>
      </w:r>
      <w:r>
        <w:rPr>
          <w:rFonts w:hint="eastAsia" w:ascii="Times New Roman" w:hAnsi="Times New Roman" w:eastAsia="仿宋_GB2312" w:cs="Times New Roman"/>
          <w:spacing w:val="-6"/>
          <w:sz w:val="32"/>
          <w:szCs w:val="32"/>
          <w:lang w:val="en-US" w:eastAsia="zh-CN"/>
        </w:rPr>
        <w:t>2</w:t>
      </w:r>
      <w:bookmarkStart w:id="0" w:name="_GoBack"/>
      <w:bookmarkEnd w:id="0"/>
      <w:r>
        <w:rPr>
          <w:rFonts w:hint="eastAsia"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lang w:val="en-US" w:eastAsia="zh-CN"/>
        </w:rPr>
        <w:t xml:space="preserve">日        </w:t>
      </w:r>
    </w:p>
    <w:sectPr>
      <w:footerReference r:id="rId4" w:type="default"/>
      <w:pgSz w:w="11906" w:h="16838"/>
      <w:pgMar w:top="2098" w:right="1474" w:bottom="1474"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-151130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9pt;height:144pt;width:144pt;mso-position-horizontal:outside;mso-position-horizontal-relative:margin;mso-wrap-style:none;z-index:251659264;mso-width-relative:page;mso-height-relative:page;" filled="f" stroked="f" coordsize="21600,21600" o:gfxdata="UEsDBAoAAAAAAIdO4kAAAAAAAAAAAAAAAAAEAAAAZHJzL1BLAwQUAAAACACHTuJAH4dIt9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5QIs50XBlzMP+10O&#10;sq7k/wL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4dIt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588D"/>
    <w:multiLevelType w:val="singleLevel"/>
    <w:tmpl w:val="FBFD588D"/>
    <w:lvl w:ilvl="0" w:tentative="0">
      <w:start w:val="2"/>
      <w:numFmt w:val="chineseCounting"/>
      <w:suff w:val="nothing"/>
      <w:lvlText w:val="%1、"/>
      <w:lvlJc w:val="left"/>
      <w:rPr>
        <w:rFonts w:hint="eastAsia"/>
      </w:rPr>
    </w:lvl>
  </w:abstractNum>
  <w:abstractNum w:abstractNumId="1">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200875"/>
    <w:rsid w:val="00951FEE"/>
    <w:rsid w:val="009F3AFC"/>
    <w:rsid w:val="011F28D3"/>
    <w:rsid w:val="01844E19"/>
    <w:rsid w:val="01DD1972"/>
    <w:rsid w:val="01FD40F1"/>
    <w:rsid w:val="02B22144"/>
    <w:rsid w:val="030014CC"/>
    <w:rsid w:val="041E0EAD"/>
    <w:rsid w:val="062B5ABB"/>
    <w:rsid w:val="07445783"/>
    <w:rsid w:val="08076BAC"/>
    <w:rsid w:val="08157D0A"/>
    <w:rsid w:val="082B7D91"/>
    <w:rsid w:val="088675ED"/>
    <w:rsid w:val="089E130F"/>
    <w:rsid w:val="08A70EB9"/>
    <w:rsid w:val="092A1E12"/>
    <w:rsid w:val="094E2162"/>
    <w:rsid w:val="098F0FA5"/>
    <w:rsid w:val="09A231A8"/>
    <w:rsid w:val="0AE4604C"/>
    <w:rsid w:val="0B327E48"/>
    <w:rsid w:val="0C4C2651"/>
    <w:rsid w:val="0C7F2609"/>
    <w:rsid w:val="0F410220"/>
    <w:rsid w:val="0F5D7B56"/>
    <w:rsid w:val="0FB35FED"/>
    <w:rsid w:val="10632F32"/>
    <w:rsid w:val="108B04C2"/>
    <w:rsid w:val="11553800"/>
    <w:rsid w:val="12011292"/>
    <w:rsid w:val="129F4917"/>
    <w:rsid w:val="13A050E7"/>
    <w:rsid w:val="13A244C7"/>
    <w:rsid w:val="14741B39"/>
    <w:rsid w:val="14AA3E63"/>
    <w:rsid w:val="15AB60E4"/>
    <w:rsid w:val="15C947BC"/>
    <w:rsid w:val="16243B6E"/>
    <w:rsid w:val="1735378C"/>
    <w:rsid w:val="17575DF8"/>
    <w:rsid w:val="17586B74"/>
    <w:rsid w:val="18196B6F"/>
    <w:rsid w:val="1ACF0994"/>
    <w:rsid w:val="1ADB2985"/>
    <w:rsid w:val="1B326960"/>
    <w:rsid w:val="1BCC1635"/>
    <w:rsid w:val="1C382AF6"/>
    <w:rsid w:val="1D04432C"/>
    <w:rsid w:val="1D1F6E89"/>
    <w:rsid w:val="1DC1221D"/>
    <w:rsid w:val="1DEC2C84"/>
    <w:rsid w:val="1E17071F"/>
    <w:rsid w:val="1E29348B"/>
    <w:rsid w:val="1E6609BF"/>
    <w:rsid w:val="1EAC44A7"/>
    <w:rsid w:val="1F8E271B"/>
    <w:rsid w:val="1FC85967"/>
    <w:rsid w:val="203222E6"/>
    <w:rsid w:val="204F3B10"/>
    <w:rsid w:val="20E64474"/>
    <w:rsid w:val="21464F13"/>
    <w:rsid w:val="224F429B"/>
    <w:rsid w:val="23631F61"/>
    <w:rsid w:val="23E07BD5"/>
    <w:rsid w:val="251C281B"/>
    <w:rsid w:val="25FC1B6A"/>
    <w:rsid w:val="26672398"/>
    <w:rsid w:val="271B5D95"/>
    <w:rsid w:val="273A436A"/>
    <w:rsid w:val="27E16961"/>
    <w:rsid w:val="290D5E5A"/>
    <w:rsid w:val="29E46919"/>
    <w:rsid w:val="2A1F2C38"/>
    <w:rsid w:val="2A2D6A04"/>
    <w:rsid w:val="2A784B2D"/>
    <w:rsid w:val="2A785045"/>
    <w:rsid w:val="2AAB5339"/>
    <w:rsid w:val="2AC24BA7"/>
    <w:rsid w:val="2B79362F"/>
    <w:rsid w:val="2B8C4F39"/>
    <w:rsid w:val="2B9E2295"/>
    <w:rsid w:val="2CFA5D9C"/>
    <w:rsid w:val="2DC309C3"/>
    <w:rsid w:val="2EFC29C4"/>
    <w:rsid w:val="2F1C72B3"/>
    <w:rsid w:val="310F7B8F"/>
    <w:rsid w:val="31442D31"/>
    <w:rsid w:val="31774C75"/>
    <w:rsid w:val="31F50C2D"/>
    <w:rsid w:val="31FD6612"/>
    <w:rsid w:val="32C1089D"/>
    <w:rsid w:val="34047828"/>
    <w:rsid w:val="344E1C6F"/>
    <w:rsid w:val="34996C6F"/>
    <w:rsid w:val="34A22009"/>
    <w:rsid w:val="34D12CF9"/>
    <w:rsid w:val="354A265C"/>
    <w:rsid w:val="363D60B8"/>
    <w:rsid w:val="37225683"/>
    <w:rsid w:val="372748CB"/>
    <w:rsid w:val="376A1E4F"/>
    <w:rsid w:val="38C236CA"/>
    <w:rsid w:val="39116741"/>
    <w:rsid w:val="3965276B"/>
    <w:rsid w:val="39AA099D"/>
    <w:rsid w:val="39C66799"/>
    <w:rsid w:val="3A2A31CC"/>
    <w:rsid w:val="3B313DE1"/>
    <w:rsid w:val="3B495557"/>
    <w:rsid w:val="3B7918F6"/>
    <w:rsid w:val="3BD232AA"/>
    <w:rsid w:val="3C1E30AA"/>
    <w:rsid w:val="3C304473"/>
    <w:rsid w:val="3C620396"/>
    <w:rsid w:val="3C7D32C2"/>
    <w:rsid w:val="3C8A5E5F"/>
    <w:rsid w:val="3E406C06"/>
    <w:rsid w:val="3E635268"/>
    <w:rsid w:val="3EEF569D"/>
    <w:rsid w:val="40B97948"/>
    <w:rsid w:val="40BF5A1E"/>
    <w:rsid w:val="41313A1B"/>
    <w:rsid w:val="415844BA"/>
    <w:rsid w:val="41EC74B9"/>
    <w:rsid w:val="42A751E8"/>
    <w:rsid w:val="42D92940"/>
    <w:rsid w:val="433E49AD"/>
    <w:rsid w:val="44000AFA"/>
    <w:rsid w:val="44242A3A"/>
    <w:rsid w:val="46564467"/>
    <w:rsid w:val="47173438"/>
    <w:rsid w:val="48473F43"/>
    <w:rsid w:val="486C0E54"/>
    <w:rsid w:val="491F4DFE"/>
    <w:rsid w:val="4944487A"/>
    <w:rsid w:val="4BA71E75"/>
    <w:rsid w:val="4C6267F5"/>
    <w:rsid w:val="4DA81B78"/>
    <w:rsid w:val="4DC16BB8"/>
    <w:rsid w:val="4E4D24B7"/>
    <w:rsid w:val="504C6A58"/>
    <w:rsid w:val="509E5922"/>
    <w:rsid w:val="50A22112"/>
    <w:rsid w:val="50D50B0D"/>
    <w:rsid w:val="50D94BAC"/>
    <w:rsid w:val="516650CC"/>
    <w:rsid w:val="518979CC"/>
    <w:rsid w:val="52614E59"/>
    <w:rsid w:val="52A56FED"/>
    <w:rsid w:val="53ED2369"/>
    <w:rsid w:val="54454557"/>
    <w:rsid w:val="54C73958"/>
    <w:rsid w:val="558A2919"/>
    <w:rsid w:val="55D1023B"/>
    <w:rsid w:val="55E55DA1"/>
    <w:rsid w:val="566A0472"/>
    <w:rsid w:val="56B365F2"/>
    <w:rsid w:val="571C1C97"/>
    <w:rsid w:val="577473DD"/>
    <w:rsid w:val="57EE76DD"/>
    <w:rsid w:val="585711D8"/>
    <w:rsid w:val="58902BFC"/>
    <w:rsid w:val="58AD279A"/>
    <w:rsid w:val="58C4394C"/>
    <w:rsid w:val="58D418CA"/>
    <w:rsid w:val="58E529EC"/>
    <w:rsid w:val="59030A18"/>
    <w:rsid w:val="59205D38"/>
    <w:rsid w:val="59C94FB5"/>
    <w:rsid w:val="59D820AB"/>
    <w:rsid w:val="5A9803FD"/>
    <w:rsid w:val="5C46174B"/>
    <w:rsid w:val="5C781657"/>
    <w:rsid w:val="5CBA1D36"/>
    <w:rsid w:val="5D307EFB"/>
    <w:rsid w:val="5D942597"/>
    <w:rsid w:val="5DCB6DD4"/>
    <w:rsid w:val="5DDD5997"/>
    <w:rsid w:val="5EC51967"/>
    <w:rsid w:val="5EFB1046"/>
    <w:rsid w:val="5F13397F"/>
    <w:rsid w:val="5F304531"/>
    <w:rsid w:val="5F7F5B76"/>
    <w:rsid w:val="5F9E07E1"/>
    <w:rsid w:val="60217911"/>
    <w:rsid w:val="60570CFE"/>
    <w:rsid w:val="60B414A2"/>
    <w:rsid w:val="60E60A94"/>
    <w:rsid w:val="61CD7A93"/>
    <w:rsid w:val="61CF012A"/>
    <w:rsid w:val="62BB2173"/>
    <w:rsid w:val="6307250B"/>
    <w:rsid w:val="63133F4E"/>
    <w:rsid w:val="632C2E62"/>
    <w:rsid w:val="64EF4296"/>
    <w:rsid w:val="670815C7"/>
    <w:rsid w:val="681D537C"/>
    <w:rsid w:val="69966FC3"/>
    <w:rsid w:val="69BE7A7D"/>
    <w:rsid w:val="69CD2D06"/>
    <w:rsid w:val="6A2932E0"/>
    <w:rsid w:val="6A832EF5"/>
    <w:rsid w:val="6AAA7F05"/>
    <w:rsid w:val="6AAE27AE"/>
    <w:rsid w:val="6C846928"/>
    <w:rsid w:val="6D274DA7"/>
    <w:rsid w:val="6D3C5791"/>
    <w:rsid w:val="6E02688E"/>
    <w:rsid w:val="6E550418"/>
    <w:rsid w:val="6E560B0F"/>
    <w:rsid w:val="6EF74724"/>
    <w:rsid w:val="6EFF47BA"/>
    <w:rsid w:val="6F394D3C"/>
    <w:rsid w:val="6F5B1156"/>
    <w:rsid w:val="6F6E3FD1"/>
    <w:rsid w:val="6F705600"/>
    <w:rsid w:val="6FF46C64"/>
    <w:rsid w:val="708C17E3"/>
    <w:rsid w:val="70D24CB2"/>
    <w:rsid w:val="724B2FD5"/>
    <w:rsid w:val="727C1767"/>
    <w:rsid w:val="72B86D8A"/>
    <w:rsid w:val="72C65FB9"/>
    <w:rsid w:val="740B7313"/>
    <w:rsid w:val="746F0F41"/>
    <w:rsid w:val="75091655"/>
    <w:rsid w:val="751C3136"/>
    <w:rsid w:val="76150602"/>
    <w:rsid w:val="76FC7D28"/>
    <w:rsid w:val="77992DA9"/>
    <w:rsid w:val="782446B8"/>
    <w:rsid w:val="78E7601E"/>
    <w:rsid w:val="78F06C72"/>
    <w:rsid w:val="79C96773"/>
    <w:rsid w:val="79D61A12"/>
    <w:rsid w:val="7A195E96"/>
    <w:rsid w:val="7B191EC6"/>
    <w:rsid w:val="7C663B77"/>
    <w:rsid w:val="7C7535FD"/>
    <w:rsid w:val="7D1512CD"/>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3">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List Number"/>
    <w:basedOn w:val="1"/>
    <w:autoRedefine/>
    <w:qFormat/>
    <w:uiPriority w:val="0"/>
    <w:pPr>
      <w:numPr>
        <w:ilvl w:val="0"/>
        <w:numId w:val="1"/>
      </w:numPr>
    </w:pPr>
  </w:style>
  <w:style w:type="paragraph" w:styleId="5">
    <w:name w:val="toa heading"/>
    <w:basedOn w:val="1"/>
    <w:next w:val="1"/>
    <w:autoRedefine/>
    <w:qFormat/>
    <w:uiPriority w:val="0"/>
    <w:pPr>
      <w:spacing w:before="120"/>
    </w:pPr>
    <w:rPr>
      <w:rFonts w:ascii="Arial" w:hAnsi="Arial" w:cs="Arial"/>
    </w:rPr>
  </w:style>
  <w:style w:type="paragraph" w:styleId="6">
    <w:name w:val="Body Text"/>
    <w:basedOn w:val="1"/>
    <w:autoRedefine/>
    <w:qFormat/>
    <w:uiPriority w:val="0"/>
    <w:pPr>
      <w:ind w:left="120"/>
    </w:pPr>
    <w:rPr>
      <w:rFonts w:ascii="宋体" w:hAnsi="宋体"/>
      <w:sz w:val="32"/>
      <w:szCs w:val="32"/>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eastAsia="宋体" w:cs="Times New Roman"/>
    </w:rPr>
  </w:style>
  <w:style w:type="paragraph" w:styleId="9">
    <w:name w:val="Body Text Indent 2"/>
    <w:basedOn w:val="1"/>
    <w:next w:val="10"/>
    <w:autoRedefine/>
    <w:qFormat/>
    <w:uiPriority w:val="0"/>
    <w:pPr>
      <w:adjustRightInd w:val="0"/>
      <w:snapToGrid w:val="0"/>
      <w:spacing w:line="440" w:lineRule="atLeast"/>
      <w:ind w:firstLine="573"/>
    </w:pPr>
    <w:rPr>
      <w:rFonts w:ascii="宋体"/>
    </w:rPr>
  </w:style>
  <w:style w:type="paragraph" w:customStyle="1" w:styleId="10">
    <w:name w:val="简单回函地址"/>
    <w:basedOn w:val="1"/>
    <w:next w:val="11"/>
    <w:autoRedefine/>
    <w:qFormat/>
    <w:uiPriority w:val="0"/>
    <w:rPr>
      <w:szCs w:val="20"/>
    </w:rPr>
  </w:style>
  <w:style w:type="paragraph" w:customStyle="1" w:styleId="1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autoRedefine/>
    <w:qFormat/>
    <w:uiPriority w:val="0"/>
    <w:pPr>
      <w:ind w:left="2100"/>
    </w:pPr>
    <w:rPr>
      <w:rFonts w:ascii="楷体_GB2312" w:hAnsi="Calibri" w:eastAsia="楷体_GB2312"/>
    </w:rPr>
  </w:style>
  <w:style w:type="paragraph" w:styleId="15">
    <w:name w:val="table of figures"/>
    <w:basedOn w:val="1"/>
    <w:next w:val="1"/>
    <w:autoRedefine/>
    <w:qFormat/>
    <w:uiPriority w:val="0"/>
    <w:pPr>
      <w:ind w:left="200" w:leftChars="200" w:hanging="200" w:hanging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常用样式（方正仿宋简）"/>
    <w:basedOn w:val="22"/>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2">
    <w:name w:val="正文1"/>
    <w:next w:val="2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_Style 2"/>
    <w:basedOn w:val="1"/>
    <w:autoRedefine/>
    <w:qFormat/>
    <w:uiPriority w:val="34"/>
    <w:pPr>
      <w:ind w:firstLine="420" w:firstLineChars="200"/>
    </w:pPr>
  </w:style>
  <w:style w:type="paragraph" w:customStyle="1" w:styleId="24">
    <w:name w:val="正文文本1"/>
    <w:basedOn w:val="22"/>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7">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8">
    <w:name w:val="font21"/>
    <w:basedOn w:val="20"/>
    <w:autoRedefine/>
    <w:qFormat/>
    <w:uiPriority w:val="0"/>
    <w:rPr>
      <w:rFonts w:hint="eastAsia" w:ascii="宋体" w:hAnsi="宋体" w:eastAsia="宋体" w:cs="宋体"/>
      <w:color w:val="000000"/>
      <w:sz w:val="20"/>
      <w:szCs w:val="20"/>
      <w:u w:val="none"/>
    </w:rPr>
  </w:style>
  <w:style w:type="paragraph" w:customStyle="1" w:styleId="29">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0">
    <w:name w:val="font71"/>
    <w:basedOn w:val="20"/>
    <w:autoRedefine/>
    <w:qFormat/>
    <w:uiPriority w:val="0"/>
    <w:rPr>
      <w:rFonts w:hint="eastAsia" w:ascii="宋体" w:hAnsi="宋体" w:eastAsia="宋体" w:cs="宋体"/>
      <w:color w:val="000000"/>
      <w:sz w:val="22"/>
      <w:szCs w:val="22"/>
      <w:u w:val="none"/>
    </w:rPr>
  </w:style>
  <w:style w:type="paragraph" w:customStyle="1" w:styleId="31">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867</Words>
  <Characters>895</Characters>
  <Lines>0</Lines>
  <Paragraphs>0</Paragraphs>
  <TotalTime>11</TotalTime>
  <ScaleCrop>false</ScaleCrop>
  <LinksUpToDate>false</LinksUpToDate>
  <CharactersWithSpaces>904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白公子</cp:lastModifiedBy>
  <cp:lastPrinted>2024-05-21T02:27:40Z</cp:lastPrinted>
  <dcterms:modified xsi:type="dcterms:W3CDTF">2024-05-21T02:28:57Z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770FC33594934BA7A1849BCD676E20C8_13</vt:lpwstr>
  </property>
</Properties>
</file>