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line="480" w:lineRule="auto"/>
        <w:jc w:val="center"/>
        <w:rPr>
          <w:rFonts w:hint="default" w:ascii="Times New Roman" w:hAnsi="Times New Roman" w:eastAsia="宋体" w:cs="Times New Roman"/>
          <w:sz w:val="28"/>
          <w:szCs w:val="28"/>
          <w:lang w:val="en-US" w:eastAsia="zh-CN"/>
        </w:rPr>
      </w:pPr>
    </w:p>
    <w:p>
      <w:pPr>
        <w:spacing w:before="240" w:line="480" w:lineRule="auto"/>
        <w:jc w:val="center"/>
        <w:rPr>
          <w:rFonts w:hint="default" w:ascii="Times New Roman" w:hAnsi="Times New Roman" w:cs="Times New Roman"/>
          <w:szCs w:val="21"/>
        </w:rPr>
      </w:pPr>
    </w:p>
    <w:p>
      <w:pPr>
        <w:adjustRightInd w:val="0"/>
        <w:snapToGrid w:val="0"/>
        <w:spacing w:line="360" w:lineRule="auto"/>
        <w:jc w:val="center"/>
        <w:rPr>
          <w:rFonts w:hint="default" w:ascii="Times New Roman" w:hAnsi="Times New Roman" w:eastAsia="Arial Unicode MS" w:cs="Times New Roman"/>
          <w:sz w:val="72"/>
          <w:szCs w:val="72"/>
        </w:rPr>
      </w:pPr>
      <w:r>
        <w:rPr>
          <w:rFonts w:hint="default" w:ascii="Times New Roman" w:hAnsi="Times New Roman" w:eastAsia="Arial Unicode MS" w:cs="Times New Roman"/>
          <w:sz w:val="72"/>
          <w:szCs w:val="72"/>
        </w:rPr>
        <w:t>建设项目环境影响报告表</w:t>
      </w:r>
    </w:p>
    <w:p>
      <w:pPr>
        <w:adjustRightInd w:val="0"/>
        <w:snapToGrid w:val="0"/>
        <w:jc w:val="center"/>
        <w:rPr>
          <w:rFonts w:hint="default" w:ascii="Times New Roman" w:hAnsi="Times New Roman" w:eastAsia="楷体_GB2312" w:cs="Times New Roman"/>
          <w:bCs/>
          <w:sz w:val="48"/>
          <w:szCs w:val="48"/>
        </w:rPr>
      </w:pPr>
      <w:r>
        <w:rPr>
          <w:rFonts w:hint="default" w:ascii="Times New Roman" w:hAnsi="Times New Roman" w:eastAsia="楷体_GB2312" w:cs="Times New Roman"/>
          <w:bCs/>
          <w:sz w:val="48"/>
          <w:szCs w:val="48"/>
        </w:rPr>
        <w:t>（污染影响类）</w:t>
      </w:r>
    </w:p>
    <w:p>
      <w:pPr>
        <w:adjustRightInd w:val="0"/>
        <w:snapToGrid w:val="0"/>
        <w:jc w:val="center"/>
        <w:rPr>
          <w:rFonts w:hint="default" w:ascii="Times New Roman" w:hAnsi="Times New Roman" w:eastAsia="楷体_GB2312" w:cs="Times New Roman"/>
          <w:bCs/>
          <w:sz w:val="48"/>
          <w:szCs w:val="48"/>
        </w:rPr>
      </w:pPr>
      <w:r>
        <w:rPr>
          <w:rFonts w:hint="default" w:ascii="Times New Roman" w:hAnsi="Times New Roman" w:eastAsia="楷体_GB2312" w:cs="Times New Roman"/>
          <w:bCs/>
          <w:sz w:val="48"/>
          <w:szCs w:val="48"/>
        </w:rPr>
        <w:t>（</w:t>
      </w:r>
      <w:r>
        <w:rPr>
          <w:rFonts w:hint="eastAsia" w:eastAsia="楷体_GB2312" w:cs="Times New Roman"/>
          <w:bCs/>
          <w:sz w:val="48"/>
          <w:szCs w:val="48"/>
          <w:lang w:val="en-US" w:eastAsia="zh-CN"/>
        </w:rPr>
        <w:t>公示本</w:t>
      </w:r>
      <w:r>
        <w:rPr>
          <w:rFonts w:hint="default" w:ascii="Times New Roman" w:hAnsi="Times New Roman" w:eastAsia="楷体_GB2312" w:cs="Times New Roman"/>
          <w:bCs/>
          <w:sz w:val="48"/>
          <w:szCs w:val="48"/>
        </w:rPr>
        <w:t>）</w:t>
      </w:r>
    </w:p>
    <w:p>
      <w:pPr>
        <w:adjustRightInd w:val="0"/>
        <w:snapToGrid w:val="0"/>
        <w:spacing w:line="288" w:lineRule="auto"/>
        <w:jc w:val="center"/>
        <w:rPr>
          <w:rFonts w:hint="default" w:ascii="Times New Roman" w:hAnsi="Times New Roman" w:eastAsia="楷体_GB2312" w:cs="Times New Roman"/>
          <w:color w:val="000000"/>
          <w:kern w:val="44"/>
          <w:sz w:val="44"/>
          <w:szCs w:val="44"/>
        </w:rPr>
      </w:pPr>
    </w:p>
    <w:p>
      <w:pPr>
        <w:tabs>
          <w:tab w:val="left" w:pos="6795"/>
        </w:tabs>
        <w:spacing w:line="480" w:lineRule="auto"/>
        <w:jc w:val="left"/>
        <w:rPr>
          <w:rFonts w:hint="default" w:ascii="Times New Roman" w:hAnsi="Times New Roman" w:cs="Times New Roman"/>
          <w:sz w:val="44"/>
          <w:szCs w:val="44"/>
        </w:rPr>
      </w:pPr>
      <w:r>
        <w:rPr>
          <w:rFonts w:hint="default" w:ascii="Times New Roman" w:hAnsi="Times New Roman" w:cs="Times New Roman"/>
          <w:sz w:val="44"/>
          <w:szCs w:val="44"/>
        </w:rPr>
        <w:tab/>
      </w:r>
    </w:p>
    <w:p>
      <w:pPr>
        <w:pStyle w:val="20"/>
        <w:rPr>
          <w:rFonts w:hint="default" w:ascii="Times New Roman" w:hAnsi="Times New Roman" w:cs="Times New Roman"/>
        </w:rPr>
      </w:pPr>
    </w:p>
    <w:p>
      <w:pPr>
        <w:spacing w:before="240" w:line="480" w:lineRule="auto"/>
        <w:jc w:val="center"/>
        <w:rPr>
          <w:rFonts w:hint="default" w:ascii="Times New Roman" w:hAnsi="Times New Roman" w:cs="Times New Roman"/>
          <w:sz w:val="24"/>
        </w:rPr>
      </w:pPr>
    </w:p>
    <w:p>
      <w:pPr>
        <w:tabs>
          <w:tab w:val="left" w:pos="7200"/>
        </w:tabs>
        <w:spacing w:line="360" w:lineRule="auto"/>
        <w:ind w:left="4318" w:leftChars="342" w:hanging="3600" w:hangingChars="1000"/>
        <w:rPr>
          <w:rFonts w:hint="default" w:ascii="Times New Roman" w:hAnsi="Times New Roman" w:eastAsia="仿宋_GB2312" w:cs="Times New Roman"/>
          <w:sz w:val="36"/>
          <w:szCs w:val="36"/>
          <w:u w:val="single"/>
        </w:rPr>
      </w:pPr>
      <w:r>
        <w:rPr>
          <w:rFonts w:hint="default" w:ascii="Times New Roman" w:hAnsi="Times New Roman" w:eastAsia="仿宋_GB2312" w:cs="Times New Roman"/>
          <w:sz w:val="36"/>
          <w:szCs w:val="36"/>
        </w:rPr>
        <w:t>项目名称：</w:t>
      </w:r>
      <w:r>
        <w:rPr>
          <w:rFonts w:hint="default" w:ascii="Times New Roman" w:hAnsi="Times New Roman" w:eastAsia="仿宋_GB2312" w:cs="Times New Roman"/>
          <w:sz w:val="36"/>
          <w:szCs w:val="36"/>
          <w:u w:val="single"/>
        </w:rPr>
        <w:t xml:space="preserve"> </w:t>
      </w:r>
      <w:r>
        <w:rPr>
          <w:rFonts w:hint="eastAsia" w:eastAsia="仿宋_GB2312" w:cs="Times New Roman"/>
          <w:sz w:val="36"/>
          <w:szCs w:val="36"/>
          <w:u w:val="single"/>
          <w:lang w:eastAsia="zh-CN"/>
        </w:rPr>
        <w:t>四川鸿鹏新材料有限公司生物质气化炉集中供热项目</w:t>
      </w:r>
      <w:r>
        <w:rPr>
          <w:rFonts w:hint="default" w:ascii="Times New Roman" w:hAnsi="Times New Roman" w:eastAsia="仿宋_GB2312" w:cs="Times New Roman"/>
          <w:sz w:val="36"/>
          <w:szCs w:val="36"/>
          <w:u w:val="single"/>
        </w:rPr>
        <w:t xml:space="preserve"> </w:t>
      </w:r>
    </w:p>
    <w:p>
      <w:pPr>
        <w:tabs>
          <w:tab w:val="left" w:pos="7200"/>
        </w:tabs>
        <w:spacing w:line="360" w:lineRule="auto"/>
        <w:ind w:left="4318" w:leftChars="342" w:hanging="3600" w:hangingChars="1000"/>
        <w:rPr>
          <w:rFonts w:hint="default" w:ascii="Times New Roman" w:hAnsi="Times New Roman" w:eastAsia="仿宋_GB2312" w:cs="Times New Roman"/>
          <w:sz w:val="36"/>
          <w:szCs w:val="36"/>
          <w:u w:val="single"/>
        </w:rPr>
      </w:pPr>
      <w:r>
        <w:rPr>
          <w:rFonts w:hint="default" w:ascii="Times New Roman" w:hAnsi="Times New Roman" w:eastAsia="仿宋_GB2312" w:cs="Times New Roman"/>
          <w:sz w:val="36"/>
          <w:szCs w:val="36"/>
        </w:rPr>
        <w:t>建设单位：</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eastAsia="zh-CN"/>
        </w:rPr>
        <w:t>四川鸿鹏新材料有限公司</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p>
    <w:p>
      <w:pPr>
        <w:spacing w:line="288" w:lineRule="auto"/>
        <w:ind w:firstLine="720" w:firstLineChars="200"/>
        <w:rPr>
          <w:rFonts w:hint="default" w:ascii="Times New Roman" w:hAnsi="Times New Roman" w:eastAsia="仿宋_GB2312" w:cs="Times New Roman"/>
          <w:sz w:val="36"/>
          <w:szCs w:val="36"/>
          <w:u w:val="single"/>
        </w:rPr>
      </w:pPr>
      <w:r>
        <w:rPr>
          <w:rFonts w:hint="default" w:ascii="Times New Roman" w:hAnsi="Times New Roman" w:eastAsia="仿宋_GB2312" w:cs="Times New Roman"/>
          <w:sz w:val="36"/>
          <w:szCs w:val="36"/>
        </w:rPr>
        <w:t>编制日期：</w:t>
      </w:r>
      <w:r>
        <w:rPr>
          <w:rFonts w:hint="default" w:ascii="Times New Roman" w:hAnsi="Times New Roman" w:eastAsia="仿宋_GB2312" w:cs="Times New Roman"/>
          <w:sz w:val="36"/>
          <w:szCs w:val="36"/>
          <w:u w:val="single"/>
        </w:rPr>
        <w:t xml:space="preserve">         202</w:t>
      </w:r>
      <w:r>
        <w:rPr>
          <w:rFonts w:hint="default" w:ascii="Times New Roman" w:hAnsi="Times New Roman" w:eastAsia="仿宋_GB2312" w:cs="Times New Roman"/>
          <w:sz w:val="36"/>
          <w:szCs w:val="36"/>
          <w:u w:val="single"/>
          <w:lang w:val="en-US" w:eastAsia="zh-CN"/>
        </w:rPr>
        <w:t>4</w:t>
      </w:r>
      <w:r>
        <w:rPr>
          <w:rFonts w:hint="default" w:ascii="Times New Roman" w:hAnsi="Times New Roman" w:eastAsia="仿宋_GB2312" w:cs="Times New Roman"/>
          <w:sz w:val="36"/>
          <w:szCs w:val="36"/>
          <w:u w:val="single"/>
        </w:rPr>
        <w:t xml:space="preserve">年 </w:t>
      </w:r>
      <w:r>
        <w:rPr>
          <w:rFonts w:hint="default" w:ascii="Times New Roman" w:hAnsi="Times New Roman" w:eastAsia="仿宋_GB2312" w:cs="Times New Roman"/>
          <w:sz w:val="36"/>
          <w:szCs w:val="36"/>
          <w:u w:val="single"/>
          <w:lang w:val="en-US" w:eastAsia="zh-CN"/>
        </w:rPr>
        <w:t>0</w:t>
      </w:r>
      <w:r>
        <w:rPr>
          <w:rFonts w:hint="eastAsia" w:eastAsia="仿宋_GB2312" w:cs="Times New Roman"/>
          <w:sz w:val="36"/>
          <w:szCs w:val="36"/>
          <w:u w:val="single"/>
          <w:lang w:val="en-US" w:eastAsia="zh-CN"/>
        </w:rPr>
        <w:t xml:space="preserve">5 </w:t>
      </w:r>
      <w:r>
        <w:rPr>
          <w:rFonts w:hint="default" w:ascii="Times New Roman" w:hAnsi="Times New Roman" w:eastAsia="仿宋_GB2312" w:cs="Times New Roman"/>
          <w:sz w:val="36"/>
          <w:szCs w:val="36"/>
          <w:u w:val="single"/>
        </w:rPr>
        <w:t xml:space="preserve">月   </w:t>
      </w:r>
      <w:r>
        <w:rPr>
          <w:rFonts w:hint="default"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p>
    <w:p>
      <w:pPr>
        <w:jc w:val="right"/>
        <w:rPr>
          <w:rFonts w:hint="default" w:ascii="Times New Roman" w:hAnsi="Times New Roman" w:cs="Times New Roman"/>
          <w:sz w:val="32"/>
          <w:szCs w:val="32"/>
          <w:u w:val="single"/>
        </w:rPr>
      </w:pPr>
    </w:p>
    <w:p>
      <w:pPr>
        <w:jc w:val="left"/>
        <w:rPr>
          <w:rFonts w:hint="default" w:ascii="Times New Roman" w:hAnsi="Times New Roman" w:cs="Times New Roman"/>
          <w:sz w:val="36"/>
          <w:szCs w:val="36"/>
          <w:u w:val="single"/>
        </w:rPr>
      </w:pPr>
    </w:p>
    <w:p>
      <w:pPr>
        <w:jc w:val="left"/>
        <w:rPr>
          <w:rFonts w:hint="default" w:ascii="Times New Roman" w:hAnsi="Times New Roman" w:cs="Times New Roman"/>
          <w:sz w:val="36"/>
          <w:szCs w:val="36"/>
          <w:u w:val="single"/>
        </w:rPr>
      </w:pPr>
    </w:p>
    <w:p>
      <w:pPr>
        <w:jc w:val="center"/>
        <w:rPr>
          <w:rFonts w:hint="default" w:ascii="Times New Roman" w:hAnsi="Times New Roman" w:eastAsia="楷体" w:cs="Times New Roman"/>
          <w:sz w:val="36"/>
          <w:szCs w:val="36"/>
        </w:rPr>
      </w:pPr>
    </w:p>
    <w:p>
      <w:pPr>
        <w:tabs>
          <w:tab w:val="left" w:pos="5254"/>
        </w:tabs>
        <w:jc w:val="left"/>
        <w:rPr>
          <w:rFonts w:hint="default" w:ascii="Times New Roman" w:hAnsi="Times New Roman" w:eastAsia="楷体" w:cs="Times New Roman"/>
          <w:sz w:val="48"/>
          <w:szCs w:val="48"/>
        </w:rPr>
      </w:pPr>
      <w:r>
        <w:rPr>
          <w:rFonts w:hint="default" w:ascii="Times New Roman" w:hAnsi="Times New Roman" w:eastAsia="楷体" w:cs="Times New Roman"/>
          <w:sz w:val="36"/>
          <w:szCs w:val="36"/>
        </w:rPr>
        <w:tab/>
      </w:r>
    </w:p>
    <w:p>
      <w:pPr>
        <w:jc w:val="center"/>
        <w:rPr>
          <w:rFonts w:hint="default" w:ascii="Times New Roman" w:hAnsi="Times New Roman" w:eastAsia="楷体" w:cs="Times New Roman"/>
          <w:sz w:val="36"/>
          <w:szCs w:val="36"/>
        </w:rPr>
      </w:pPr>
      <w:r>
        <w:rPr>
          <w:rFonts w:hint="default" w:ascii="Times New Roman" w:hAnsi="Times New Roman" w:eastAsia="楷体" w:cs="Times New Roman"/>
          <w:sz w:val="36"/>
          <w:szCs w:val="36"/>
        </w:rPr>
        <w:t>中华人民共和国生态环境部制</w:t>
      </w:r>
    </w:p>
    <w:p>
      <w:pPr>
        <w:rPr>
          <w:rFonts w:hint="default" w:ascii="Times New Roman" w:hAnsi="Times New Roman" w:cs="Times New Roman"/>
        </w:rPr>
      </w:pPr>
      <w:r>
        <w:rPr>
          <w:rFonts w:hint="default" w:ascii="Times New Roman" w:hAnsi="Times New Roman" w:eastAsia="楷体" w:cs="Times New Roman"/>
          <w:sz w:val="36"/>
          <w:szCs w:val="36"/>
        </w:rPr>
        <w:br w:type="page"/>
      </w:r>
    </w:p>
    <w:p>
      <w:pPr>
        <w:rPr>
          <w:rFonts w:hint="default" w:ascii="Times New Roman" w:hAnsi="Times New Roman" w:cs="Times New Roman"/>
        </w:rPr>
      </w:pPr>
      <w:r>
        <w:rPr>
          <w:rFonts w:hint="default" w:ascii="Times New Roman" w:hAnsi="Times New Roman" w:cs="Times New Roman"/>
        </w:rPr>
        <w:br w:type="page"/>
      </w:r>
    </w:p>
    <w:p>
      <w:pPr>
        <w:pStyle w:val="20"/>
        <w:rPr>
          <w:rFonts w:hint="default" w:ascii="Times New Roman" w:hAnsi="Times New Roman" w:cs="Times New Roma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1"/>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一、建设项目基本情况</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5"/>
        <w:gridCol w:w="1673"/>
        <w:gridCol w:w="1702"/>
        <w:gridCol w:w="43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5" w:type="dxa"/>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建设项目名称</w:t>
            </w:r>
          </w:p>
        </w:tc>
        <w:tc>
          <w:tcPr>
            <w:tcW w:w="7765" w:type="dxa"/>
            <w:gridSpan w:val="3"/>
            <w:vAlign w:val="center"/>
          </w:tcPr>
          <w:p>
            <w:pPr>
              <w:adjustRightInd w:val="0"/>
              <w:snapToGrid w:val="0"/>
              <w:jc w:val="center"/>
              <w:rPr>
                <w:rFonts w:hint="default" w:ascii="Times New Roman" w:hAnsi="Times New Roman" w:eastAsia="宋体" w:cs="Times New Roman"/>
                <w:color w:val="FF0000"/>
                <w:sz w:val="24"/>
                <w:lang w:eastAsia="zh-CN"/>
              </w:rPr>
            </w:pPr>
            <w:r>
              <w:rPr>
                <w:rFonts w:hint="eastAsia" w:cs="Times New Roman"/>
                <w:kern w:val="0"/>
                <w:sz w:val="24"/>
                <w:lang w:eastAsia="zh-CN"/>
              </w:rPr>
              <w:t>四川鸿鹏新材料有限公司生物质气化炉集中供热项目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5" w:type="dxa"/>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项目代码</w:t>
            </w:r>
          </w:p>
        </w:tc>
        <w:tc>
          <w:tcPr>
            <w:tcW w:w="7765" w:type="dxa"/>
            <w:gridSpan w:val="3"/>
            <w:vAlign w:val="center"/>
          </w:tcPr>
          <w:p>
            <w:pPr>
              <w:adjustRightInd w:val="0"/>
              <w:snapToGrid w:val="0"/>
              <w:jc w:val="center"/>
              <w:rPr>
                <w:rFonts w:hint="default" w:ascii="Times New Roman" w:hAnsi="Times New Roman" w:cs="Times New Roman"/>
                <w:b/>
                <w:color w:val="FF0000"/>
                <w:sz w:val="24"/>
              </w:rPr>
            </w:pPr>
            <w:r>
              <w:rPr>
                <w:rFonts w:hint="default" w:ascii="Times New Roman" w:hAnsi="Times New Roman" w:cs="Times New Roman"/>
                <w:sz w:val="24"/>
                <w:lang w:eastAsia="zh-CN"/>
              </w:rPr>
              <w:t xml:space="preserve">【2403-510923-04-01-239147】FGQB-0058 </w:t>
            </w:r>
            <w:r>
              <w:rPr>
                <w:rFonts w:hint="default" w:ascii="Times New Roman" w:hAnsi="Times New Roman" w:cs="Times New Roman"/>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5" w:type="dxa"/>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建设单位联系人</w:t>
            </w:r>
          </w:p>
        </w:tc>
        <w:tc>
          <w:tcPr>
            <w:tcW w:w="1673" w:type="dxa"/>
            <w:vAlign w:val="center"/>
          </w:tcPr>
          <w:p>
            <w:pPr>
              <w:adjustRightInd w:val="0"/>
              <w:snapToGrid w:val="0"/>
              <w:jc w:val="center"/>
              <w:rPr>
                <w:rFonts w:hint="default" w:ascii="Times New Roman" w:hAnsi="Times New Roman" w:eastAsia="宋体" w:cs="Times New Roman"/>
                <w:sz w:val="24"/>
                <w:lang w:val="en-US" w:eastAsia="zh-CN"/>
              </w:rPr>
            </w:pPr>
            <w:r>
              <w:rPr>
                <w:rFonts w:hint="eastAsia" w:cs="Times New Roman"/>
                <w:sz w:val="24"/>
                <w:lang w:val="en-US" w:eastAsia="zh-CN"/>
              </w:rPr>
              <w:t>***</w:t>
            </w:r>
          </w:p>
        </w:tc>
        <w:tc>
          <w:tcPr>
            <w:tcW w:w="1702"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联系方式</w:t>
            </w:r>
          </w:p>
        </w:tc>
        <w:tc>
          <w:tcPr>
            <w:tcW w:w="4390" w:type="dxa"/>
            <w:vAlign w:val="center"/>
          </w:tcPr>
          <w:p>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cs="Times New Roman"/>
                <w:sz w:val="24"/>
              </w:rPr>
              <w:t>15</w:t>
            </w:r>
            <w:r>
              <w:rPr>
                <w:rFonts w:hint="eastAsia" w:cs="Times New Roman"/>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5" w:type="dxa"/>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建设地点</w:t>
            </w:r>
          </w:p>
        </w:tc>
        <w:tc>
          <w:tcPr>
            <w:tcW w:w="7765" w:type="dxa"/>
            <w:gridSpan w:val="3"/>
            <w:vAlign w:val="center"/>
          </w:tcPr>
          <w:p>
            <w:pPr>
              <w:adjustRightInd w:val="0"/>
              <w:snapToGrid w:val="0"/>
              <w:jc w:val="center"/>
              <w:rPr>
                <w:rFonts w:hint="default" w:ascii="Times New Roman" w:hAnsi="Times New Roman" w:eastAsia="宋体" w:cs="Times New Roman"/>
                <w:color w:val="FF0000"/>
                <w:sz w:val="24"/>
                <w:lang w:eastAsia="zh-CN"/>
              </w:rPr>
            </w:pPr>
            <w:r>
              <w:rPr>
                <w:rFonts w:hint="default" w:ascii="Times New Roman" w:hAnsi="Times New Roman" w:cs="Times New Roman"/>
                <w:sz w:val="24"/>
                <w:lang w:eastAsia="zh-CN"/>
              </w:rPr>
              <w:t>四川省遂宁市大英县隆盛镇席家沟村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5" w:type="dxa"/>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地理坐标</w:t>
            </w:r>
          </w:p>
        </w:tc>
        <w:tc>
          <w:tcPr>
            <w:tcW w:w="7765" w:type="dxa"/>
            <w:gridSpan w:val="3"/>
            <w:vAlign w:val="center"/>
          </w:tcPr>
          <w:p>
            <w:pPr>
              <w:jc w:val="center"/>
              <w:rPr>
                <w:rFonts w:hint="default" w:ascii="Times New Roman" w:hAnsi="Times New Roman" w:cs="Times New Roman"/>
                <w:color w:val="FF0000"/>
                <w:sz w:val="24"/>
              </w:rPr>
            </w:pPr>
            <w:r>
              <w:rPr>
                <w:rFonts w:hint="default" w:ascii="Times New Roman" w:hAnsi="Times New Roman" w:cs="Times New Roman"/>
                <w:sz w:val="24"/>
              </w:rPr>
              <w:t>（</w:t>
            </w:r>
            <w:r>
              <w:rPr>
                <w:rFonts w:hint="default" w:ascii="Times New Roman" w:hAnsi="Times New Roman" w:cs="Times New Roman"/>
                <w:sz w:val="24"/>
                <w:u w:val="single"/>
              </w:rPr>
              <w:t xml:space="preserve"> 10</w:t>
            </w:r>
            <w:r>
              <w:rPr>
                <w:rFonts w:hint="default" w:ascii="Times New Roman" w:hAnsi="Times New Roman" w:cs="Times New Roman"/>
                <w:sz w:val="24"/>
                <w:u w:val="single"/>
                <w:lang w:val="en-US" w:eastAsia="zh-CN"/>
              </w:rPr>
              <w:t>5</w:t>
            </w:r>
            <w:r>
              <w:rPr>
                <w:rFonts w:hint="default" w:ascii="Times New Roman" w:hAnsi="Times New Roman" w:cs="Times New Roman"/>
                <w:sz w:val="24"/>
                <w:u w:val="single"/>
              </w:rPr>
              <w:t xml:space="preserve"> </w:t>
            </w:r>
            <w:r>
              <w:rPr>
                <w:rFonts w:hint="default" w:ascii="Times New Roman" w:hAnsi="Times New Roman" w:cs="Times New Roman"/>
                <w:sz w:val="24"/>
              </w:rPr>
              <w:t>度</w:t>
            </w:r>
            <w:r>
              <w:rPr>
                <w:rFonts w:hint="default" w:ascii="Times New Roman" w:hAnsi="Times New Roman" w:cs="Times New Roman"/>
                <w:sz w:val="24"/>
                <w:u w:val="single"/>
              </w:rPr>
              <w:t xml:space="preserve"> </w:t>
            </w:r>
            <w:r>
              <w:rPr>
                <w:rFonts w:hint="default" w:ascii="Times New Roman" w:hAnsi="Times New Roman" w:cs="Times New Roman"/>
                <w:sz w:val="24"/>
                <w:u w:val="single"/>
                <w:lang w:val="en-US" w:eastAsia="zh-CN"/>
              </w:rPr>
              <w:t>18</w:t>
            </w:r>
            <w:r>
              <w:rPr>
                <w:rFonts w:hint="default" w:ascii="Times New Roman" w:hAnsi="Times New Roman" w:cs="Times New Roman"/>
                <w:sz w:val="24"/>
                <w:u w:val="single"/>
              </w:rPr>
              <w:t xml:space="preserve"> </w:t>
            </w:r>
            <w:r>
              <w:rPr>
                <w:rFonts w:hint="default" w:ascii="Times New Roman" w:hAnsi="Times New Roman" w:cs="Times New Roman"/>
                <w:sz w:val="24"/>
              </w:rPr>
              <w:t>分</w:t>
            </w:r>
            <w:r>
              <w:rPr>
                <w:rFonts w:hint="default" w:ascii="Times New Roman" w:hAnsi="Times New Roman" w:cs="Times New Roman"/>
                <w:sz w:val="24"/>
                <w:u w:val="single"/>
              </w:rPr>
              <w:t xml:space="preserve"> </w:t>
            </w:r>
            <w:r>
              <w:rPr>
                <w:rFonts w:hint="default" w:ascii="Times New Roman" w:hAnsi="Times New Roman" w:cs="Times New Roman"/>
                <w:sz w:val="24"/>
                <w:u w:val="single"/>
                <w:lang w:val="en-US" w:eastAsia="zh-CN"/>
              </w:rPr>
              <w:t>30.294</w:t>
            </w:r>
            <w:r>
              <w:rPr>
                <w:rFonts w:hint="default" w:ascii="Times New Roman" w:hAnsi="Times New Roman" w:cs="Times New Roman"/>
                <w:sz w:val="24"/>
                <w:u w:val="single"/>
              </w:rPr>
              <w:t xml:space="preserve"> </w:t>
            </w:r>
            <w:r>
              <w:rPr>
                <w:rFonts w:hint="default" w:ascii="Times New Roman" w:hAnsi="Times New Roman" w:cs="Times New Roman"/>
                <w:sz w:val="24"/>
              </w:rPr>
              <w:t>秒，</w:t>
            </w:r>
            <w:r>
              <w:rPr>
                <w:rFonts w:hint="default" w:ascii="Times New Roman" w:hAnsi="Times New Roman" w:cs="Times New Roman"/>
                <w:sz w:val="24"/>
                <w:u w:val="single"/>
              </w:rPr>
              <w:t xml:space="preserve"> 30 </w:t>
            </w:r>
            <w:r>
              <w:rPr>
                <w:rFonts w:hint="default" w:ascii="Times New Roman" w:hAnsi="Times New Roman" w:cs="Times New Roman"/>
                <w:sz w:val="24"/>
              </w:rPr>
              <w:t>度</w:t>
            </w:r>
            <w:r>
              <w:rPr>
                <w:rFonts w:hint="default" w:ascii="Times New Roman" w:hAnsi="Times New Roman" w:cs="Times New Roman"/>
                <w:sz w:val="24"/>
                <w:u w:val="single"/>
              </w:rPr>
              <w:t xml:space="preserve"> </w:t>
            </w:r>
            <w:r>
              <w:rPr>
                <w:rFonts w:hint="default" w:ascii="Times New Roman" w:hAnsi="Times New Roman" w:cs="Times New Roman"/>
                <w:sz w:val="24"/>
                <w:u w:val="single"/>
                <w:lang w:val="en-US" w:eastAsia="zh-CN"/>
              </w:rPr>
              <w:t>36</w:t>
            </w:r>
            <w:r>
              <w:rPr>
                <w:rFonts w:hint="default" w:ascii="Times New Roman" w:hAnsi="Times New Roman" w:cs="Times New Roman"/>
                <w:sz w:val="24"/>
                <w:u w:val="single"/>
              </w:rPr>
              <w:t xml:space="preserve"> </w:t>
            </w:r>
            <w:r>
              <w:rPr>
                <w:rFonts w:hint="default" w:ascii="Times New Roman" w:hAnsi="Times New Roman" w:cs="Times New Roman"/>
                <w:sz w:val="24"/>
              </w:rPr>
              <w:t>分</w:t>
            </w:r>
            <w:r>
              <w:rPr>
                <w:rFonts w:hint="default" w:ascii="Times New Roman" w:hAnsi="Times New Roman" w:cs="Times New Roman"/>
                <w:sz w:val="24"/>
                <w:u w:val="single"/>
              </w:rPr>
              <w:t xml:space="preserve"> 1.321  </w:t>
            </w:r>
            <w:r>
              <w:rPr>
                <w:rFonts w:hint="default" w:ascii="Times New Roman" w:hAnsi="Times New Roman" w:cs="Times New Roman"/>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05" w:type="dxa"/>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国民经济</w:t>
            </w:r>
          </w:p>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行业类别</w:t>
            </w:r>
          </w:p>
        </w:tc>
        <w:tc>
          <w:tcPr>
            <w:tcW w:w="1673"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D4430 热力生产和供应</w:t>
            </w:r>
          </w:p>
        </w:tc>
        <w:tc>
          <w:tcPr>
            <w:tcW w:w="1702" w:type="dxa"/>
            <w:vAlign w:val="center"/>
          </w:tcPr>
          <w:p>
            <w:pPr>
              <w:adjustRightInd w:val="0"/>
              <w:snapToGrid w:val="0"/>
              <w:jc w:val="center"/>
              <w:rPr>
                <w:rFonts w:hint="default" w:ascii="Times New Roman" w:hAnsi="Times New Roman" w:cs="Times New Roman"/>
                <w:sz w:val="24"/>
              </w:rPr>
            </w:pPr>
            <w:bookmarkStart w:id="0" w:name="_Hlk49843745"/>
            <w:r>
              <w:rPr>
                <w:rFonts w:hint="default" w:ascii="Times New Roman" w:hAnsi="Times New Roman" w:cs="Times New Roman"/>
                <w:sz w:val="24"/>
              </w:rPr>
              <w:t>建设项目</w:t>
            </w:r>
          </w:p>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行业类别</w:t>
            </w:r>
            <w:bookmarkEnd w:id="0"/>
          </w:p>
        </w:tc>
        <w:tc>
          <w:tcPr>
            <w:tcW w:w="4390" w:type="dxa"/>
            <w:vAlign w:val="center"/>
          </w:tcPr>
          <w:p>
            <w:pPr>
              <w:adjustRightInd w:val="0"/>
              <w:snapToGrid w:val="0"/>
              <w:jc w:val="center"/>
              <w:rPr>
                <w:rFonts w:hint="eastAsia" w:ascii="Times New Roman" w:hAnsi="Times New Roman" w:eastAsia="宋体" w:cs="Times New Roman"/>
                <w:sz w:val="24"/>
                <w:lang w:eastAsia="zh-CN"/>
              </w:rPr>
            </w:pPr>
            <w:r>
              <w:rPr>
                <w:rFonts w:hint="default" w:ascii="Times New Roman" w:hAnsi="Times New Roman" w:cs="Times New Roman"/>
                <w:sz w:val="24"/>
              </w:rPr>
              <w:t>四十一、电力、热力生产和供应业91燃煤、燃油锅炉总容量65吨/小时</w:t>
            </w:r>
            <w:r>
              <w:rPr>
                <w:rFonts w:hint="eastAsia" w:cs="Times New Roman"/>
                <w:sz w:val="24"/>
                <w:lang w:eastAsia="zh-CN"/>
              </w:rPr>
              <w:t>（</w:t>
            </w:r>
            <w:r>
              <w:rPr>
                <w:rFonts w:hint="default" w:ascii="Times New Roman" w:hAnsi="Times New Roman" w:cs="Times New Roman"/>
                <w:sz w:val="24"/>
              </w:rPr>
              <w:t xml:space="preserve"> 45.5兆瓦</w:t>
            </w:r>
            <w:r>
              <w:rPr>
                <w:rFonts w:hint="eastAsia" w:cs="Times New Roman"/>
                <w:sz w:val="24"/>
                <w:lang w:eastAsia="zh-CN"/>
              </w:rPr>
              <w:t>）</w:t>
            </w:r>
            <w:r>
              <w:rPr>
                <w:rFonts w:hint="default" w:ascii="Times New Roman" w:hAnsi="Times New Roman" w:cs="Times New Roman"/>
                <w:sz w:val="24"/>
              </w:rPr>
              <w:t>及以下的；天然气锅炉总容量1吨/小时</w:t>
            </w:r>
            <w:r>
              <w:rPr>
                <w:rFonts w:hint="eastAsia" w:cs="Times New Roman"/>
                <w:sz w:val="24"/>
                <w:lang w:eastAsia="zh-CN"/>
              </w:rPr>
              <w:t>（</w:t>
            </w:r>
            <w:r>
              <w:rPr>
                <w:rFonts w:hint="default" w:ascii="Times New Roman" w:hAnsi="Times New Roman" w:cs="Times New Roman"/>
                <w:sz w:val="24"/>
              </w:rPr>
              <w:t>0.7兆瓦</w:t>
            </w:r>
            <w:r>
              <w:rPr>
                <w:rFonts w:hint="eastAsia" w:cs="Times New Roman"/>
                <w:sz w:val="24"/>
                <w:lang w:eastAsia="zh-CN"/>
              </w:rPr>
              <w:t>）</w:t>
            </w:r>
            <w:r>
              <w:rPr>
                <w:rFonts w:hint="default" w:ascii="Times New Roman" w:hAnsi="Times New Roman" w:cs="Times New Roman"/>
                <w:sz w:val="24"/>
              </w:rPr>
              <w:t>以上的；使用其他高污染燃料的</w:t>
            </w:r>
            <w:r>
              <w:rPr>
                <w:rFonts w:hint="eastAsia" w:cs="Times New Roman"/>
                <w:sz w:val="24"/>
                <w:lang w:eastAsia="zh-CN"/>
              </w:rPr>
              <w:t>（</w:t>
            </w:r>
            <w:r>
              <w:rPr>
                <w:rFonts w:hint="default" w:ascii="Times New Roman" w:hAnsi="Times New Roman" w:cs="Times New Roman"/>
                <w:sz w:val="24"/>
              </w:rPr>
              <w:t>高污染燃料指国环规大气[2017] 2号《高污染燃料目录》中规定的燃料</w:t>
            </w:r>
            <w:r>
              <w:rPr>
                <w:rFonts w:hint="eastAsia" w:cs="Times New Roman"/>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05" w:type="dxa"/>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建设性质</w:t>
            </w:r>
          </w:p>
        </w:tc>
        <w:tc>
          <w:tcPr>
            <w:tcW w:w="1673" w:type="dxa"/>
            <w:vAlign w:val="center"/>
          </w:tcPr>
          <w:p>
            <w:pPr>
              <w:jc w:val="left"/>
              <w:rPr>
                <w:rFonts w:hint="default" w:ascii="Times New Roman" w:hAnsi="Times New Roman" w:cs="Times New Roman"/>
                <w:sz w:val="24"/>
              </w:rPr>
            </w:pPr>
            <w:r>
              <w:rPr>
                <w:rFonts w:hint="eastAsia" w:cs="Times New Roman"/>
                <w:sz w:val="24"/>
                <w:lang w:eastAsia="zh-CN"/>
              </w:rPr>
              <w:t>☑（</w:t>
            </w:r>
            <w:r>
              <w:rPr>
                <w:rFonts w:hint="default" w:ascii="Times New Roman" w:hAnsi="Times New Roman" w:cs="Times New Roman"/>
                <w:sz w:val="24"/>
              </w:rPr>
              <w:t>新建（迁建）</w:t>
            </w:r>
          </w:p>
          <w:p>
            <w:pPr>
              <w:jc w:val="left"/>
              <w:rPr>
                <w:rFonts w:hint="default" w:ascii="Times New Roman" w:hAnsi="Times New Roman" w:cs="Times New Roman"/>
                <w:sz w:val="24"/>
              </w:rPr>
            </w:pPr>
            <w:r>
              <w:rPr>
                <w:rFonts w:hint="eastAsia" w:cs="Times New Roman"/>
                <w:sz w:val="24"/>
                <w:lang w:eastAsia="zh-CN"/>
              </w:rPr>
              <w:t>□</w:t>
            </w:r>
            <w:r>
              <w:rPr>
                <w:rFonts w:hint="default" w:ascii="Times New Roman" w:hAnsi="Times New Roman" w:cs="Times New Roman"/>
                <w:sz w:val="24"/>
              </w:rPr>
              <w:t>改建</w:t>
            </w:r>
          </w:p>
          <w:p>
            <w:pPr>
              <w:jc w:val="left"/>
              <w:rPr>
                <w:rFonts w:hint="default" w:ascii="Times New Roman" w:hAnsi="Times New Roman" w:cs="Times New Roman"/>
                <w:sz w:val="24"/>
              </w:rPr>
            </w:pPr>
            <w:r>
              <w:rPr>
                <w:rFonts w:hint="eastAsia" w:cs="Times New Roman"/>
                <w:sz w:val="24"/>
                <w:lang w:eastAsia="zh-CN"/>
              </w:rPr>
              <w:t>□</w:t>
            </w:r>
            <w:r>
              <w:rPr>
                <w:rFonts w:hint="default" w:ascii="Times New Roman" w:hAnsi="Times New Roman" w:cs="Times New Roman"/>
                <w:sz w:val="24"/>
              </w:rPr>
              <w:t>扩建</w:t>
            </w:r>
          </w:p>
          <w:p>
            <w:pPr>
              <w:jc w:val="left"/>
              <w:rPr>
                <w:rFonts w:hint="default" w:ascii="Times New Roman" w:hAnsi="Times New Roman" w:cs="Times New Roman"/>
                <w:sz w:val="24"/>
              </w:rPr>
            </w:pPr>
            <w:r>
              <w:rPr>
                <w:rFonts w:hint="eastAsia" w:cs="Times New Roman"/>
                <w:sz w:val="24"/>
                <w:lang w:eastAsia="zh-CN"/>
              </w:rPr>
              <w:t>□</w:t>
            </w:r>
            <w:r>
              <w:rPr>
                <w:rFonts w:hint="default" w:ascii="Times New Roman" w:hAnsi="Times New Roman" w:cs="Times New Roman"/>
                <w:sz w:val="24"/>
              </w:rPr>
              <w:t>技术改造</w:t>
            </w:r>
          </w:p>
        </w:tc>
        <w:tc>
          <w:tcPr>
            <w:tcW w:w="1702"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建设项目</w:t>
            </w:r>
          </w:p>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申报情形</w:t>
            </w:r>
          </w:p>
        </w:tc>
        <w:tc>
          <w:tcPr>
            <w:tcW w:w="4390" w:type="dxa"/>
            <w:vAlign w:val="center"/>
          </w:tcPr>
          <w:p>
            <w:pPr>
              <w:jc w:val="left"/>
              <w:rPr>
                <w:rFonts w:hint="default" w:ascii="Times New Roman" w:hAnsi="Times New Roman" w:cs="Times New Roman"/>
                <w:sz w:val="24"/>
              </w:rPr>
            </w:pPr>
            <w:r>
              <w:rPr>
                <w:rFonts w:hint="eastAsia" w:cs="Times New Roman"/>
                <w:sz w:val="24"/>
                <w:lang w:eastAsia="zh-CN"/>
              </w:rPr>
              <w:t>☑</w:t>
            </w:r>
            <w:r>
              <w:rPr>
                <w:rFonts w:hint="default" w:ascii="Times New Roman" w:hAnsi="Times New Roman" w:cs="Times New Roman"/>
                <w:sz w:val="24"/>
              </w:rPr>
              <w:t xml:space="preserve">首次申报项目             </w:t>
            </w:r>
          </w:p>
          <w:p>
            <w:pPr>
              <w:jc w:val="left"/>
              <w:rPr>
                <w:rFonts w:hint="default" w:ascii="Times New Roman" w:hAnsi="Times New Roman" w:cs="Times New Roman"/>
                <w:sz w:val="24"/>
              </w:rPr>
            </w:pPr>
            <w:r>
              <w:rPr>
                <w:rFonts w:hint="eastAsia" w:cs="Times New Roman"/>
                <w:sz w:val="24"/>
                <w:lang w:eastAsia="zh-CN"/>
              </w:rPr>
              <w:t>□</w:t>
            </w:r>
            <w:r>
              <w:rPr>
                <w:rFonts w:hint="default" w:ascii="Times New Roman" w:hAnsi="Times New Roman" w:cs="Times New Roman"/>
                <w:sz w:val="24"/>
              </w:rPr>
              <w:t>不予批准后再次申报项目</w:t>
            </w:r>
          </w:p>
          <w:p>
            <w:pPr>
              <w:jc w:val="left"/>
              <w:rPr>
                <w:rFonts w:hint="default" w:ascii="Times New Roman" w:hAnsi="Times New Roman" w:cs="Times New Roman"/>
                <w:sz w:val="24"/>
              </w:rPr>
            </w:pPr>
            <w:r>
              <w:rPr>
                <w:rFonts w:hint="eastAsia" w:cs="Times New Roman"/>
                <w:sz w:val="24"/>
                <w:lang w:eastAsia="zh-CN"/>
              </w:rPr>
              <w:t>□</w:t>
            </w:r>
            <w:r>
              <w:rPr>
                <w:rFonts w:hint="default" w:ascii="Times New Roman" w:hAnsi="Times New Roman" w:cs="Times New Roman"/>
                <w:sz w:val="24"/>
              </w:rPr>
              <w:t xml:space="preserve">超五年重新审核项目     </w:t>
            </w:r>
          </w:p>
          <w:p>
            <w:pPr>
              <w:jc w:val="left"/>
              <w:rPr>
                <w:rFonts w:hint="default" w:ascii="Times New Roman" w:hAnsi="Times New Roman" w:cs="Times New Roman"/>
                <w:sz w:val="24"/>
              </w:rPr>
            </w:pPr>
            <w:r>
              <w:rPr>
                <w:rFonts w:hint="eastAsia" w:cs="Times New Roman"/>
                <w:sz w:val="24"/>
                <w:lang w:eastAsia="zh-CN"/>
              </w:rPr>
              <w:t>□</w:t>
            </w:r>
            <w:r>
              <w:rPr>
                <w:rFonts w:hint="default" w:ascii="Times New Roman" w:hAnsi="Times New Roman" w:cs="Times New Roman"/>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05" w:type="dxa"/>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项目审批（核准/</w:t>
            </w:r>
          </w:p>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备案）部门（选填）</w:t>
            </w:r>
          </w:p>
        </w:tc>
        <w:tc>
          <w:tcPr>
            <w:tcW w:w="1673" w:type="dxa"/>
            <w:vAlign w:val="center"/>
          </w:tcPr>
          <w:p>
            <w:pPr>
              <w:adjustRightInd w:val="0"/>
              <w:snapToGrid w:val="0"/>
              <w:jc w:val="center"/>
              <w:rPr>
                <w:rFonts w:hint="default" w:ascii="Times New Roman" w:hAnsi="Times New Roman" w:eastAsia="宋体" w:cs="Times New Roman"/>
                <w:sz w:val="24"/>
                <w:lang w:eastAsia="zh-CN"/>
              </w:rPr>
            </w:pPr>
            <w:r>
              <w:rPr>
                <w:rFonts w:hint="eastAsia" w:cs="Times New Roman"/>
                <w:sz w:val="24"/>
                <w:lang w:eastAsia="zh-CN"/>
              </w:rPr>
              <w:t>大英县发展和改革局</w:t>
            </w:r>
          </w:p>
        </w:tc>
        <w:tc>
          <w:tcPr>
            <w:tcW w:w="1702"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项目审批（核准/</w:t>
            </w:r>
          </w:p>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备案）文号（选填）</w:t>
            </w:r>
          </w:p>
        </w:tc>
        <w:tc>
          <w:tcPr>
            <w:tcW w:w="4390"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lang w:bidi="ar"/>
              </w:rPr>
              <w:t>川投资备</w:t>
            </w:r>
            <w:r>
              <w:rPr>
                <w:rFonts w:hint="default" w:ascii="Times New Roman" w:hAnsi="Times New Roman" w:cs="Times New Roman"/>
                <w:sz w:val="24"/>
                <w:lang w:eastAsia="zh-CN"/>
              </w:rPr>
              <w:t xml:space="preserve">【2403-510923-04-01-239147】FGQB-0058 </w:t>
            </w:r>
            <w:r>
              <w:rPr>
                <w:rFonts w:hint="default" w:ascii="Times New Roman" w:hAnsi="Times New Roman" w:cs="Times New Roman"/>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5" w:type="dxa"/>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总投资（万元）</w:t>
            </w:r>
          </w:p>
        </w:tc>
        <w:tc>
          <w:tcPr>
            <w:tcW w:w="1673"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lang w:val="en-US" w:eastAsia="zh-CN" w:bidi="ar"/>
              </w:rPr>
              <w:t>1</w:t>
            </w:r>
            <w:r>
              <w:rPr>
                <w:rFonts w:hint="default" w:ascii="Times New Roman" w:hAnsi="Times New Roman" w:cs="Times New Roman"/>
                <w:sz w:val="24"/>
                <w:lang w:bidi="ar"/>
              </w:rPr>
              <w:t>000</w:t>
            </w:r>
          </w:p>
        </w:tc>
        <w:tc>
          <w:tcPr>
            <w:tcW w:w="1702" w:type="dxa"/>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环保投资（万元）</w:t>
            </w:r>
          </w:p>
        </w:tc>
        <w:tc>
          <w:tcPr>
            <w:tcW w:w="4390" w:type="dxa"/>
            <w:vAlign w:val="center"/>
          </w:tcPr>
          <w:p>
            <w:pPr>
              <w:adjustRightInd w:val="0"/>
              <w:snapToGrid w:val="0"/>
              <w:jc w:val="center"/>
              <w:rPr>
                <w:rFonts w:hint="default" w:ascii="Times New Roman" w:hAnsi="Times New Roman" w:eastAsia="宋体" w:cs="Times New Roman"/>
                <w:sz w:val="24"/>
                <w:lang w:val="en-US" w:eastAsia="zh-CN"/>
              </w:rPr>
            </w:pPr>
            <w:r>
              <w:rPr>
                <w:rFonts w:hint="eastAsia" w:cs="Times New Roman"/>
                <w:sz w:val="24"/>
                <w:lang w:val="en-US" w:eastAsia="zh-CN" w:bidi="ar"/>
              </w:rPr>
              <w:t>109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5" w:type="dxa"/>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环保投资占比（%）</w:t>
            </w:r>
          </w:p>
        </w:tc>
        <w:tc>
          <w:tcPr>
            <w:tcW w:w="1673" w:type="dxa"/>
            <w:vAlign w:val="center"/>
          </w:tcPr>
          <w:p>
            <w:pPr>
              <w:adjustRightInd w:val="0"/>
              <w:snapToGrid w:val="0"/>
              <w:jc w:val="center"/>
              <w:rPr>
                <w:rFonts w:hint="default" w:ascii="Times New Roman" w:hAnsi="Times New Roman" w:cs="Times New Roman"/>
                <w:sz w:val="24"/>
              </w:rPr>
            </w:pPr>
            <w:r>
              <w:rPr>
                <w:rFonts w:hint="eastAsia" w:cs="Times New Roman"/>
                <w:sz w:val="24"/>
                <w:lang w:val="en-US" w:eastAsia="zh-CN" w:bidi="ar"/>
              </w:rPr>
              <w:t>10.9</w:t>
            </w:r>
            <w:r>
              <w:rPr>
                <w:rFonts w:hint="default" w:ascii="Times New Roman" w:hAnsi="Times New Roman" w:cs="Times New Roman"/>
                <w:sz w:val="24"/>
                <w:lang w:bidi="ar"/>
              </w:rPr>
              <w:t>%</w:t>
            </w:r>
          </w:p>
        </w:tc>
        <w:tc>
          <w:tcPr>
            <w:tcW w:w="1702" w:type="dxa"/>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施工工期</w:t>
            </w:r>
          </w:p>
        </w:tc>
        <w:tc>
          <w:tcPr>
            <w:tcW w:w="4390"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5" w:type="dxa"/>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是否开工建设</w:t>
            </w:r>
          </w:p>
        </w:tc>
        <w:tc>
          <w:tcPr>
            <w:tcW w:w="1673" w:type="dxa"/>
            <w:vAlign w:val="center"/>
          </w:tcPr>
          <w:p>
            <w:pPr>
              <w:adjustRightInd w:val="0"/>
              <w:snapToGrid w:val="0"/>
              <w:rPr>
                <w:rFonts w:hint="default" w:ascii="Times New Roman" w:hAnsi="Times New Roman" w:cs="Times New Roman"/>
                <w:sz w:val="24"/>
              </w:rPr>
            </w:pPr>
            <w:r>
              <w:rPr>
                <w:rFonts w:hint="eastAsia" w:cs="Times New Roman"/>
                <w:sz w:val="24"/>
                <w:lang w:eastAsia="zh-CN"/>
              </w:rPr>
              <w:t>（</w:t>
            </w:r>
            <w:r>
              <w:rPr>
                <w:rFonts w:hint="default" w:ascii="Times New Roman" w:hAnsi="Times New Roman" w:cs="Times New Roman"/>
                <w:sz w:val="24"/>
              </w:rPr>
              <w:t>否</w:t>
            </w:r>
          </w:p>
          <w:p>
            <w:pPr>
              <w:adjustRightInd w:val="0"/>
              <w:snapToGrid w:val="0"/>
              <w:rPr>
                <w:rFonts w:hint="default" w:ascii="Times New Roman" w:hAnsi="Times New Roman" w:cs="Times New Roman"/>
                <w:sz w:val="24"/>
              </w:rPr>
            </w:pPr>
            <w:r>
              <w:rPr>
                <w:rFonts w:hint="eastAsia" w:cs="Times New Roman"/>
                <w:sz w:val="24"/>
                <w:lang w:eastAsia="zh-CN"/>
              </w:rPr>
              <w:t>（</w:t>
            </w:r>
            <w:r>
              <w:rPr>
                <w:rFonts w:hint="default" w:ascii="Times New Roman" w:hAnsi="Times New Roman" w:cs="Times New Roman"/>
                <w:sz w:val="24"/>
              </w:rPr>
              <w:t>是：</w:t>
            </w:r>
            <w:r>
              <w:rPr>
                <w:rFonts w:hint="default" w:ascii="Times New Roman" w:hAnsi="Times New Roman" w:cs="Times New Roman"/>
                <w:sz w:val="24"/>
                <w:u w:val="single"/>
              </w:rPr>
              <w:t xml:space="preserve">             </w:t>
            </w:r>
          </w:p>
        </w:tc>
        <w:tc>
          <w:tcPr>
            <w:tcW w:w="1702" w:type="dxa"/>
            <w:tcMar>
              <w:top w:w="16" w:type="dxa"/>
              <w:left w:w="16" w:type="dxa"/>
              <w:right w:w="16" w:type="dxa"/>
            </w:tcMar>
            <w:vAlign w:val="center"/>
          </w:tcPr>
          <w:p>
            <w:pPr>
              <w:adjustRightInd w:val="0"/>
              <w:snapToGrid w:val="0"/>
              <w:jc w:val="center"/>
              <w:rPr>
                <w:rFonts w:hint="default" w:ascii="Times New Roman" w:hAnsi="Times New Roman" w:cs="Times New Roman"/>
                <w:spacing w:val="-6"/>
                <w:sz w:val="24"/>
              </w:rPr>
            </w:pPr>
            <w:r>
              <w:rPr>
                <w:rFonts w:hint="default" w:ascii="Times New Roman" w:hAnsi="Times New Roman" w:cs="Times New Roman"/>
                <w:spacing w:val="-6"/>
                <w:sz w:val="24"/>
              </w:rPr>
              <w:t>用地（用海）</w:t>
            </w:r>
          </w:p>
          <w:p>
            <w:pPr>
              <w:adjustRightInd w:val="0"/>
              <w:snapToGrid w:val="0"/>
              <w:jc w:val="center"/>
              <w:rPr>
                <w:rFonts w:hint="default" w:ascii="Times New Roman" w:hAnsi="Times New Roman" w:cs="Times New Roman"/>
                <w:sz w:val="24"/>
              </w:rPr>
            </w:pPr>
            <w:r>
              <w:rPr>
                <w:rFonts w:hint="default" w:ascii="Times New Roman" w:hAnsi="Times New Roman" w:cs="Times New Roman"/>
                <w:spacing w:val="-6"/>
                <w:sz w:val="24"/>
              </w:rPr>
              <w:t>面积（m</w:t>
            </w:r>
            <w:r>
              <w:rPr>
                <w:rFonts w:hint="default" w:ascii="Times New Roman" w:hAnsi="Times New Roman" w:cs="Times New Roman"/>
                <w:spacing w:val="-6"/>
                <w:sz w:val="24"/>
                <w:vertAlign w:val="superscript"/>
              </w:rPr>
              <w:t>2</w:t>
            </w:r>
            <w:r>
              <w:rPr>
                <w:rFonts w:hint="default" w:ascii="Times New Roman" w:hAnsi="Times New Roman" w:cs="Times New Roman"/>
                <w:spacing w:val="-6"/>
                <w:sz w:val="24"/>
              </w:rPr>
              <w:t>）</w:t>
            </w:r>
          </w:p>
        </w:tc>
        <w:tc>
          <w:tcPr>
            <w:tcW w:w="4390" w:type="dxa"/>
            <w:vAlign w:val="center"/>
          </w:tcPr>
          <w:p>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bidi="ar"/>
              </w:rPr>
              <w:t>7000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5" w:type="dxa"/>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专项评价设置情况</w:t>
            </w:r>
          </w:p>
        </w:tc>
        <w:tc>
          <w:tcPr>
            <w:tcW w:w="7765" w:type="dxa"/>
            <w:gridSpan w:val="3"/>
            <w:vAlign w:val="center"/>
          </w:tcPr>
          <w:p>
            <w:pPr>
              <w:pStyle w:val="60"/>
              <w:autoSpaceDE w:val="0"/>
              <w:autoSpaceDN w:val="0"/>
              <w:spacing w:before="120" w:beforeLines="50"/>
              <w:ind w:firstLine="480"/>
              <w:jc w:val="left"/>
              <w:rPr>
                <w:rStyle w:val="30"/>
                <w:rFonts w:hint="default" w:ascii="Times New Roman" w:hAnsi="Times New Roman" w:cs="Times New Roman"/>
                <w:kern w:val="0"/>
                <w:sz w:val="24"/>
                <w:szCs w:val="22"/>
              </w:rPr>
            </w:pPr>
            <w:r>
              <w:rPr>
                <w:rStyle w:val="30"/>
                <w:rFonts w:hint="default" w:ascii="Times New Roman" w:hAnsi="Times New Roman" w:cs="Times New Roman"/>
                <w:kern w:val="0"/>
                <w:sz w:val="24"/>
                <w:szCs w:val="22"/>
              </w:rPr>
              <w:t>根据《建设项目环境影响报告表编制技术指南（污染影响类）（试行）》，专项评价设置原则及本项目设置情况如下：</w:t>
            </w:r>
          </w:p>
          <w:p>
            <w:pPr>
              <w:pStyle w:val="60"/>
              <w:autoSpaceDE w:val="0"/>
              <w:autoSpaceDN w:val="0"/>
              <w:ind w:firstLine="422"/>
              <w:rPr>
                <w:rStyle w:val="30"/>
                <w:rFonts w:hint="default" w:ascii="Times New Roman" w:hAnsi="Times New Roman" w:cs="Times New Roman"/>
                <w:b/>
                <w:bCs/>
                <w:kern w:val="0"/>
              </w:rPr>
            </w:pPr>
            <w:r>
              <w:rPr>
                <w:rStyle w:val="30"/>
                <w:rFonts w:hint="default" w:ascii="Times New Roman" w:hAnsi="Times New Roman" w:cs="Times New Roman"/>
                <w:b/>
                <w:bCs/>
                <w:kern w:val="0"/>
              </w:rPr>
              <w:t>表1-1专项评价设置原则及情况</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3339"/>
              <w:gridCol w:w="29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16" w:type="pct"/>
                  <w:vAlign w:val="center"/>
                </w:tcPr>
                <w:p>
                  <w:pPr>
                    <w:pStyle w:val="60"/>
                    <w:spacing w:line="240" w:lineRule="auto"/>
                    <w:ind w:firstLine="0" w:firstLineChars="0"/>
                    <w:rPr>
                      <w:rStyle w:val="30"/>
                      <w:rFonts w:hint="default" w:ascii="Times New Roman" w:hAnsi="Times New Roman" w:cs="Times New Roman"/>
                      <w:b/>
                      <w:bCs/>
                      <w:snapToGrid w:val="0"/>
                      <w:kern w:val="0"/>
                    </w:rPr>
                  </w:pPr>
                  <w:r>
                    <w:rPr>
                      <w:rStyle w:val="30"/>
                      <w:rFonts w:hint="default" w:ascii="Times New Roman" w:hAnsi="Times New Roman" w:cs="Times New Roman"/>
                      <w:b/>
                      <w:bCs/>
                      <w:snapToGrid w:val="0"/>
                      <w:kern w:val="0"/>
                    </w:rPr>
                    <w:t>专项评价的类别</w:t>
                  </w:r>
                </w:p>
              </w:tc>
              <w:tc>
                <w:tcPr>
                  <w:tcW w:w="2212" w:type="pct"/>
                  <w:vAlign w:val="center"/>
                </w:tcPr>
                <w:p>
                  <w:pPr>
                    <w:pStyle w:val="60"/>
                    <w:spacing w:line="240" w:lineRule="auto"/>
                    <w:ind w:firstLine="0" w:firstLineChars="0"/>
                    <w:rPr>
                      <w:rStyle w:val="30"/>
                      <w:rFonts w:hint="default" w:ascii="Times New Roman" w:hAnsi="Times New Roman" w:cs="Times New Roman"/>
                      <w:b/>
                      <w:bCs/>
                      <w:snapToGrid w:val="0"/>
                      <w:kern w:val="0"/>
                    </w:rPr>
                  </w:pPr>
                  <w:r>
                    <w:rPr>
                      <w:rStyle w:val="30"/>
                      <w:rFonts w:hint="default" w:ascii="Times New Roman" w:hAnsi="Times New Roman" w:cs="Times New Roman"/>
                      <w:b/>
                      <w:bCs/>
                      <w:snapToGrid w:val="0"/>
                      <w:kern w:val="0"/>
                    </w:rPr>
                    <w:t>设置原则</w:t>
                  </w:r>
                </w:p>
              </w:tc>
              <w:tc>
                <w:tcPr>
                  <w:tcW w:w="1970" w:type="pct"/>
                  <w:vAlign w:val="center"/>
                </w:tcPr>
                <w:p>
                  <w:pPr>
                    <w:pStyle w:val="60"/>
                    <w:spacing w:line="240" w:lineRule="auto"/>
                    <w:ind w:firstLine="0" w:firstLineChars="0"/>
                    <w:rPr>
                      <w:rStyle w:val="30"/>
                      <w:rFonts w:hint="default" w:ascii="Times New Roman" w:hAnsi="Times New Roman" w:cs="Times New Roman"/>
                      <w:b/>
                      <w:bCs/>
                      <w:snapToGrid w:val="0"/>
                      <w:kern w:val="0"/>
                    </w:rPr>
                  </w:pPr>
                  <w:r>
                    <w:rPr>
                      <w:rStyle w:val="30"/>
                      <w:rFonts w:hint="default" w:ascii="Times New Roman" w:hAnsi="Times New Roman" w:cs="Times New Roman"/>
                      <w:b/>
                      <w:bCs/>
                      <w:snapToGrid w:val="0"/>
                      <w:kern w:val="0"/>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6" w:type="pct"/>
                  <w:vAlign w:val="center"/>
                </w:tcPr>
                <w:p>
                  <w:pPr>
                    <w:pStyle w:val="60"/>
                    <w:spacing w:line="240" w:lineRule="auto"/>
                    <w:ind w:firstLine="0" w:firstLineChars="0"/>
                    <w:rPr>
                      <w:rStyle w:val="30"/>
                      <w:rFonts w:hint="default" w:ascii="Times New Roman" w:hAnsi="Times New Roman" w:cs="Times New Roman"/>
                      <w:b/>
                      <w:bCs/>
                      <w:snapToGrid w:val="0"/>
                      <w:kern w:val="0"/>
                    </w:rPr>
                  </w:pPr>
                  <w:r>
                    <w:rPr>
                      <w:rStyle w:val="30"/>
                      <w:rFonts w:hint="default" w:ascii="Times New Roman" w:hAnsi="Times New Roman" w:cs="Times New Roman"/>
                      <w:b/>
                      <w:bCs/>
                      <w:snapToGrid w:val="0"/>
                      <w:kern w:val="0"/>
                    </w:rPr>
                    <w:t>大气</w:t>
                  </w:r>
                </w:p>
              </w:tc>
              <w:tc>
                <w:tcPr>
                  <w:tcW w:w="2212" w:type="pct"/>
                  <w:vAlign w:val="center"/>
                </w:tcPr>
                <w:p>
                  <w:pPr>
                    <w:pStyle w:val="60"/>
                    <w:spacing w:line="240" w:lineRule="auto"/>
                    <w:ind w:firstLine="0" w:firstLineChars="0"/>
                    <w:rPr>
                      <w:rStyle w:val="30"/>
                      <w:rFonts w:hint="default" w:ascii="Times New Roman" w:hAnsi="Times New Roman" w:cs="Times New Roman"/>
                      <w:snapToGrid w:val="0"/>
                      <w:kern w:val="0"/>
                    </w:rPr>
                  </w:pPr>
                  <w:r>
                    <w:rPr>
                      <w:rStyle w:val="30"/>
                      <w:rFonts w:hint="default" w:ascii="Times New Roman" w:hAnsi="Times New Roman" w:cs="Times New Roman"/>
                      <w:snapToGrid w:val="0"/>
                      <w:kern w:val="0"/>
                    </w:rPr>
                    <w:t>排放废气含有毒有害污染物</w:t>
                  </w:r>
                  <w:r>
                    <w:rPr>
                      <w:rStyle w:val="30"/>
                      <w:rFonts w:hint="default" w:ascii="Times New Roman" w:hAnsi="Times New Roman" w:cs="Times New Roman"/>
                      <w:snapToGrid w:val="0"/>
                      <w:kern w:val="0"/>
                      <w:vertAlign w:val="superscript"/>
                    </w:rPr>
                    <w:t>1</w:t>
                  </w:r>
                  <w:r>
                    <w:rPr>
                      <w:rStyle w:val="30"/>
                      <w:rFonts w:hint="default" w:ascii="Times New Roman" w:hAnsi="Times New Roman" w:cs="Times New Roman"/>
                      <w:snapToGrid w:val="0"/>
                      <w:kern w:val="0"/>
                    </w:rPr>
                    <w:t>、二噁英、苯并[a]芘、氰化物、氯气且厂界外500米范围内有环境空气保护目标</w:t>
                  </w:r>
                  <w:r>
                    <w:rPr>
                      <w:rStyle w:val="30"/>
                      <w:rFonts w:hint="default" w:ascii="Times New Roman" w:hAnsi="Times New Roman" w:cs="Times New Roman"/>
                      <w:snapToGrid w:val="0"/>
                      <w:kern w:val="0"/>
                      <w:vertAlign w:val="superscript"/>
                    </w:rPr>
                    <w:t>2</w:t>
                  </w:r>
                  <w:r>
                    <w:rPr>
                      <w:rStyle w:val="30"/>
                      <w:rFonts w:hint="default" w:ascii="Times New Roman" w:hAnsi="Times New Roman" w:cs="Times New Roman"/>
                      <w:snapToGrid w:val="0"/>
                      <w:kern w:val="0"/>
                    </w:rPr>
                    <w:t>的建设项目</w:t>
                  </w:r>
                </w:p>
              </w:tc>
              <w:tc>
                <w:tcPr>
                  <w:tcW w:w="1970" w:type="pct"/>
                  <w:vAlign w:val="center"/>
                </w:tcPr>
                <w:p>
                  <w:pPr>
                    <w:pStyle w:val="60"/>
                    <w:spacing w:line="240" w:lineRule="auto"/>
                    <w:ind w:firstLine="0" w:firstLineChars="0"/>
                    <w:rPr>
                      <w:rStyle w:val="30"/>
                      <w:rFonts w:hint="default" w:ascii="Times New Roman" w:hAnsi="Times New Roman" w:cs="Times New Roman"/>
                      <w:snapToGrid w:val="0"/>
                      <w:color w:val="auto"/>
                      <w:kern w:val="0"/>
                    </w:rPr>
                  </w:pPr>
                  <w:r>
                    <w:rPr>
                      <w:rStyle w:val="30"/>
                      <w:rFonts w:hint="default" w:ascii="Times New Roman" w:hAnsi="Times New Roman" w:cs="Times New Roman"/>
                      <w:snapToGrid w:val="0"/>
                      <w:color w:val="auto"/>
                      <w:kern w:val="0"/>
                    </w:rPr>
                    <w:t>本项目排放废气为颗粒物、</w:t>
                  </w:r>
                  <w:r>
                    <w:rPr>
                      <w:rStyle w:val="30"/>
                      <w:rFonts w:hint="eastAsia" w:cs="Times New Roman"/>
                      <w:snapToGrid w:val="0"/>
                      <w:color w:val="auto"/>
                      <w:kern w:val="0"/>
                      <w:lang w:val="en-US" w:eastAsia="zh-CN"/>
                    </w:rPr>
                    <w:t>NOx、SO</w:t>
                  </w:r>
                  <w:r>
                    <w:rPr>
                      <w:rStyle w:val="30"/>
                      <w:rFonts w:hint="eastAsia" w:cs="Times New Roman"/>
                      <w:snapToGrid w:val="0"/>
                      <w:color w:val="auto"/>
                      <w:kern w:val="0"/>
                      <w:vertAlign w:val="subscript"/>
                      <w:lang w:val="en-US" w:eastAsia="zh-CN"/>
                    </w:rPr>
                    <w:t>2</w:t>
                  </w:r>
                  <w:r>
                    <w:rPr>
                      <w:rStyle w:val="30"/>
                      <w:rFonts w:hint="default" w:ascii="Times New Roman" w:hAnsi="Times New Roman" w:cs="Times New Roman"/>
                      <w:snapToGrid w:val="0"/>
                      <w:color w:val="auto"/>
                      <w:kern w:val="0"/>
                    </w:rPr>
                    <w:t>等，不涉及《有毒有害大气污染物名录》中有毒有害污染物、二噁英、苯并[a]芘、氰化物、氯气，因此，</w:t>
                  </w:r>
                  <w:r>
                    <w:rPr>
                      <w:rStyle w:val="30"/>
                      <w:rFonts w:hint="default" w:ascii="Times New Roman" w:hAnsi="Times New Roman" w:cs="Times New Roman"/>
                      <w:b/>
                      <w:snapToGrid w:val="0"/>
                      <w:color w:val="auto"/>
                      <w:kern w:val="0"/>
                    </w:rPr>
                    <w:t>项目无需设置大气专项评价。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16" w:type="pct"/>
                  <w:vAlign w:val="center"/>
                </w:tcPr>
                <w:p>
                  <w:pPr>
                    <w:pStyle w:val="60"/>
                    <w:spacing w:line="240" w:lineRule="auto"/>
                    <w:ind w:firstLine="0" w:firstLineChars="0"/>
                    <w:rPr>
                      <w:rStyle w:val="30"/>
                      <w:rFonts w:hint="default" w:ascii="Times New Roman" w:hAnsi="Times New Roman" w:cs="Times New Roman"/>
                      <w:b/>
                      <w:bCs/>
                      <w:snapToGrid w:val="0"/>
                      <w:kern w:val="0"/>
                    </w:rPr>
                  </w:pPr>
                  <w:r>
                    <w:rPr>
                      <w:rStyle w:val="30"/>
                      <w:rFonts w:hint="default" w:ascii="Times New Roman" w:hAnsi="Times New Roman" w:cs="Times New Roman"/>
                      <w:b/>
                      <w:bCs/>
                      <w:snapToGrid w:val="0"/>
                      <w:kern w:val="0"/>
                    </w:rPr>
                    <w:t>地表水</w:t>
                  </w:r>
                </w:p>
              </w:tc>
              <w:tc>
                <w:tcPr>
                  <w:tcW w:w="2212" w:type="pct"/>
                  <w:vAlign w:val="center"/>
                </w:tcPr>
                <w:p>
                  <w:pPr>
                    <w:pStyle w:val="60"/>
                    <w:spacing w:line="240" w:lineRule="auto"/>
                    <w:ind w:firstLine="0" w:firstLineChars="0"/>
                    <w:rPr>
                      <w:rStyle w:val="30"/>
                      <w:rFonts w:hint="default" w:ascii="Times New Roman" w:hAnsi="Times New Roman" w:cs="Times New Roman"/>
                      <w:snapToGrid w:val="0"/>
                      <w:kern w:val="0"/>
                    </w:rPr>
                  </w:pPr>
                  <w:r>
                    <w:rPr>
                      <w:rStyle w:val="30"/>
                      <w:rFonts w:hint="default" w:ascii="Times New Roman" w:hAnsi="Times New Roman" w:cs="Times New Roman"/>
                      <w:snapToGrid w:val="0"/>
                      <w:kern w:val="0"/>
                    </w:rPr>
                    <w:t>新增工业废水直排建设项目（槽罐车外送污水处理厂的除外）；新增废水直排的污水集中处理厂</w:t>
                  </w:r>
                </w:p>
              </w:tc>
              <w:tc>
                <w:tcPr>
                  <w:tcW w:w="1970" w:type="pct"/>
                  <w:vAlign w:val="center"/>
                </w:tcPr>
                <w:p>
                  <w:pPr>
                    <w:pStyle w:val="60"/>
                    <w:spacing w:line="240" w:lineRule="auto"/>
                    <w:ind w:firstLine="0" w:firstLineChars="0"/>
                    <w:rPr>
                      <w:rStyle w:val="30"/>
                      <w:rFonts w:hint="default" w:ascii="Times New Roman" w:hAnsi="Times New Roman" w:cs="Times New Roman"/>
                      <w:snapToGrid w:val="0"/>
                      <w:color w:val="auto"/>
                      <w:kern w:val="0"/>
                    </w:rPr>
                  </w:pPr>
                  <w:r>
                    <w:rPr>
                      <w:rStyle w:val="30"/>
                      <w:rFonts w:hint="default" w:ascii="Times New Roman" w:hAnsi="Times New Roman" w:cs="Times New Roman"/>
                      <w:snapToGrid w:val="0"/>
                      <w:color w:val="auto"/>
                      <w:kern w:val="0"/>
                      <w:u w:val="none"/>
                    </w:rPr>
                    <w:t>生活污水、锅炉废水经预处理池（100m</w:t>
                  </w:r>
                  <w:r>
                    <w:rPr>
                      <w:rStyle w:val="30"/>
                      <w:rFonts w:hint="default" w:ascii="Times New Roman" w:hAnsi="Times New Roman" w:cs="Times New Roman"/>
                      <w:snapToGrid w:val="0"/>
                      <w:color w:val="auto"/>
                      <w:kern w:val="0"/>
                      <w:u w:val="none"/>
                      <w:vertAlign w:val="superscript"/>
                    </w:rPr>
                    <w:t>3</w:t>
                  </w:r>
                  <w:r>
                    <w:rPr>
                      <w:rStyle w:val="30"/>
                      <w:rFonts w:hint="default" w:ascii="Times New Roman" w:hAnsi="Times New Roman" w:cs="Times New Roman"/>
                      <w:snapToGrid w:val="0"/>
                      <w:color w:val="auto"/>
                      <w:kern w:val="0"/>
                      <w:u w:val="none"/>
                    </w:rPr>
                    <w:t>）处理后排放标准后</w:t>
                  </w:r>
                  <w:r>
                    <w:rPr>
                      <w:rStyle w:val="30"/>
                      <w:rFonts w:hint="eastAsia" w:cs="Times New Roman"/>
                      <w:snapToGrid w:val="0"/>
                      <w:color w:val="auto"/>
                      <w:kern w:val="0"/>
                      <w:u w:val="none"/>
                      <w:lang w:val="en-US" w:eastAsia="zh-CN"/>
                    </w:rPr>
                    <w:t>排</w:t>
                  </w:r>
                  <w:r>
                    <w:rPr>
                      <w:rStyle w:val="30"/>
                      <w:rFonts w:hint="default" w:ascii="Times New Roman" w:hAnsi="Times New Roman" w:cs="Times New Roman"/>
                      <w:snapToGrid w:val="0"/>
                      <w:color w:val="auto"/>
                      <w:kern w:val="0"/>
                      <w:u w:val="none"/>
                    </w:rPr>
                    <w:t>入园区污水管网</w:t>
                  </w:r>
                  <w:r>
                    <w:rPr>
                      <w:rStyle w:val="30"/>
                      <w:rFonts w:hint="eastAsia" w:cs="Times New Roman"/>
                      <w:snapToGrid w:val="0"/>
                      <w:color w:val="auto"/>
                      <w:kern w:val="0"/>
                      <w:u w:val="none"/>
                      <w:lang w:eastAsia="zh-CN"/>
                    </w:rPr>
                    <w:t>，</w:t>
                  </w:r>
                  <w:r>
                    <w:rPr>
                      <w:rStyle w:val="30"/>
                      <w:rFonts w:hint="default" w:ascii="Times New Roman" w:hAnsi="Times New Roman" w:cs="Times New Roman"/>
                      <w:snapToGrid w:val="0"/>
                      <w:color w:val="auto"/>
                      <w:kern w:val="0"/>
                      <w:u w:val="none"/>
                    </w:rPr>
                    <w:t>进入大英工业集中区污水处理厂处理达标排入郪江</w:t>
                  </w:r>
                  <w:r>
                    <w:rPr>
                      <w:rStyle w:val="30"/>
                      <w:rFonts w:hint="default" w:ascii="Times New Roman" w:hAnsi="Times New Roman" w:cs="Times New Roman"/>
                      <w:snapToGrid w:val="0"/>
                      <w:color w:val="auto"/>
                      <w:kern w:val="0"/>
                    </w:rPr>
                    <w:t>。因此，</w:t>
                  </w:r>
                  <w:r>
                    <w:rPr>
                      <w:rStyle w:val="30"/>
                      <w:rFonts w:hint="default" w:ascii="Times New Roman" w:hAnsi="Times New Roman" w:cs="Times New Roman"/>
                      <w:b/>
                      <w:snapToGrid w:val="0"/>
                      <w:color w:val="auto"/>
                      <w:kern w:val="0"/>
                    </w:rPr>
                    <w:t>本项目无需设置地表水专项评价。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6" w:type="pct"/>
                  <w:vAlign w:val="center"/>
                </w:tcPr>
                <w:p>
                  <w:pPr>
                    <w:pStyle w:val="60"/>
                    <w:spacing w:line="240" w:lineRule="auto"/>
                    <w:ind w:firstLine="0" w:firstLineChars="0"/>
                    <w:rPr>
                      <w:rStyle w:val="30"/>
                      <w:rFonts w:hint="default" w:ascii="Times New Roman" w:hAnsi="Times New Roman" w:cs="Times New Roman"/>
                      <w:b/>
                      <w:bCs/>
                      <w:snapToGrid w:val="0"/>
                      <w:kern w:val="0"/>
                    </w:rPr>
                  </w:pPr>
                  <w:r>
                    <w:rPr>
                      <w:rStyle w:val="30"/>
                      <w:rFonts w:hint="default" w:ascii="Times New Roman" w:hAnsi="Times New Roman" w:cs="Times New Roman"/>
                      <w:b/>
                      <w:bCs/>
                      <w:snapToGrid w:val="0"/>
                      <w:kern w:val="0"/>
                    </w:rPr>
                    <w:t>环境风险</w:t>
                  </w:r>
                </w:p>
              </w:tc>
              <w:tc>
                <w:tcPr>
                  <w:tcW w:w="2212" w:type="pct"/>
                  <w:vAlign w:val="center"/>
                </w:tcPr>
                <w:p>
                  <w:pPr>
                    <w:pStyle w:val="60"/>
                    <w:spacing w:line="240" w:lineRule="auto"/>
                    <w:ind w:firstLine="0" w:firstLineChars="0"/>
                    <w:rPr>
                      <w:rStyle w:val="30"/>
                      <w:rFonts w:hint="default" w:ascii="Times New Roman" w:hAnsi="Times New Roman" w:cs="Times New Roman"/>
                      <w:snapToGrid w:val="0"/>
                      <w:kern w:val="0"/>
                    </w:rPr>
                  </w:pPr>
                  <w:r>
                    <w:rPr>
                      <w:rStyle w:val="30"/>
                      <w:rFonts w:hint="default" w:ascii="Times New Roman" w:hAnsi="Times New Roman" w:cs="Times New Roman"/>
                      <w:snapToGrid w:val="0"/>
                      <w:kern w:val="0"/>
                    </w:rPr>
                    <w:t>有毒有害和易燃易爆危险物质存储量超过临界量</w:t>
                  </w:r>
                  <w:r>
                    <w:rPr>
                      <w:rStyle w:val="30"/>
                      <w:rFonts w:hint="default" w:ascii="Times New Roman" w:hAnsi="Times New Roman" w:cs="Times New Roman"/>
                      <w:snapToGrid w:val="0"/>
                      <w:kern w:val="0"/>
                      <w:vertAlign w:val="superscript"/>
                    </w:rPr>
                    <w:t>3</w:t>
                  </w:r>
                  <w:r>
                    <w:rPr>
                      <w:rStyle w:val="30"/>
                      <w:rFonts w:hint="default" w:ascii="Times New Roman" w:hAnsi="Times New Roman" w:cs="Times New Roman"/>
                      <w:snapToGrid w:val="0"/>
                      <w:kern w:val="0"/>
                    </w:rPr>
                    <w:t>的建设项目</w:t>
                  </w:r>
                </w:p>
              </w:tc>
              <w:tc>
                <w:tcPr>
                  <w:tcW w:w="1970" w:type="pct"/>
                  <w:vAlign w:val="center"/>
                </w:tcPr>
                <w:p>
                  <w:pPr>
                    <w:pStyle w:val="60"/>
                    <w:spacing w:line="240" w:lineRule="auto"/>
                    <w:ind w:firstLine="0" w:firstLineChars="0"/>
                    <w:rPr>
                      <w:rStyle w:val="30"/>
                      <w:rFonts w:hint="default" w:ascii="Times New Roman" w:hAnsi="Times New Roman" w:cs="Times New Roman"/>
                      <w:snapToGrid w:val="0"/>
                      <w:color w:val="auto"/>
                      <w:kern w:val="0"/>
                    </w:rPr>
                  </w:pPr>
                  <w:r>
                    <w:rPr>
                      <w:rStyle w:val="30"/>
                      <w:rFonts w:hint="default" w:ascii="Times New Roman" w:hAnsi="Times New Roman" w:cs="Times New Roman"/>
                      <w:snapToGrid w:val="0"/>
                      <w:color w:val="auto"/>
                      <w:kern w:val="0"/>
                    </w:rPr>
                    <w:t>根据第四章环境风险评价可知，本项目Q&lt;1，风险潜势为I，即有毒有害和易燃易爆危险物质存储量未超过临界量，</w:t>
                  </w:r>
                  <w:r>
                    <w:rPr>
                      <w:rStyle w:val="30"/>
                      <w:rFonts w:hint="default" w:ascii="Times New Roman" w:hAnsi="Times New Roman" w:cs="Times New Roman"/>
                      <w:b/>
                      <w:snapToGrid w:val="0"/>
                      <w:color w:val="auto"/>
                      <w:kern w:val="0"/>
                    </w:rPr>
                    <w:t>无需设置环境风险专项评价。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6" w:type="pct"/>
                  <w:vAlign w:val="center"/>
                </w:tcPr>
                <w:p>
                  <w:pPr>
                    <w:pStyle w:val="60"/>
                    <w:spacing w:line="240" w:lineRule="auto"/>
                    <w:ind w:firstLine="0" w:firstLineChars="0"/>
                    <w:rPr>
                      <w:rStyle w:val="30"/>
                      <w:rFonts w:hint="default" w:ascii="Times New Roman" w:hAnsi="Times New Roman" w:cs="Times New Roman"/>
                      <w:b/>
                      <w:bCs/>
                      <w:snapToGrid w:val="0"/>
                      <w:kern w:val="0"/>
                    </w:rPr>
                  </w:pPr>
                  <w:r>
                    <w:rPr>
                      <w:rStyle w:val="30"/>
                      <w:rFonts w:hint="default" w:ascii="Times New Roman" w:hAnsi="Times New Roman" w:cs="Times New Roman"/>
                      <w:b/>
                      <w:bCs/>
                      <w:snapToGrid w:val="0"/>
                      <w:kern w:val="0"/>
                    </w:rPr>
                    <w:t>生态</w:t>
                  </w:r>
                </w:p>
              </w:tc>
              <w:tc>
                <w:tcPr>
                  <w:tcW w:w="2212" w:type="pct"/>
                  <w:vAlign w:val="center"/>
                </w:tcPr>
                <w:p>
                  <w:pPr>
                    <w:pStyle w:val="60"/>
                    <w:spacing w:line="240" w:lineRule="auto"/>
                    <w:ind w:firstLine="0" w:firstLineChars="0"/>
                    <w:rPr>
                      <w:rStyle w:val="30"/>
                      <w:rFonts w:hint="default" w:ascii="Times New Roman" w:hAnsi="Times New Roman" w:cs="Times New Roman"/>
                      <w:snapToGrid w:val="0"/>
                      <w:kern w:val="0"/>
                    </w:rPr>
                  </w:pPr>
                  <w:r>
                    <w:rPr>
                      <w:rStyle w:val="30"/>
                      <w:rFonts w:hint="default" w:ascii="Times New Roman" w:hAnsi="Times New Roman" w:cs="Times New Roman"/>
                      <w:snapToGrid w:val="0"/>
                      <w:kern w:val="0"/>
                    </w:rPr>
                    <w:t>取水口下游500米范围内有重要水生生物的自然产卵场、索饵场、越冬场和洄游通道的新增河道取水的污染类建设项目</w:t>
                  </w:r>
                </w:p>
              </w:tc>
              <w:tc>
                <w:tcPr>
                  <w:tcW w:w="1970" w:type="pct"/>
                  <w:vAlign w:val="center"/>
                </w:tcPr>
                <w:p>
                  <w:pPr>
                    <w:pStyle w:val="60"/>
                    <w:spacing w:line="240" w:lineRule="auto"/>
                    <w:ind w:firstLine="0" w:firstLineChars="0"/>
                    <w:rPr>
                      <w:rStyle w:val="30"/>
                      <w:rFonts w:hint="default" w:ascii="Times New Roman" w:hAnsi="Times New Roman" w:cs="Times New Roman"/>
                      <w:snapToGrid w:val="0"/>
                      <w:color w:val="auto"/>
                      <w:kern w:val="0"/>
                    </w:rPr>
                  </w:pPr>
                  <w:r>
                    <w:rPr>
                      <w:rStyle w:val="30"/>
                      <w:rFonts w:hint="default" w:ascii="Times New Roman" w:hAnsi="Times New Roman" w:cs="Times New Roman"/>
                      <w:snapToGrid w:val="0"/>
                      <w:color w:val="auto"/>
                      <w:kern w:val="0"/>
                    </w:rPr>
                    <w:t>本项目不涉及取水口，</w:t>
                  </w:r>
                  <w:r>
                    <w:rPr>
                      <w:rStyle w:val="30"/>
                      <w:rFonts w:hint="default" w:ascii="Times New Roman" w:hAnsi="Times New Roman" w:cs="Times New Roman"/>
                      <w:b/>
                      <w:snapToGrid w:val="0"/>
                      <w:color w:val="auto"/>
                      <w:kern w:val="0"/>
                    </w:rPr>
                    <w:t>无需设置生态专项评价。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6" w:type="pct"/>
                  <w:vAlign w:val="center"/>
                </w:tcPr>
                <w:p>
                  <w:pPr>
                    <w:pStyle w:val="60"/>
                    <w:spacing w:line="240" w:lineRule="auto"/>
                    <w:ind w:firstLine="0" w:firstLineChars="0"/>
                    <w:rPr>
                      <w:rStyle w:val="30"/>
                      <w:rFonts w:hint="default" w:ascii="Times New Roman" w:hAnsi="Times New Roman" w:cs="Times New Roman"/>
                      <w:b/>
                      <w:bCs/>
                      <w:snapToGrid w:val="0"/>
                      <w:kern w:val="0"/>
                    </w:rPr>
                  </w:pPr>
                  <w:r>
                    <w:rPr>
                      <w:rStyle w:val="30"/>
                      <w:rFonts w:hint="default" w:ascii="Times New Roman" w:hAnsi="Times New Roman" w:cs="Times New Roman"/>
                      <w:b/>
                      <w:bCs/>
                      <w:snapToGrid w:val="0"/>
                      <w:kern w:val="0"/>
                    </w:rPr>
                    <w:t>海洋</w:t>
                  </w:r>
                </w:p>
              </w:tc>
              <w:tc>
                <w:tcPr>
                  <w:tcW w:w="2212" w:type="pct"/>
                  <w:vAlign w:val="center"/>
                </w:tcPr>
                <w:p>
                  <w:pPr>
                    <w:pStyle w:val="60"/>
                    <w:spacing w:line="240" w:lineRule="auto"/>
                    <w:ind w:firstLine="0" w:firstLineChars="0"/>
                    <w:rPr>
                      <w:rStyle w:val="30"/>
                      <w:rFonts w:hint="default" w:ascii="Times New Roman" w:hAnsi="Times New Roman" w:cs="Times New Roman"/>
                      <w:snapToGrid w:val="0"/>
                      <w:kern w:val="0"/>
                    </w:rPr>
                  </w:pPr>
                  <w:r>
                    <w:rPr>
                      <w:rStyle w:val="30"/>
                      <w:rFonts w:hint="default" w:ascii="Times New Roman" w:hAnsi="Times New Roman" w:cs="Times New Roman"/>
                      <w:snapToGrid w:val="0"/>
                      <w:kern w:val="0"/>
                    </w:rPr>
                    <w:t>直接向海排放污染物的海洋工程建设项目</w:t>
                  </w:r>
                </w:p>
              </w:tc>
              <w:tc>
                <w:tcPr>
                  <w:tcW w:w="1970" w:type="pct"/>
                  <w:vAlign w:val="center"/>
                </w:tcPr>
                <w:p>
                  <w:pPr>
                    <w:pStyle w:val="60"/>
                    <w:spacing w:line="240" w:lineRule="auto"/>
                    <w:ind w:firstLine="0" w:firstLineChars="0"/>
                    <w:rPr>
                      <w:rStyle w:val="30"/>
                      <w:rFonts w:hint="default" w:ascii="Times New Roman" w:hAnsi="Times New Roman" w:cs="Times New Roman"/>
                      <w:snapToGrid w:val="0"/>
                      <w:color w:val="auto"/>
                      <w:kern w:val="0"/>
                    </w:rPr>
                  </w:pPr>
                  <w:r>
                    <w:rPr>
                      <w:rStyle w:val="30"/>
                      <w:rFonts w:hint="default" w:ascii="Times New Roman" w:hAnsi="Times New Roman" w:cs="Times New Roman"/>
                      <w:snapToGrid w:val="0"/>
                      <w:color w:val="auto"/>
                      <w:kern w:val="0"/>
                    </w:rPr>
                    <w:t>本项目不涉及海洋工程，</w:t>
                  </w:r>
                  <w:r>
                    <w:rPr>
                      <w:rStyle w:val="30"/>
                      <w:rFonts w:hint="default" w:ascii="Times New Roman" w:hAnsi="Times New Roman" w:cs="Times New Roman"/>
                      <w:b/>
                      <w:snapToGrid w:val="0"/>
                      <w:color w:val="auto"/>
                      <w:kern w:val="0"/>
                    </w:rPr>
                    <w:t>无需设置海洋生态评价。</w:t>
                  </w:r>
                </w:p>
              </w:tc>
            </w:tr>
          </w:tbl>
          <w:p>
            <w:pPr>
              <w:autoSpaceDE w:val="0"/>
              <w:autoSpaceDN w:val="0"/>
              <w:rPr>
                <w:rFonts w:hint="default" w:ascii="Times New Roman" w:hAnsi="Times New Roman" w:cs="Times New Roman"/>
              </w:rPr>
            </w:pPr>
            <w:r>
              <w:rPr>
                <w:rFonts w:hint="default" w:ascii="Times New Roman" w:hAnsi="Times New Roman" w:cs="Times New Roman"/>
              </w:rPr>
              <w:t>注：1.废气中有毒有害污染物指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b/>
                <w:bCs/>
              </w:rPr>
              <w:t>综上所述，本项目无需设置专项评价。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1105" w:type="dxa"/>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sz w:val="24"/>
              </w:rPr>
              <w:t>规划情况</w:t>
            </w:r>
          </w:p>
        </w:tc>
        <w:tc>
          <w:tcPr>
            <w:tcW w:w="7765" w:type="dxa"/>
            <w:gridSpan w:val="3"/>
            <w:vAlign w:val="top"/>
          </w:tcPr>
          <w:p>
            <w:pPr>
              <w:autoSpaceDE w:val="0"/>
              <w:autoSpaceDN w:val="0"/>
              <w:adjustRightInd w:val="0"/>
              <w:snapToGrid w:val="0"/>
              <w:spacing w:line="360" w:lineRule="auto"/>
              <w:rPr>
                <w:rStyle w:val="30"/>
                <w:rFonts w:hint="default" w:ascii="Times New Roman" w:hAnsi="Times New Roman" w:cs="Times New Roman"/>
                <w:kern w:val="0"/>
                <w:sz w:val="24"/>
                <w:szCs w:val="22"/>
              </w:rPr>
            </w:pPr>
            <w:r>
              <w:rPr>
                <w:rStyle w:val="30"/>
                <w:rFonts w:hint="default" w:ascii="Times New Roman" w:hAnsi="Times New Roman" w:cs="Times New Roman"/>
                <w:kern w:val="0"/>
                <w:sz w:val="24"/>
                <w:szCs w:val="22"/>
              </w:rPr>
              <w:t>规划名称：《大英县工业集中发展区规划》；</w:t>
            </w:r>
          </w:p>
          <w:p>
            <w:pPr>
              <w:autoSpaceDE w:val="0"/>
              <w:autoSpaceDN w:val="0"/>
              <w:adjustRightInd w:val="0"/>
              <w:snapToGrid w:val="0"/>
              <w:spacing w:line="360" w:lineRule="auto"/>
              <w:rPr>
                <w:rStyle w:val="30"/>
                <w:rFonts w:hint="default" w:ascii="Times New Roman" w:hAnsi="Times New Roman" w:cs="Times New Roman"/>
                <w:kern w:val="0"/>
                <w:sz w:val="24"/>
                <w:szCs w:val="22"/>
              </w:rPr>
            </w:pPr>
            <w:r>
              <w:rPr>
                <w:rStyle w:val="30"/>
                <w:rFonts w:hint="default" w:ascii="Times New Roman" w:hAnsi="Times New Roman" w:cs="Times New Roman"/>
                <w:kern w:val="0"/>
                <w:sz w:val="24"/>
                <w:szCs w:val="22"/>
              </w:rPr>
              <w:t>审批机关：中共大英县委；</w:t>
            </w:r>
          </w:p>
          <w:p>
            <w:pPr>
              <w:autoSpaceDE w:val="0"/>
              <w:autoSpaceDN w:val="0"/>
              <w:adjustRightInd w:val="0"/>
              <w:snapToGrid w:val="0"/>
              <w:spacing w:line="360" w:lineRule="auto"/>
              <w:rPr>
                <w:rFonts w:hint="default" w:ascii="Times New Roman" w:hAnsi="Times New Roman" w:cs="Times New Roman"/>
                <w:kern w:val="0"/>
                <w:sz w:val="24"/>
              </w:rPr>
            </w:pPr>
            <w:r>
              <w:rPr>
                <w:rStyle w:val="30"/>
                <w:rFonts w:hint="default" w:ascii="Times New Roman" w:hAnsi="Times New Roman" w:cs="Times New Roman"/>
                <w:kern w:val="0"/>
                <w:sz w:val="24"/>
                <w:szCs w:val="22"/>
              </w:rPr>
              <w:t>审批文件名</w:t>
            </w:r>
            <w:r>
              <w:rPr>
                <w:rStyle w:val="30"/>
                <w:rFonts w:hint="default" w:ascii="Times New Roman" w:hAnsi="Times New Roman" w:cs="Times New Roman"/>
                <w:kern w:val="0"/>
                <w:sz w:val="24"/>
                <w:szCs w:val="22"/>
                <w:lang w:val="en-US" w:eastAsia="zh-CN"/>
              </w:rPr>
              <w:t>号</w:t>
            </w:r>
            <w:r>
              <w:rPr>
                <w:rStyle w:val="30"/>
                <w:rFonts w:hint="default" w:ascii="Times New Roman" w:hAnsi="Times New Roman" w:cs="Times New Roman"/>
                <w:kern w:val="0"/>
                <w:sz w:val="24"/>
                <w:szCs w:val="22"/>
              </w:rPr>
              <w:t>：大委发【2001】31号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105"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规划环境影响</w:t>
            </w:r>
          </w:p>
          <w:p>
            <w:pPr>
              <w:adjustRightInd w:val="0"/>
              <w:snapToGrid w:val="0"/>
              <w:jc w:val="center"/>
              <w:rPr>
                <w:rFonts w:hint="default" w:ascii="Times New Roman" w:hAnsi="Times New Roman" w:cs="Times New Roman"/>
                <w:kern w:val="0"/>
                <w:sz w:val="24"/>
              </w:rPr>
            </w:pPr>
            <w:r>
              <w:rPr>
                <w:rFonts w:hint="default" w:ascii="Times New Roman" w:hAnsi="Times New Roman" w:cs="Times New Roman"/>
                <w:sz w:val="24"/>
              </w:rPr>
              <w:t>评价情况</w:t>
            </w:r>
          </w:p>
        </w:tc>
        <w:tc>
          <w:tcPr>
            <w:tcW w:w="7765" w:type="dxa"/>
            <w:gridSpan w:val="3"/>
            <w:vAlign w:val="center"/>
          </w:tcPr>
          <w:p>
            <w:pPr>
              <w:adjustRightInd w:val="0"/>
              <w:snapToGrid w:val="0"/>
              <w:spacing w:line="360" w:lineRule="auto"/>
              <w:rPr>
                <w:rFonts w:hint="default" w:ascii="Times New Roman" w:hAnsi="Times New Roman" w:cs="Times New Roman"/>
                <w:kern w:val="0"/>
                <w:sz w:val="24"/>
              </w:rPr>
            </w:pPr>
            <w:r>
              <w:rPr>
                <w:rFonts w:hint="default" w:ascii="Times New Roman" w:hAnsi="Times New Roman" w:cs="Times New Roman"/>
                <w:kern w:val="0"/>
                <w:sz w:val="24"/>
              </w:rPr>
              <w:t>文件名称：四川省生态环境厅关于《四川大英经济开发区规划环境影响</w:t>
            </w:r>
          </w:p>
          <w:p>
            <w:pPr>
              <w:adjustRightInd w:val="0"/>
              <w:snapToGrid w:val="0"/>
              <w:spacing w:line="360" w:lineRule="auto"/>
              <w:rPr>
                <w:rFonts w:hint="default" w:ascii="Times New Roman" w:hAnsi="Times New Roman" w:cs="Times New Roman"/>
                <w:kern w:val="0"/>
                <w:sz w:val="24"/>
              </w:rPr>
            </w:pPr>
            <w:r>
              <w:rPr>
                <w:rFonts w:hint="default" w:ascii="Times New Roman" w:hAnsi="Times New Roman" w:cs="Times New Roman"/>
                <w:kern w:val="0"/>
                <w:sz w:val="24"/>
              </w:rPr>
              <w:t>报告书》的审查意见；</w:t>
            </w:r>
          </w:p>
          <w:p>
            <w:pPr>
              <w:adjustRightInd w:val="0"/>
              <w:snapToGrid w:val="0"/>
              <w:spacing w:line="360" w:lineRule="auto"/>
              <w:rPr>
                <w:rFonts w:hint="default" w:ascii="Times New Roman" w:hAnsi="Times New Roman" w:cs="Times New Roman"/>
                <w:kern w:val="0"/>
                <w:sz w:val="24"/>
              </w:rPr>
            </w:pPr>
            <w:r>
              <w:rPr>
                <w:rFonts w:hint="default" w:ascii="Times New Roman" w:hAnsi="Times New Roman" w:cs="Times New Roman"/>
                <w:kern w:val="0"/>
                <w:sz w:val="24"/>
              </w:rPr>
              <w:t>审查机关：四川省</w:t>
            </w:r>
            <w:r>
              <w:rPr>
                <w:rFonts w:hint="default" w:ascii="Times New Roman" w:hAnsi="Times New Roman" w:cs="Times New Roman"/>
                <w:kern w:val="0"/>
                <w:sz w:val="24"/>
                <w:lang w:val="en-US" w:eastAsia="zh-CN"/>
              </w:rPr>
              <w:t>生态环境</w:t>
            </w:r>
            <w:r>
              <w:rPr>
                <w:rFonts w:hint="default" w:ascii="Times New Roman" w:hAnsi="Times New Roman" w:cs="Times New Roman"/>
                <w:kern w:val="0"/>
                <w:sz w:val="24"/>
              </w:rPr>
              <w:t>厅；</w:t>
            </w:r>
          </w:p>
          <w:p>
            <w:pPr>
              <w:adjustRightInd w:val="0"/>
              <w:snapToGrid w:val="0"/>
              <w:spacing w:line="360" w:lineRule="auto"/>
              <w:rPr>
                <w:rFonts w:hint="default" w:ascii="Times New Roman" w:hAnsi="Times New Roman" w:cs="Times New Roman"/>
                <w:kern w:val="0"/>
                <w:sz w:val="24"/>
              </w:rPr>
            </w:pPr>
            <w:r>
              <w:rPr>
                <w:rFonts w:hint="default" w:ascii="Times New Roman" w:hAnsi="Times New Roman" w:cs="Times New Roman"/>
                <w:kern w:val="0"/>
                <w:sz w:val="24"/>
              </w:rPr>
              <w:t>审批文件名称及文号：（川环建函〔</w:t>
            </w:r>
            <w:r>
              <w:rPr>
                <w:rFonts w:hint="default" w:ascii="Times New Roman" w:hAnsi="Times New Roman" w:cs="Times New Roman"/>
                <w:kern w:val="0"/>
                <w:sz w:val="24"/>
                <w:lang w:val="en-US" w:eastAsia="zh-CN"/>
              </w:rPr>
              <w:t>2019</w:t>
            </w:r>
            <w:r>
              <w:rPr>
                <w:rFonts w:hint="default" w:ascii="Times New Roman" w:hAnsi="Times New Roman" w:cs="Times New Roman"/>
                <w:kern w:val="0"/>
                <w:sz w:val="24"/>
              </w:rPr>
              <w:t>〕</w:t>
            </w:r>
            <w:r>
              <w:rPr>
                <w:rFonts w:hint="default" w:ascii="Times New Roman" w:hAnsi="Times New Roman" w:cs="Times New Roman"/>
                <w:kern w:val="0"/>
                <w:sz w:val="24"/>
                <w:lang w:val="en-US" w:eastAsia="zh-CN"/>
              </w:rPr>
              <w:t>48</w:t>
            </w:r>
            <w:r>
              <w:rPr>
                <w:rFonts w:hint="default" w:ascii="Times New Roman" w:hAnsi="Times New Roman" w:cs="Times New Roman"/>
                <w:kern w:val="0"/>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5" w:type="dxa"/>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规划及规划环境</w:t>
            </w:r>
          </w:p>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影响评价符合性分析</w:t>
            </w:r>
          </w:p>
        </w:tc>
        <w:tc>
          <w:tcPr>
            <w:tcW w:w="7765" w:type="dxa"/>
            <w:gridSpan w:val="3"/>
            <w:vAlign w:val="center"/>
          </w:tcPr>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与《大英县城市总体规划》（2012-2030）的符合性分析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大英县城市总体规划》（2012-2030）明确未来城市发展将围绕</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新型工业县、优秀旅游城、生态示范区</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的目标定位，努力把大英建设成</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成渝走廊上快速崛起的现代产业高地、全国知名旅游目的地、现代生态田园城市</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。空间结构</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一带一心三城五片”，一带：郪江生态景观绿带</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一心：县城中心</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三城（一个主城，北部文化产业新城、东部工业新城）</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五片：文化产业城郊野公园、太吉新区郊野公园、郪江新城郊野公园、蓬莱仙山郊野公园、城东郊野公园等城市周边五片生态郊野公园。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本项目用地性质属于工业用地，本项目位于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四川大英经济开发区</w:t>
            </w:r>
            <w:r>
              <w:rPr>
                <w:rFonts w:hint="default" w:ascii="Times New Roman" w:hAnsi="Times New Roman" w:eastAsia="宋体" w:cs="Times New Roman"/>
                <w:color w:val="000000" w:themeColor="text1"/>
                <w:sz w:val="24"/>
                <w:szCs w:val="24"/>
                <w14:textFill>
                  <w14:solidFill>
                    <w14:schemeClr w14:val="tx1"/>
                  </w14:solidFill>
                </w14:textFill>
              </w:rPr>
              <w:t>内。本项目主要从事</w:t>
            </w:r>
            <w:r>
              <w:rPr>
                <w:rFonts w:hint="eastAsia" w:cs="Times New Roman"/>
                <w:color w:val="000000" w:themeColor="text1"/>
                <w:sz w:val="24"/>
                <w:szCs w:val="24"/>
                <w:lang w:val="en-US" w:eastAsia="zh-CN"/>
                <w14:textFill>
                  <w14:solidFill>
                    <w14:schemeClr w14:val="tx1"/>
                  </w14:solidFill>
                </w14:textFill>
              </w:rPr>
              <w:t>热能生产供应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用地性质与规划相符。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cs="Times New Roman"/>
                <w:b/>
                <w:bCs/>
                <w:i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因此，本项目建设符合《大英县城市总体规划》（2012-2030）</w:t>
            </w:r>
            <w:r>
              <w:rPr>
                <w:rFonts w:hint="default" w:ascii="Times New Roman" w:hAnsi="Times New Roman" w:eastAsia="宋体" w:cs="Times New Roman"/>
                <w:color w:val="000000" w:themeColor="text1"/>
                <w:sz w:val="24"/>
                <w14:textFill>
                  <w14:solidFill>
                    <w14:schemeClr w14:val="tx1"/>
                  </w14:solidFill>
                </w14:textFill>
              </w:rPr>
              <w:t>。</w:t>
            </w:r>
          </w:p>
          <w:p>
            <w:pPr>
              <w:numPr>
                <w:ilvl w:val="0"/>
                <w:numId w:val="0"/>
              </w:num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与</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四川大英经济开发区的规划</w:t>
            </w:r>
            <w:r>
              <w:rPr>
                <w:rFonts w:hint="default" w:ascii="Times New Roman" w:hAnsi="Times New Roman" w:eastAsia="宋体" w:cs="Times New Roman"/>
                <w:b/>
                <w:bCs/>
                <w:color w:val="000000" w:themeColor="text1"/>
                <w:sz w:val="24"/>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（1）与四川大英经济开发区总体规划符合性分析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选址位于四川大英经济开发区（原大英县工业集中发展区）。四川大英经济开发区（以下简称“规划区”）于2001年经大英县人民政府批准成立（中共大英县委[2001]31号）。《大英县工业集中发展区区域环境影响报告书》于2008年通过原四川省环境保护局组织的审查（川环建函[2008]293号）。大英县工业集中发展区规划面积13.1k</w:t>
            </w:r>
            <w:r>
              <w:rPr>
                <w:rFonts w:hint="default" w:ascii="Times New Roman" w:hAnsi="Times New Roman" w:eastAsia="宋体" w:cs="Times New Roman"/>
                <w:color w:val="000000" w:themeColor="text1"/>
                <w:sz w:val="24"/>
                <w:lang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主导产业为化工、纺织、食品和机械制造业。为适应《大英县城市总体规划》（2013-2030年）修编要求，大英县工业集中发展区于2016年启动规划修编工作，同年启动省级经济开发区申报工作，因此规划区以四川大英经济开发区名义进行修编工作，委托编制了《大英县经开区控制性详细规划》。2019年1月，四川大英经济开发区经四川省人民政府批复设立（川府函[2019]20号），主导产业为石化、纺织、机电，核准面积370.67公顷，全部位于本次规划范围内。本次评价以《四川大英经济开发区规划环境影响报告书》及其审查意见（川环建函[2019]48号）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四川大英经济开发区西连射大路，东至隆盛镇打儿窝，南邻达成铁路，北至成南高速公路，规划总用地面积16.0km²，其中工业用地6.48km²。根据规划及规划环评最终确定：四川大英经济开发区沿郪江呈沿江块组团分布，其中，石油化工产业园（梁家坝和红花坝片区），占地630公顷</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盐化工产业园（聂家坝片区），占地176公顷</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机电轻纺产业园（马家坝片区和景家坝片区、梨子坝-尚家坝片区）</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电子产业园（聂家坝片区），占地45公顷</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马家坝-景家坝片区为机械加工产业园，占地160公顷以及配套居住组团。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四川大英经济开发区产业定位为：以石化、纺织、机电等产业为主的综合型园区。</w:t>
            </w:r>
          </w:p>
          <w:p>
            <w:pPr>
              <w:keepNext w:val="0"/>
              <w:keepLines w:val="0"/>
              <w:pageBreakBefore w:val="0"/>
              <w:widowControl w:val="0"/>
              <w:kinsoku/>
              <w:wordWrap/>
              <w:overflowPunct/>
              <w:topLinePunct w:val="0"/>
              <w:autoSpaceDE/>
              <w:autoSpaceDN/>
              <w:bidi w:val="0"/>
              <w:adjustRightInd/>
              <w:snapToGrid/>
              <w:spacing w:line="360" w:lineRule="auto"/>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3264535</wp:posOffset>
                      </wp:positionH>
                      <wp:positionV relativeFrom="paragraph">
                        <wp:posOffset>194310</wp:posOffset>
                      </wp:positionV>
                      <wp:extent cx="1009015" cy="399415"/>
                      <wp:effectExtent l="12700" t="12700" r="26035" b="483235"/>
                      <wp:wrapNone/>
                      <wp:docPr id="12" name="矩形标注 12"/>
                      <wp:cNvGraphicFramePr/>
                      <a:graphic xmlns:a="http://schemas.openxmlformats.org/drawingml/2006/main">
                        <a:graphicData uri="http://schemas.microsoft.com/office/word/2010/wordprocessingShape">
                          <wps:wsp>
                            <wps:cNvSpPr/>
                            <wps:spPr>
                              <a:xfrm>
                                <a:off x="2808605" y="8230870"/>
                                <a:ext cx="1009015" cy="399415"/>
                              </a:xfrm>
                              <a:prstGeom prst="wedgeRectCallout">
                                <a:avLst>
                                  <a:gd name="adj1" fmla="val -9534"/>
                                  <a:gd name="adj2" fmla="val 165103"/>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0000"/>
                                      <w:lang w:val="en-US" w:eastAsia="zh-CN"/>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7.05pt;margin-top:15.3pt;height:31.45pt;width:79.45pt;z-index:251660288;v-text-anchor:middle;mso-width-relative:page;mso-height-relative:page;" filled="f" stroked="t" coordsize="21600,21600" o:gfxdata="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g4EBYtcAAAAJAQAADwAAAAAAAAABACAAAAAiAAAAZHJzL2Rvd25y&#10;ZXYueG1sUEsBAhQAFAAAAAgAh07iQJLwGBmqAgAAMQUAAA4AAAAAAAAAAQAgAAAAJgEAAGRycy9l&#10;Mm9Eb2MueG1sUEsFBgAAAAAGAAYAWQEAAEIGAAAAAA==&#10;" adj="8741,46462">
                      <v:fill on="f" focussize="0,0"/>
                      <v:stroke weight="2pt" color="#000000 [3213]" joinstyle="round"/>
                      <v:imagedata o:title=""/>
                      <o:lock v:ext="edit" aspectratio="f"/>
                      <v:textbox>
                        <w:txbxContent>
                          <w:p>
                            <w:pPr>
                              <w:jc w:val="center"/>
                              <w:rPr>
                                <w:rFonts w:hint="default" w:eastAsia="宋体"/>
                                <w:color w:val="FF0000"/>
                                <w:lang w:val="en-US" w:eastAsia="zh-CN"/>
                              </w:rPr>
                            </w:pPr>
                            <w:r>
                              <w:rPr>
                                <w:rFonts w:hint="eastAsia"/>
                                <w:color w:val="FF0000"/>
                                <w:lang w:val="en-US" w:eastAsia="zh-CN"/>
                              </w:rPr>
                              <w:t>本项目</w:t>
                            </w:r>
                          </w:p>
                        </w:txbxContent>
                      </v:textbox>
                    </v:shape>
                  </w:pict>
                </mc:Fallback>
              </mc:AlternateContent>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4745990" cy="3513455"/>
                  <wp:effectExtent l="0" t="0" r="16510" b="10795"/>
                  <wp:docPr id="7" name="图片 8" descr="附图7 大英县工业集中发展区功能分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附图7 大英县工业集中发展区功能分区规划图"/>
                          <pic:cNvPicPr>
                            <a:picLocks noChangeAspect="1"/>
                          </pic:cNvPicPr>
                        </pic:nvPicPr>
                        <pic:blipFill>
                          <a:blip r:embed="rId7"/>
                          <a:stretch>
                            <a:fillRect/>
                          </a:stretch>
                        </pic:blipFill>
                        <pic:spPr>
                          <a:xfrm>
                            <a:off x="0" y="0"/>
                            <a:ext cx="4745990" cy="3513455"/>
                          </a:xfrm>
                          <a:prstGeom prst="rect">
                            <a:avLst/>
                          </a:prstGeom>
                          <a:noFill/>
                          <a:ln>
                            <a:noFill/>
                          </a:ln>
                        </pic:spPr>
                      </pic:pic>
                    </a:graphicData>
                  </a:graphic>
                </wp:inline>
              </w:drawing>
            </w:r>
          </w:p>
          <w:p>
            <w:pPr>
              <w:pStyle w:val="102"/>
              <w:bidi w:val="0"/>
              <w:spacing w:line="240" w:lineRule="auto"/>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图1-1园区功能分区图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由上图可知</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本项目位于</w:t>
            </w:r>
            <w:r>
              <w:rPr>
                <w:rFonts w:hint="default" w:ascii="Times New Roman" w:hAnsi="Times New Roman" w:cs="Times New Roman"/>
                <w:color w:val="000000" w:themeColor="text1"/>
                <w:sz w:val="24"/>
                <w:szCs w:val="24"/>
                <w:highlight w:val="none"/>
                <w14:textFill>
                  <w14:solidFill>
                    <w14:schemeClr w14:val="tx1"/>
                  </w14:solidFill>
                </w14:textFill>
              </w:rPr>
              <w:t>机电轻纺产业园</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内</w:t>
            </w:r>
            <w:r>
              <w:rPr>
                <w:rFonts w:hint="default" w:ascii="Times New Roman" w:hAnsi="Times New Roman"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四川大英经济开发区环境准入条件及负面清单：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I、</w:t>
            </w:r>
            <w:r>
              <w:rPr>
                <w:rFonts w:hint="default" w:ascii="Times New Roman" w:hAnsi="Times New Roman" w:eastAsia="宋体" w:cs="Times New Roman"/>
                <w:color w:val="000000" w:themeColor="text1"/>
                <w:sz w:val="24"/>
                <w14:textFill>
                  <w14:solidFill>
                    <w14:schemeClr w14:val="tx1"/>
                  </w14:solidFill>
                </w14:textFill>
              </w:rPr>
              <w:t>鼓励类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鼓励发展环境友好的化工新材料和机械制造产业。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与规划区主导产业相配套产业，企业效益明显，对区域不造成明显污染，遵循清洁生产及循环经济的项目。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II、负面清单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—总体原则—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①不符合国家行业准入条件的项目，列入国家产能过剩的项目，列入产业结构指导目录限制及禁止类的项目。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②不符合国家环保法律法规、各类污染防治规划及要求的项目。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③清洁生产水平不能达到行业清洁生产标准二级标准要求或低于全国同类企业先进清洁生产水平的项目。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④与园区生活空间冲突或经环保论证与周边企业、规划用地等环境不相容，与居住区紧邻且存在重大危险源的项目。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⑤禁止新建燃煤火电、金属冶炼、制浆（含废纸制浆）、屠宰、皮革鞣制、铅蓄电池制造、原油炼制、煤化工及发酵制药项目。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⑥禁止新引入印制电路板、集成电路制造、平板及柔性显示器件制造等耗、排水量大的项目。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⑦其他与规划环评要求不符的项目。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区项目建设首先应符合《产业结构调整指导目录（2019年本）》、《产业转移指导目录（2012年本）》、《外商投资产业指导目录（2015年修订）》、《环境保护综合名录（2017年版）》等国家产业政策的要求，其次要符合四川省及遂宁市制定的相关产业政策的要求。清单中包括两类，一类是禁止类，涉及的项目禁止新建、改扩建</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另一类是限制类，意为有条件发展的项目，现状已建项目可保留发展，禁止新建该类项目。</w:t>
            </w:r>
          </w:p>
          <w:p>
            <w:pPr>
              <w:pStyle w:val="2"/>
              <w:adjustRightInd w:val="0"/>
              <w:spacing w:before="0" w:after="0" w:line="360" w:lineRule="auto"/>
              <w:ind w:firstLine="422" w:firstLineChars="20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表1</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四川大英经济开发区主导产业负面清单</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408"/>
              <w:gridCol w:w="3432"/>
              <w:gridCol w:w="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行业</w:t>
                  </w:r>
                </w:p>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分类</w:t>
                  </w: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大/中类</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pacing w:val="-12"/>
                      <w:sz w:val="21"/>
                      <w:szCs w:val="21"/>
                      <w14:textFill>
                        <w14:solidFill>
                          <w14:schemeClr w14:val="tx1"/>
                        </w14:solidFill>
                      </w14:textFill>
                    </w:rPr>
                  </w:pPr>
                  <w:r>
                    <w:rPr>
                      <w:rFonts w:hint="default" w:ascii="Times New Roman" w:hAnsi="Times New Roman" w:cs="Times New Roman"/>
                      <w:b/>
                      <w:bCs/>
                      <w:color w:val="000000" w:themeColor="text1"/>
                      <w:spacing w:val="-12"/>
                      <w:sz w:val="21"/>
                      <w:szCs w:val="21"/>
                      <w14:textFill>
                        <w14:solidFill>
                          <w14:schemeClr w14:val="tx1"/>
                        </w14:solidFill>
                      </w14:textFill>
                    </w:rPr>
                    <w:t>禁止类</w:t>
                  </w:r>
                </w:p>
              </w:tc>
              <w:tc>
                <w:tcPr>
                  <w:tcW w:w="623" w:type="pct"/>
                  <w:tcBorders>
                    <w:tl2br w:val="nil"/>
                    <w:tr2bl w:val="nil"/>
                  </w:tcBorders>
                  <w:noWrap w:val="0"/>
                  <w:vAlign w:val="center"/>
                </w:tcPr>
                <w:p>
                  <w:pPr>
                    <w:widowControl/>
                    <w:autoSpaceDE w:val="0"/>
                    <w:autoSpaceDN w:val="0"/>
                    <w:spacing w:line="240" w:lineRule="auto"/>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限制类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石化</w:t>
                  </w: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251精炼石油产品制造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新建原油炼制、扩建燃料油炼制项目</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油品升级项目除外</w:t>
                  </w:r>
                </w:p>
              </w:tc>
              <w:tc>
                <w:tcPr>
                  <w:tcW w:w="623" w:type="pct"/>
                  <w:tcBorders>
                    <w:tl2br w:val="nil"/>
                    <w:tr2bl w:val="nil"/>
                  </w:tcBorders>
                  <w:noWrap w:val="0"/>
                  <w:vAlign w:val="center"/>
                </w:tcPr>
                <w:p>
                  <w:pPr>
                    <w:widowControl/>
                    <w:spacing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化工</w:t>
                  </w: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261基础化学原料制造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“三酸两碱”（硫酸、盐酸、硝酸，烧碱、纯碱）项目</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氯碱（PVC）项目</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262肥料制造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除合成氨外的肥料制造项目</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合成氨</w:t>
                  </w:r>
                </w:p>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263农药制造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pacing w:val="-12"/>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全部</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pacing w:val="-12"/>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264涂料、油墨、颜料及类似产品制造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涉及有机溶剂使用和挥发性有机物排放的低固份油性涂料生产</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265合成材料</w:t>
                  </w:r>
                  <w:r>
                    <w:rPr>
                      <w:rFonts w:hint="eastAsia" w:cs="Times New Roman"/>
                      <w:color w:val="000000" w:themeColor="text1"/>
                      <w:kern w:val="0"/>
                      <w:sz w:val="21"/>
                      <w:szCs w:val="21"/>
                      <w:lang w:val="en-US" w:eastAsia="zh-CN"/>
                      <w14:textFill>
                        <w14:solidFill>
                          <w14:schemeClr w14:val="tx1"/>
                        </w14:solidFill>
                      </w14:textFill>
                    </w:rPr>
                    <w:t xml:space="preserve"> </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新建、改扩建溶剂型氯丁橡胶类、丁苯热塑性橡胶类、聚氨酯类和聚丙烯酸酯类等通用型胶粘剂生产项目</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石油化学合成材料制造（丙烯、C4馏分下游产品制造除外）</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266专用化学产品制造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动物胶制造</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267炸药、火工及焰火产品制造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全部</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纺织</w:t>
                  </w: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17纺织业</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pacing w:val="-12"/>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涉及印染、染整、脱胶工序或产生缫丝、精炼废水的项目</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pacing w:val="-12"/>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建材</w:t>
                  </w: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201木材加工</w:t>
                  </w:r>
                </w:p>
              </w:tc>
              <w:tc>
                <w:tcPr>
                  <w:tcW w:w="2273" w:type="pct"/>
                  <w:vMerge w:val="restar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涉及有机溶剂使用和挥发性有机物排放的沥青类防水材料生产、人造板项目</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202人造板制造</w:t>
                  </w:r>
                </w:p>
              </w:tc>
              <w:tc>
                <w:tcPr>
                  <w:tcW w:w="2273"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203木质制品制造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使用粉末喷涂、水性涂料及UV涂料以及进入共享喷涂中心的项目除外</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食品</w:t>
                  </w: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食品制造业</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全部</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bl>
          <w:p>
            <w:pPr>
              <w:widowControl/>
              <w:autoSpaceDE w:val="0"/>
              <w:autoSpaceDN w:val="0"/>
              <w:spacing w:line="360" w:lineRule="auto"/>
              <w:ind w:left="420" w:leftChars="200"/>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2</w:t>
            </w: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允许类</w:t>
            </w:r>
          </w:p>
          <w:p>
            <w:pPr>
              <w:widowControl/>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原则上未被列入上述鼓励类、负面清单的属允许发展类，但在具体实施过程中切不可盲目引进项目，应注意按如下原则要求：</w:t>
            </w:r>
          </w:p>
          <w:p>
            <w:pPr>
              <w:widowControl/>
              <w:spacing w:line="360" w:lineRule="auto"/>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对于不属于规划区规划主导产业和重点发展方向的建设项目，若与规划区产业定位有互补作用，或属于规划区重要项目的下游企业，或属于高品质、高附加值、低污染的企业，或</w:t>
            </w:r>
            <w:bookmarkStart w:id="1" w:name="_Hlk42026673"/>
            <w:r>
              <w:rPr>
                <w:rFonts w:hint="default" w:ascii="Times New Roman" w:hAnsi="Times New Roman" w:cs="Times New Roman"/>
                <w:color w:val="000000" w:themeColor="text1"/>
                <w:sz w:val="24"/>
                <w:szCs w:val="24"/>
                <w14:textFill>
                  <w14:solidFill>
                    <w14:schemeClr w14:val="tx1"/>
                  </w14:solidFill>
                </w14:textFill>
              </w:rPr>
              <w:t>有利于规划区实现循环经济理念和可持续发展</w:t>
            </w:r>
            <w:bookmarkEnd w:id="1"/>
            <w:r>
              <w:rPr>
                <w:rFonts w:hint="default" w:ascii="Times New Roman" w:hAnsi="Times New Roman" w:cs="Times New Roman"/>
                <w:color w:val="000000" w:themeColor="text1"/>
                <w:sz w:val="24"/>
                <w:szCs w:val="24"/>
                <w14:textFill>
                  <w14:solidFill>
                    <w14:schemeClr w14:val="tx1"/>
                  </w14:solidFill>
                </w14:textFill>
              </w:rPr>
              <w:t>，这一类企业若在建设项目环评中经论证分析</w:t>
            </w:r>
            <w:bookmarkStart w:id="2" w:name="_Hlk42026692"/>
            <w:r>
              <w:rPr>
                <w:rFonts w:hint="default" w:ascii="Times New Roman" w:hAnsi="Times New Roman" w:cs="Times New Roman"/>
                <w:color w:val="000000" w:themeColor="text1"/>
                <w:sz w:val="24"/>
                <w:szCs w:val="24"/>
                <w14:textFill>
                  <w14:solidFill>
                    <w14:schemeClr w14:val="tx1"/>
                  </w14:solidFill>
                </w14:textFill>
              </w:rPr>
              <w:t>与规划区规划无明显冲突，不会影响规划区规划实施的</w:t>
            </w:r>
            <w:bookmarkEnd w:id="2"/>
            <w:r>
              <w:rPr>
                <w:rFonts w:hint="default" w:ascii="Times New Roman" w:hAnsi="Times New Roman" w:cs="Times New Roman"/>
                <w:color w:val="000000" w:themeColor="text1"/>
                <w:sz w:val="24"/>
                <w:szCs w:val="24"/>
                <w14:textFill>
                  <w14:solidFill>
                    <w14:schemeClr w14:val="tx1"/>
                  </w14:solidFill>
                </w14:textFill>
              </w:rPr>
              <w:t>，建议允许此类建设项目入驻。</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本项目位于</w:t>
            </w:r>
            <w:r>
              <w:rPr>
                <w:rFonts w:hint="default" w:ascii="Times New Roman" w:hAnsi="Times New Roman" w:eastAsia="宋体" w:cs="Times New Roman"/>
                <w:color w:val="000000" w:themeColor="text1"/>
                <w:sz w:val="24"/>
                <w:lang w:val="en-US" w:eastAsia="zh-CN"/>
                <w14:textFill>
                  <w14:solidFill>
                    <w14:schemeClr w14:val="tx1"/>
                  </w14:solidFill>
                </w14:textFill>
              </w:rPr>
              <w:t>四川大英经济开发区</w:t>
            </w:r>
            <w:r>
              <w:rPr>
                <w:rFonts w:hint="default" w:ascii="Times New Roman" w:hAnsi="Times New Roman" w:eastAsia="宋体" w:cs="Times New Roman"/>
                <w:color w:val="000000" w:themeColor="text1"/>
                <w:sz w:val="24"/>
                <w14:textFill>
                  <w14:solidFill>
                    <w14:schemeClr w14:val="tx1"/>
                  </w14:solidFill>
                </w14:textFill>
              </w:rPr>
              <w:t>内</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为</w:t>
            </w:r>
            <w:r>
              <w:rPr>
                <w:rFonts w:hint="default" w:ascii="Times New Roman" w:hAnsi="Times New Roman" w:cs="Times New Roman"/>
                <w:color w:val="000000" w:themeColor="text1"/>
                <w:kern w:val="0"/>
                <w:sz w:val="24"/>
                <w:szCs w:val="24"/>
                <w:lang w:val="en-US" w:eastAsia="zh-CN"/>
                <w14:textFill>
                  <w14:solidFill>
                    <w14:schemeClr w14:val="tx1"/>
                  </w14:solidFill>
                </w14:textFill>
              </w:rPr>
              <w:t>热供应项目</w:t>
            </w:r>
            <w:r>
              <w:rPr>
                <w:rFonts w:hint="default" w:ascii="Times New Roman" w:hAnsi="Times New Roman" w:cs="Times New Roman"/>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属于规划区主导产业相配套产业，为</w:t>
            </w:r>
            <w:r>
              <w:rPr>
                <w:rFonts w:hint="default" w:ascii="Times New Roman" w:hAnsi="Times New Roman" w:cs="Times New Roman"/>
                <w:color w:val="000000" w:themeColor="text1"/>
                <w:kern w:val="0"/>
                <w:sz w:val="24"/>
                <w:szCs w:val="24"/>
                <w14:textFill>
                  <w14:solidFill>
                    <w14:schemeClr w14:val="tx1"/>
                  </w14:solidFill>
                </w14:textFill>
              </w:rPr>
              <w:t>鼓励类，不在四川大英经济开发区环保准入负面清单，但其有利于规划区实现循环经济理念和可持续发展，与规划区规划无明显冲突，不会影响规划区规划实施，属于允许类项目。</w:t>
            </w:r>
            <w:bookmarkStart w:id="3" w:name="_Hlk32072544"/>
            <w:r>
              <w:rPr>
                <w:rFonts w:hint="default" w:ascii="Times New Roman" w:hAnsi="Times New Roman" w:cs="Times New Roman"/>
                <w:color w:val="000000" w:themeColor="text1"/>
                <w:kern w:val="0"/>
                <w:sz w:val="24"/>
                <w:szCs w:val="24"/>
                <w:lang w:val="en-US" w:eastAsia="zh-CN"/>
                <w14:textFill>
                  <w14:solidFill>
                    <w14:schemeClr w14:val="tx1"/>
                  </w14:solidFill>
                </w14:textFill>
              </w:rPr>
              <w:t>可知本项目符合</w:t>
            </w:r>
            <w:r>
              <w:rPr>
                <w:rFonts w:hint="default" w:ascii="Times New Roman" w:hAnsi="Times New Roman" w:cs="Times New Roman"/>
                <w:color w:val="000000" w:themeColor="text1"/>
                <w:kern w:val="0"/>
                <w:sz w:val="24"/>
                <w:szCs w:val="24"/>
                <w14:textFill>
                  <w14:solidFill>
                    <w14:schemeClr w14:val="tx1"/>
                  </w14:solidFill>
                </w14:textFill>
              </w:rPr>
              <w:t>四川大英经济开发区</w:t>
            </w:r>
            <w:r>
              <w:rPr>
                <w:rFonts w:hint="default" w:ascii="Times New Roman" w:hAnsi="Times New Roman" w:cs="Times New Roman"/>
                <w:color w:val="000000" w:themeColor="text1"/>
                <w:kern w:val="0"/>
                <w:sz w:val="24"/>
                <w:szCs w:val="24"/>
                <w:lang w:val="en-US" w:eastAsia="zh-CN"/>
                <w14:textFill>
                  <w14:solidFill>
                    <w14:schemeClr w14:val="tx1"/>
                  </w14:solidFill>
                </w14:textFill>
              </w:rPr>
              <w:t>产业规划和布局要求。</w:t>
            </w:r>
          </w:p>
          <w:bookmarkEnd w:id="3"/>
          <w:p>
            <w:pPr>
              <w:numPr>
                <w:ilvl w:val="0"/>
                <w:numId w:val="0"/>
              </w:numPr>
              <w:spacing w:line="360" w:lineRule="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4、项目与园区规划环评生态环境准入要求符合性分析</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项目与</w:t>
            </w:r>
            <w:r>
              <w:rPr>
                <w:rFonts w:hint="default" w:ascii="Times New Roman" w:hAnsi="Times New Roman" w:cs="Times New Roman"/>
                <w:color w:val="000000" w:themeColor="text1"/>
                <w:sz w:val="24"/>
                <w:szCs w:val="24"/>
                <w:lang w:val="en-US" w:eastAsia="zh-CN"/>
                <w14:textFill>
                  <w14:solidFill>
                    <w14:schemeClr w14:val="tx1"/>
                  </w14:solidFill>
                </w14:textFill>
              </w:rPr>
              <w:t>四川大英经济开发区</w:t>
            </w:r>
            <w:r>
              <w:rPr>
                <w:rFonts w:hint="default" w:ascii="Times New Roman" w:hAnsi="Times New Roman" w:cs="Times New Roman"/>
                <w:color w:val="000000" w:themeColor="text1"/>
                <w:sz w:val="24"/>
                <w:szCs w:val="24"/>
                <w14:textFill>
                  <w14:solidFill>
                    <w14:schemeClr w14:val="tx1"/>
                  </w14:solidFill>
                </w14:textFill>
              </w:rPr>
              <w:t>规划环评及环评批复的符合性见下表。</w:t>
            </w:r>
          </w:p>
          <w:p>
            <w:pPr>
              <w:pStyle w:val="2"/>
              <w:keepNext w:val="0"/>
              <w:keepLines w:val="0"/>
              <w:pageBreakBefore w:val="0"/>
              <w:kinsoku/>
              <w:overflowPunct/>
              <w:topLinePunct w:val="0"/>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表1-</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项目与发展区规划环评及环评批复的符合性</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77"/>
              <w:gridCol w:w="3801"/>
              <w:gridCol w:w="9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规划环评要求</w:t>
                  </w:r>
                </w:p>
              </w:tc>
              <w:tc>
                <w:tcPr>
                  <w:tcW w:w="25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本项目</w:t>
                  </w:r>
                </w:p>
              </w:tc>
              <w:tc>
                <w:tcPr>
                  <w:tcW w:w="6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一</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禁止引入不符合国家行业准入条件的项目，列入国家产能过剩类别的项目，列入产业结构指导目录限制及禁止类的项目。</w:t>
                  </w:r>
                </w:p>
              </w:tc>
              <w:tc>
                <w:tcPr>
                  <w:tcW w:w="251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根据《国民经济行业分类》（GB/T4754-2017），本项目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属于D4430 热力生产和供应，</w:t>
                  </w:r>
                  <w:r>
                    <w:rPr>
                      <w:rFonts w:hint="default" w:ascii="Times New Roman" w:hAnsi="Times New Roman" w:eastAsia="宋体" w:cs="Times New Roman"/>
                      <w:color w:val="000000" w:themeColor="text1"/>
                      <w:sz w:val="21"/>
                      <w:szCs w:val="21"/>
                      <w:highlight w:val="none"/>
                      <w14:textFill>
                        <w14:solidFill>
                          <w14:schemeClr w14:val="tx1"/>
                        </w14:solidFill>
                      </w14:textFill>
                    </w:rPr>
                    <w:t>根据中</w:t>
                  </w:r>
                  <w:r>
                    <w:rPr>
                      <w:rFonts w:hint="default" w:ascii="Times New Roman" w:hAnsi="Times New Roman" w:eastAsia="宋体" w:cs="Times New Roman"/>
                      <w:color w:val="000000" w:themeColor="text1"/>
                      <w:sz w:val="21"/>
                      <w:szCs w:val="21"/>
                      <w14:textFill>
                        <w14:solidFill>
                          <w14:schemeClr w14:val="tx1"/>
                        </w14:solidFill>
                      </w14:textFill>
                    </w:rPr>
                    <w:t>华人民共和国国家发展改革委令第29号文《国家发展改革委关于修改&lt;产业结构调整指导目录（2019年本）》，</w:t>
                  </w:r>
                  <w:r>
                    <w:rPr>
                      <w:rFonts w:hint="default" w:ascii="Times New Roman" w:hAnsi="Times New Roman" w:eastAsia="宋体" w:cs="Times New Roman"/>
                      <w:color w:val="000000" w:themeColor="text1"/>
                      <w:sz w:val="21"/>
                      <w:szCs w:val="21"/>
                      <w:lang w:val="zh-CN"/>
                      <w14:textFill>
                        <w14:solidFill>
                          <w14:schemeClr w14:val="tx1"/>
                        </w14:solidFill>
                      </w14:textFill>
                    </w:rPr>
                    <w:t>本项目不属于“鼓励类”、“限制类”及“淘汰类”之列，为允许类建设项目。</w:t>
                  </w:r>
                </w:p>
              </w:tc>
              <w:tc>
                <w:tcPr>
                  <w:tcW w:w="6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二）禁止引入不符合国家环保法律法规、各类污染防治规</w:t>
                  </w:r>
                  <w:r>
                    <w:rPr>
                      <w:rFonts w:hint="default" w:ascii="Times New Roman" w:hAnsi="Times New Roman" w:cs="Times New Roman"/>
                      <w:color w:val="000000" w:themeColor="text1"/>
                      <w:kern w:val="0"/>
                      <w:sz w:val="21"/>
                      <w:szCs w:val="21"/>
                      <w:lang w:eastAsia="zh-CN"/>
                      <w14:textFill>
                        <w14:solidFill>
                          <w14:schemeClr w14:val="tx1"/>
                        </w14:solidFill>
                      </w14:textFill>
                    </w:rPr>
                    <w:t>划及要求的项目。</w:t>
                  </w:r>
                </w:p>
              </w:tc>
              <w:tc>
                <w:tcPr>
                  <w:tcW w:w="251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本项目位于工业园区内，属于</w:t>
                  </w:r>
                  <w:r>
                    <w:rPr>
                      <w:rFonts w:hint="eastAsia" w:cs="Times New Roman"/>
                      <w:color w:val="000000" w:themeColor="text1"/>
                      <w:kern w:val="0"/>
                      <w:sz w:val="21"/>
                      <w:szCs w:val="21"/>
                      <w:lang w:val="en-US" w:eastAsia="zh-CN"/>
                      <w14:textFill>
                        <w14:solidFill>
                          <w14:schemeClr w14:val="tx1"/>
                        </w14:solidFill>
                      </w14:textFill>
                    </w:rPr>
                    <w:t>热力生产供应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，主要大气污染物为生产过程中产生的粉尘</w:t>
                  </w:r>
                  <w:r>
                    <w:rPr>
                      <w:rFonts w:hint="eastAsia" w:cs="Times New Roman"/>
                      <w:color w:val="000000" w:themeColor="text1"/>
                      <w:sz w:val="21"/>
                      <w:szCs w:val="21"/>
                      <w:lang w:val="en-US" w:eastAsia="zh-CN"/>
                      <w14:textFill>
                        <w14:solidFill>
                          <w14:schemeClr w14:val="tx1"/>
                        </w14:solidFill>
                      </w14:textFill>
                    </w:rPr>
                    <w:t>、SO</w:t>
                  </w:r>
                  <w:r>
                    <w:rPr>
                      <w:rFonts w:hint="eastAsia" w:cs="Times New Roman"/>
                      <w:color w:val="000000" w:themeColor="text1"/>
                      <w:sz w:val="21"/>
                      <w:szCs w:val="21"/>
                      <w:vertAlign w:val="subscript"/>
                      <w:lang w:val="en-US" w:eastAsia="zh-CN"/>
                      <w14:textFill>
                        <w14:solidFill>
                          <w14:schemeClr w14:val="tx1"/>
                        </w14:solidFill>
                      </w14:textFill>
                    </w:rPr>
                    <w:t>2</w:t>
                  </w:r>
                  <w:r>
                    <w:rPr>
                      <w:rFonts w:hint="eastAsia" w:cs="Times New Roman"/>
                      <w:color w:val="000000" w:themeColor="text1"/>
                      <w:sz w:val="21"/>
                      <w:szCs w:val="21"/>
                      <w:vertAlign w:val="baseline"/>
                      <w:lang w:val="en-US" w:eastAsia="zh-CN"/>
                      <w14:textFill>
                        <w14:solidFill>
                          <w14:schemeClr w14:val="tx1"/>
                        </w14:solidFill>
                      </w14:textFill>
                    </w:rPr>
                    <w:t>和NO</w:t>
                  </w:r>
                  <w:r>
                    <w:rPr>
                      <w:rFonts w:hint="eastAsia" w:cs="Times New Roman"/>
                      <w:color w:val="000000" w:themeColor="text1"/>
                      <w:sz w:val="21"/>
                      <w:szCs w:val="21"/>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eastAsia" w:cs="Times New Roman"/>
                      <w:color w:val="000000" w:themeColor="text1"/>
                      <w:sz w:val="21"/>
                      <w:szCs w:val="21"/>
                      <w:lang w:val="en-US" w:eastAsia="zh-CN"/>
                      <w14:textFill>
                        <w14:solidFill>
                          <w14:schemeClr w14:val="tx1"/>
                        </w14:solidFill>
                      </w14:textFill>
                    </w:rPr>
                    <w:t>锅炉废气</w:t>
                  </w:r>
                  <w:r>
                    <w:rPr>
                      <w:rFonts w:hint="default" w:ascii="Times New Roman" w:hAnsi="Times New Roman" w:cs="Times New Roman"/>
                      <w:szCs w:val="21"/>
                    </w:rPr>
                    <w:t>经SCR脱硝+消石灰干法脱硫+旋风布袋除尘器处理后由</w:t>
                  </w:r>
                  <w:r>
                    <w:rPr>
                      <w:rFonts w:hint="eastAsia" w:cs="Times New Roman"/>
                      <w:szCs w:val="21"/>
                      <w:lang w:eastAsia="zh-CN"/>
                    </w:rPr>
                    <w:t>1根40m高</w:t>
                  </w:r>
                  <w:r>
                    <w:rPr>
                      <w:rFonts w:hint="default" w:ascii="Times New Roman" w:hAnsi="Times New Roman" w:cs="Times New Roman"/>
                      <w:szCs w:val="21"/>
                    </w:rPr>
                    <w:t>排气筒排放</w:t>
                  </w:r>
                  <w:r>
                    <w:rPr>
                      <w:rFonts w:hint="default" w:ascii="Times New Roman" w:hAnsi="Times New Roman" w:cs="Times New Roman"/>
                      <w:color w:val="000000" w:themeColor="text1"/>
                      <w:sz w:val="21"/>
                      <w:szCs w:val="21"/>
                      <w:lang w:eastAsia="zh-CN" w:bidi="ar"/>
                      <w14:textFill>
                        <w14:solidFill>
                          <w14:schemeClr w14:val="tx1"/>
                        </w14:solidFill>
                      </w14:textFill>
                    </w:rPr>
                    <w:t>；</w:t>
                  </w:r>
                  <w:r>
                    <w:rPr>
                      <w:rFonts w:hint="default" w:ascii="Times New Roman" w:hAnsi="Times New Roman" w:cs="Times New Roman"/>
                      <w:szCs w:val="21"/>
                    </w:rPr>
                    <w:t>生活污水、锅炉废水经预处理池（</w:t>
                  </w:r>
                  <w:r>
                    <w:rPr>
                      <w:rFonts w:hint="default" w:ascii="Times New Roman" w:hAnsi="Times New Roman" w:cs="Times New Roman"/>
                      <w:szCs w:val="21"/>
                      <w:lang w:val="en-US" w:eastAsia="zh-CN"/>
                    </w:rPr>
                    <w:t>1</w:t>
                  </w:r>
                  <w:r>
                    <w:rPr>
                      <w:rFonts w:hint="default" w:ascii="Times New Roman" w:hAnsi="Times New Roman" w:cs="Times New Roman"/>
                      <w:szCs w:val="21"/>
                    </w:rPr>
                    <w:t>00m</w:t>
                  </w:r>
                  <w:r>
                    <w:rPr>
                      <w:rFonts w:hint="default" w:ascii="Times New Roman" w:hAnsi="Times New Roman" w:cs="Times New Roman"/>
                      <w:szCs w:val="21"/>
                      <w:vertAlign w:val="superscript"/>
                    </w:rPr>
                    <w:t>3</w:t>
                  </w:r>
                  <w:r>
                    <w:rPr>
                      <w:rFonts w:hint="default" w:ascii="Times New Roman" w:hAnsi="Times New Roman" w:cs="Times New Roman"/>
                      <w:szCs w:val="21"/>
                    </w:rPr>
                    <w:t>）处理后，达到排放标准后进入</w:t>
                  </w:r>
                  <w:r>
                    <w:rPr>
                      <w:rFonts w:hint="default" w:ascii="Times New Roman" w:hAnsi="Times New Roman" w:cs="Times New Roman"/>
                      <w:szCs w:val="21"/>
                      <w:lang w:eastAsia="zh-CN"/>
                    </w:rPr>
                    <w:t>园区污水管网</w:t>
                  </w:r>
                  <w:r>
                    <w:rPr>
                      <w:rFonts w:hint="default" w:ascii="Times New Roman" w:hAnsi="Times New Roman" w:cs="Times New Roman"/>
                      <w:szCs w:val="21"/>
                    </w:rPr>
                    <w:t>后进入</w:t>
                  </w:r>
                  <w:r>
                    <w:rPr>
                      <w:rFonts w:hint="default" w:ascii="Times New Roman" w:hAnsi="Times New Roman" w:cs="Times New Roman"/>
                      <w:szCs w:val="21"/>
                      <w:lang w:eastAsia="zh-CN"/>
                    </w:rPr>
                    <w:t>大英工业集中区污水处理厂</w:t>
                  </w:r>
                  <w:r>
                    <w:rPr>
                      <w:rFonts w:hint="default" w:ascii="Times New Roman" w:hAnsi="Times New Roman" w:cs="Times New Roman"/>
                      <w:szCs w:val="21"/>
                    </w:rPr>
                    <w:t>处理达标排入</w:t>
                  </w:r>
                  <w:r>
                    <w:rPr>
                      <w:rFonts w:hint="default" w:ascii="Times New Roman" w:hAnsi="Times New Roman" w:cs="Times New Roman"/>
                      <w:szCs w:val="21"/>
                      <w:lang w:eastAsia="zh-CN"/>
                    </w:rPr>
                    <w:t>郪江</w:t>
                  </w:r>
                  <w:r>
                    <w:rPr>
                      <w:rFonts w:hint="eastAsia" w:cs="Times New Roman"/>
                      <w:szCs w:val="21"/>
                      <w:lang w:eastAsia="zh-CN"/>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本项目符合国家法律法规、符合各类污染防治规划要求</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三）禁止新建燃煤火电、金属冶炼、制浆（含废纸制浆）屠宰、皮革鞣制、铅蓄电池制造、原油炼制、煤化工、印染项目，具体清单见《报告书》。</w:t>
                  </w:r>
                </w:p>
              </w:tc>
              <w:tc>
                <w:tcPr>
                  <w:tcW w:w="251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不涉及</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四</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经开区内现有盛马化工燃料油炼制规模不再扩大。</w:t>
                  </w:r>
                </w:p>
              </w:tc>
              <w:tc>
                <w:tcPr>
                  <w:tcW w:w="251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不涉及</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bl>
          <w:p>
            <w:pPr>
              <w:pStyle w:val="13"/>
              <w:keepNext w:val="0"/>
              <w:keepLines w:val="0"/>
              <w:pageBreakBefore w:val="0"/>
              <w:widowControl/>
              <w:numPr>
                <w:ilvl w:val="0"/>
                <w:numId w:val="0"/>
              </w:numPr>
              <w:kinsoku/>
              <w:wordWrap/>
              <w:overflowPunct/>
              <w:topLinePunct w:val="0"/>
              <w:autoSpaceDE/>
              <w:autoSpaceDN/>
              <w:bidi w:val="0"/>
              <w:adjustRightInd/>
              <w:snapToGrid/>
              <w:ind w:firstLine="482" w:firstLineChars="200"/>
              <w:jc w:val="both"/>
              <w:textAlignment w:val="auto"/>
              <w:rPr>
                <w:rFonts w:hint="default" w:ascii="Times New Roman" w:hAnsi="Times New Roman" w:cs="Times New Roman"/>
                <w:kern w:val="0"/>
                <w:sz w:val="24"/>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综上，本项目符合四川大英经济开发区规划要求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5" w:type="dxa"/>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其他符合性分析</w:t>
            </w:r>
          </w:p>
        </w:tc>
        <w:tc>
          <w:tcPr>
            <w:tcW w:w="7765" w:type="dxa"/>
            <w:gridSpan w:val="3"/>
            <w:vAlign w:val="center"/>
          </w:tcPr>
          <w:p>
            <w:pPr>
              <w:pStyle w:val="72"/>
              <w:keepNext w:val="0"/>
              <w:keepLines w:val="0"/>
              <w:pageBreakBefore w:val="0"/>
              <w:numPr>
                <w:ilvl w:val="0"/>
                <w:numId w:val="1"/>
              </w:numPr>
              <w:kinsoku/>
              <w:wordWrap/>
              <w:overflowPunct/>
              <w:topLinePunct w:val="0"/>
              <w:autoSpaceDE/>
              <w:autoSpaceDN/>
              <w:bidi w:val="0"/>
              <w:spacing w:line="360" w:lineRule="auto"/>
              <w:ind w:left="0" w:right="0" w:firstLine="482" w:firstLineChars="200"/>
              <w:rPr>
                <w:rFonts w:hint="default" w:ascii="Times New Roman" w:hAnsi="Times New Roman" w:cs="Times New Roman"/>
                <w:b/>
                <w:bCs/>
                <w:szCs w:val="24"/>
              </w:rPr>
            </w:pPr>
            <w:r>
              <w:rPr>
                <w:rFonts w:hint="default" w:ascii="Times New Roman" w:hAnsi="Times New Roman" w:cs="Times New Roman"/>
                <w:b/>
                <w:szCs w:val="24"/>
              </w:rPr>
              <w:t>建设项目规划选址符合性分析</w:t>
            </w:r>
          </w:p>
          <w:p>
            <w:pPr>
              <w:pStyle w:val="2"/>
              <w:keepNext w:val="0"/>
              <w:keepLines w:val="0"/>
              <w:pageBreakBefore w:val="0"/>
              <w:kinsoku/>
              <w:wordWrap/>
              <w:overflowPunct/>
              <w:topLinePunct w:val="0"/>
              <w:autoSpaceDE/>
              <w:autoSpaceDN/>
              <w:bidi w:val="0"/>
              <w:adjustRightInd w:val="0"/>
              <w:spacing w:before="0" w:after="0" w:line="360" w:lineRule="auto"/>
              <w:ind w:left="0" w:right="0" w:firstLine="480" w:firstLineChars="200"/>
              <w:rPr>
                <w:rFonts w:hint="default" w:ascii="Times New Roman" w:hAnsi="Times New Roman" w:cs="Times New Roman"/>
                <w:sz w:val="24"/>
                <w:szCs w:val="24"/>
              </w:rPr>
            </w:pPr>
            <w:r>
              <w:rPr>
                <w:rFonts w:hint="default" w:ascii="Times New Roman" w:hAnsi="Times New Roman" w:cs="Times New Roman"/>
                <w:sz w:val="24"/>
                <w:szCs w:val="32"/>
              </w:rPr>
              <w:t>本项目选址于大英县工业集中发展区梁家坝内，土地性质为工业用地。评价范围内无需要特殊保护的敏感目标，无明显环境制约因素。项目对区域环境影响较小，从环保角度分析，项目选址合理</w:t>
            </w:r>
            <w:r>
              <w:rPr>
                <w:rFonts w:hint="default" w:ascii="Times New Roman" w:hAnsi="Times New Roman" w:cs="Times New Roman"/>
                <w:sz w:val="24"/>
                <w:szCs w:val="24"/>
              </w:rPr>
              <w:t>。</w:t>
            </w:r>
          </w:p>
          <w:p>
            <w:pPr>
              <w:pStyle w:val="72"/>
              <w:keepNext w:val="0"/>
              <w:keepLines w:val="0"/>
              <w:pageBreakBefore w:val="0"/>
              <w:kinsoku/>
              <w:wordWrap/>
              <w:overflowPunct/>
              <w:topLinePunct w:val="0"/>
              <w:autoSpaceDE/>
              <w:autoSpaceDN/>
              <w:bidi w:val="0"/>
              <w:snapToGrid w:val="0"/>
              <w:spacing w:line="360" w:lineRule="auto"/>
              <w:ind w:left="0" w:right="0" w:firstLine="482" w:firstLineChars="200"/>
              <w:rPr>
                <w:rFonts w:hint="default" w:ascii="Times New Roman" w:hAnsi="Times New Roman" w:cs="Times New Roman"/>
                <w:b/>
                <w:bCs/>
                <w:szCs w:val="24"/>
              </w:rPr>
            </w:pPr>
            <w:r>
              <w:rPr>
                <w:rFonts w:hint="default" w:ascii="Times New Roman" w:hAnsi="Times New Roman" w:cs="Times New Roman"/>
                <w:b/>
                <w:bCs/>
                <w:szCs w:val="24"/>
              </w:rPr>
              <w:t>2、产业政策符合性分析</w:t>
            </w:r>
          </w:p>
          <w:p>
            <w:pPr>
              <w:keepNext w:val="0"/>
              <w:keepLines w:val="0"/>
              <w:pageBreakBefore w:val="0"/>
              <w:kinsoku/>
              <w:wordWrap/>
              <w:overflowPunct/>
              <w:topLinePunct w:val="0"/>
              <w:autoSpaceDE/>
              <w:autoSpaceDN/>
              <w:bidi w:val="0"/>
              <w:spacing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按照《国民经济行业分类》（GB/T4754-2017），项目属于“D4430 热力生产和供应”类项目。</w:t>
            </w:r>
            <w:r>
              <w:rPr>
                <w:rFonts w:hint="default" w:ascii="Times New Roman" w:hAnsi="Times New Roman" w:cs="Times New Roman"/>
                <w:bCs/>
                <w:sz w:val="24"/>
              </w:rPr>
              <w:t>根据</w:t>
            </w:r>
            <w:r>
              <w:rPr>
                <w:rFonts w:hint="eastAsia" w:cs="Times New Roman"/>
                <w:bCs/>
                <w:sz w:val="24"/>
                <w:lang w:val="en-US" w:eastAsia="zh-CN"/>
              </w:rPr>
              <w:t>2</w:t>
            </w:r>
            <w:r>
              <w:rPr>
                <w:rFonts w:hint="default" w:ascii="Times New Roman" w:hAnsi="Times New Roman" w:cs="Times New Roman"/>
                <w:bCs/>
                <w:sz w:val="24"/>
              </w:rPr>
              <w:t>023年12月27日国家发展改革委令第7号公布</w:t>
            </w:r>
            <w:r>
              <w:rPr>
                <w:rFonts w:hint="eastAsia" w:cs="Times New Roman"/>
                <w:bCs/>
                <w:sz w:val="24"/>
                <w:lang w:val="en-US" w:eastAsia="zh-CN"/>
              </w:rPr>
              <w:t>的</w:t>
            </w:r>
            <w:r>
              <w:rPr>
                <w:rFonts w:hint="default" w:ascii="Times New Roman" w:hAnsi="Times New Roman" w:cs="Times New Roman"/>
                <w:bCs/>
                <w:sz w:val="24"/>
              </w:rPr>
              <w:t>《产业结构调整指导目录（20</w:t>
            </w:r>
            <w:r>
              <w:rPr>
                <w:rFonts w:hint="default" w:ascii="Times New Roman" w:hAnsi="Times New Roman" w:cs="Times New Roman"/>
                <w:bCs/>
                <w:sz w:val="24"/>
                <w:lang w:val="en-US" w:eastAsia="zh-CN"/>
              </w:rPr>
              <w:t>24</w:t>
            </w:r>
            <w:r>
              <w:rPr>
                <w:rFonts w:hint="default" w:ascii="Times New Roman" w:hAnsi="Times New Roman" w:cs="Times New Roman"/>
                <w:bCs/>
                <w:sz w:val="24"/>
              </w:rPr>
              <w:t>本）》的有关规定，本项目“鼓励类”中“四十二、 环境保护与资源节约综合利用”中“</w:t>
            </w:r>
            <w:r>
              <w:rPr>
                <w:rFonts w:hint="eastAsia" w:cs="Times New Roman"/>
                <w:bCs/>
                <w:sz w:val="24"/>
                <w:lang w:val="en-US" w:eastAsia="zh-CN"/>
              </w:rPr>
              <w:t>8</w:t>
            </w:r>
            <w:r>
              <w:rPr>
                <w:rFonts w:hint="default" w:ascii="Times New Roman" w:hAnsi="Times New Roman" w:cs="Times New Roman"/>
                <w:bCs/>
                <w:sz w:val="24"/>
                <w:lang w:val="en-US" w:eastAsia="zh-CN"/>
              </w:rPr>
              <w:t>、</w:t>
            </w:r>
            <w:r>
              <w:rPr>
                <w:rFonts w:hint="default" w:ascii="Times New Roman" w:hAnsi="Times New Roman" w:cs="Times New Roman"/>
                <w:bCs/>
                <w:sz w:val="24"/>
              </w:rPr>
              <w:t>生物质能技术装备（发电、供热、制油、沼气）”。属于鼓励类</w:t>
            </w:r>
            <w:r>
              <w:rPr>
                <w:rFonts w:hint="default" w:ascii="Times New Roman" w:hAnsi="Times New Roman" w:cs="Times New Roman"/>
                <w:sz w:val="24"/>
              </w:rPr>
              <w:t>。</w:t>
            </w:r>
          </w:p>
          <w:p>
            <w:pPr>
              <w:keepNext w:val="0"/>
              <w:keepLines w:val="0"/>
              <w:pageBreakBefore w:val="0"/>
              <w:kinsoku/>
              <w:wordWrap/>
              <w:overflowPunct/>
              <w:topLinePunct w:val="0"/>
              <w:autoSpaceDE/>
              <w:autoSpaceDN/>
              <w:bidi w:val="0"/>
              <w:spacing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同时，本项目经</w:t>
            </w:r>
            <w:r>
              <w:rPr>
                <w:rFonts w:hint="eastAsia" w:cs="Times New Roman"/>
                <w:sz w:val="24"/>
                <w:lang w:eastAsia="zh-CN"/>
              </w:rPr>
              <w:t>大英县发展和改革局</w:t>
            </w:r>
            <w:r>
              <w:rPr>
                <w:rFonts w:hint="default" w:ascii="Times New Roman" w:hAnsi="Times New Roman" w:cs="Times New Roman"/>
                <w:sz w:val="24"/>
              </w:rPr>
              <w:t>川投资备</w:t>
            </w:r>
            <w:r>
              <w:rPr>
                <w:rFonts w:hint="default" w:ascii="Times New Roman" w:hAnsi="Times New Roman" w:cs="Times New Roman"/>
                <w:sz w:val="24"/>
                <w:lang w:eastAsia="zh-CN"/>
              </w:rPr>
              <w:t xml:space="preserve">【2403-510923-04-01-239147】FGQB-0058 </w:t>
            </w:r>
            <w:r>
              <w:rPr>
                <w:rFonts w:hint="default" w:ascii="Times New Roman" w:hAnsi="Times New Roman" w:cs="Times New Roman"/>
                <w:sz w:val="24"/>
              </w:rPr>
              <w:t>号文件予以备案，批准本项目建设。</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sz w:val="24"/>
              </w:rPr>
              <w:t>综上所述，本项目符合国家现行的法律、法规及产业政策</w:t>
            </w:r>
            <w:r>
              <w:rPr>
                <w:rFonts w:hint="default" w:ascii="Times New Roman" w:hAnsi="Times New Roman" w:cs="Times New Roman"/>
                <w:kern w:val="0"/>
                <w:sz w:val="24"/>
              </w:rPr>
              <w:t>。</w:t>
            </w:r>
          </w:p>
          <w:p>
            <w:pPr>
              <w:pStyle w:val="13"/>
              <w:spacing w:after="0" w:line="360" w:lineRule="auto"/>
              <w:ind w:left="0" w:leftChars="0" w:firstLine="482" w:firstLineChars="200"/>
              <w:rPr>
                <w:rFonts w:hint="default" w:ascii="Times New Roman" w:hAnsi="Times New Roman" w:cs="Times New Roman"/>
                <w:b/>
                <w:bCs/>
                <w:sz w:val="24"/>
              </w:rPr>
            </w:pPr>
            <w:r>
              <w:rPr>
                <w:rFonts w:hint="default" w:ascii="Times New Roman" w:hAnsi="Times New Roman" w:cs="Times New Roman"/>
                <w:b/>
                <w:bCs/>
                <w:sz w:val="24"/>
              </w:rPr>
              <w:t>3、与“三线一单”符合性分析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按照“四川省生态环境厅办公室关于印发《产业园区规划环评“三线一单”符合性分析技术要点（试行）》和《项目环评“三线一单”符合性分析技术要点（试行）》的通知（川环办函[2021]469号）”的相关要求进行分析。本项目属于污染类项目，属于园区内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（1）与生态保护红线符合性分析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生态保护红线是指依法在重点生态功能区，生态环境敏感区和脆弱区等区域划定严格的管控边界，是国家和区域生态安全的底线，对于维护生态安全格局、保障生态服务功能、支撑经济社会可持续发展具有重要作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遂宁市生态保护红线如下图所示：</w:t>
            </w:r>
          </w:p>
          <w:p>
            <w:pPr>
              <w:pStyle w:val="11"/>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584835</wp:posOffset>
                      </wp:positionH>
                      <wp:positionV relativeFrom="paragraph">
                        <wp:posOffset>2399030</wp:posOffset>
                      </wp:positionV>
                      <wp:extent cx="1044575" cy="294640"/>
                      <wp:effectExtent l="4445" t="619760" r="17780" b="19050"/>
                      <wp:wrapNone/>
                      <wp:docPr id="17" name="矩形标注 17"/>
                      <wp:cNvGraphicFramePr/>
                      <a:graphic xmlns:a="http://schemas.openxmlformats.org/drawingml/2006/main">
                        <a:graphicData uri="http://schemas.microsoft.com/office/word/2010/wordprocessingShape">
                          <wps:wsp>
                            <wps:cNvSpPr/>
                            <wps:spPr>
                              <a:xfrm>
                                <a:off x="0" y="0"/>
                                <a:ext cx="1044575" cy="294640"/>
                              </a:xfrm>
                              <a:prstGeom prst="wedgeRectCallout">
                                <a:avLst>
                                  <a:gd name="adj1" fmla="val 32931"/>
                                  <a:gd name="adj2" fmla="val -252583"/>
                                </a:avLst>
                              </a:prstGeom>
                              <a:solidFill>
                                <a:srgbClr val="FFFFFF"/>
                              </a:solidFill>
                              <a:ln w="9525" cap="flat" cmpd="sng">
                                <a:solidFill>
                                  <a:srgbClr val="FF0000"/>
                                </a:solidFill>
                                <a:prstDash val="solid"/>
                                <a:miter/>
                                <a:headEnd type="none" w="med" len="med"/>
                                <a:tailEnd type="none" w="med" len="med"/>
                              </a:ln>
                            </wps:spPr>
                            <wps:txbx>
                              <w:txbxContent>
                                <w:p>
                                  <w:pPr>
                                    <w:rPr>
                                      <w:rFonts w:hint="default" w:eastAsia="宋体"/>
                                      <w:color w:val="C00000"/>
                                      <w:lang w:val="en-US" w:eastAsia="zh-CN"/>
                                    </w:rPr>
                                  </w:pPr>
                                  <w:r>
                                    <w:rPr>
                                      <w:rFonts w:hint="eastAsia"/>
                                      <w:color w:val="C00000"/>
                                      <w:lang w:val="en-US" w:eastAsia="zh-CN"/>
                                    </w:rPr>
                                    <w:t>本项目所在地</w:t>
                                  </w:r>
                                </w:p>
                              </w:txbxContent>
                            </wps:txbx>
                            <wps:bodyPr upright="1"/>
                          </wps:wsp>
                        </a:graphicData>
                      </a:graphic>
                    </wp:anchor>
                  </w:drawing>
                </mc:Choice>
                <mc:Fallback>
                  <w:pict>
                    <v:shape id="_x0000_s1026" o:spid="_x0000_s1026" o:spt="61" type="#_x0000_t61" style="position:absolute;left:0pt;margin-left:46.05pt;margin-top:188.9pt;height:23.2pt;width:82.25pt;z-index:251661312;mso-width-relative:page;mso-height-relative:page;" fillcolor="#FFFFFF" filled="t" stroked="t" coordsize="21600,21600" o:gfxdata="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RWC+NsAAAAKAQAADwAAAAAAAAABACAAAAAiAAAAZHJz&#10;L2Rvd25yZXYueG1sUEsBAhQAFAAAAAgAh07iQOyj3006AgAAkAQAAA4AAAAAAAAAAQAgAAAAKgEA&#10;AGRycy9lMm9Eb2MueG1sUEsFBgAAAAAGAAYAWQEAANYFAAAAAA==&#10;" adj="17913,-43758">
                      <v:fill on="t" focussize="0,0"/>
                      <v:stroke color="#FF0000" joinstyle="miter"/>
                      <v:imagedata o:title=""/>
                      <o:lock v:ext="edit" aspectratio="f"/>
                      <v:textbox>
                        <w:txbxContent>
                          <w:p>
                            <w:pPr>
                              <w:rPr>
                                <w:rFonts w:hint="default" w:eastAsia="宋体"/>
                                <w:color w:val="C00000"/>
                                <w:lang w:val="en-US" w:eastAsia="zh-CN"/>
                              </w:rPr>
                            </w:pPr>
                            <w:r>
                              <w:rPr>
                                <w:rFonts w:hint="eastAsia"/>
                                <w:color w:val="C00000"/>
                                <w:lang w:val="en-US" w:eastAsia="zh-CN"/>
                              </w:rPr>
                              <w:t>本项目所在地</w:t>
                            </w:r>
                          </w:p>
                        </w:txbxContent>
                      </v:textbox>
                    </v:shape>
                  </w:pict>
                </mc:Fallback>
              </mc:AlternateContent>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4779010" cy="2945130"/>
                  <wp:effectExtent l="9525" t="9525" r="12065" b="1714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8"/>
                          <a:stretch>
                            <a:fillRect/>
                          </a:stretch>
                        </pic:blipFill>
                        <pic:spPr>
                          <a:xfrm>
                            <a:off x="0" y="0"/>
                            <a:ext cx="4779010" cy="294513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11"/>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图1-</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遂宁市生态保护红线图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本项目位于</w:t>
            </w:r>
            <w:r>
              <w:rPr>
                <w:rFonts w:hint="default" w:ascii="Times New Roman" w:hAnsi="Times New Roman" w:cs="Times New Roman"/>
                <w:color w:val="000000" w:themeColor="text1"/>
                <w:sz w:val="24"/>
                <w:highlight w:val="none"/>
                <w:lang w:val="en-US" w:eastAsia="zh-CN"/>
                <w14:textFill>
                  <w14:solidFill>
                    <w14:schemeClr w14:val="tx1"/>
                  </w14:solidFill>
                </w14:textFill>
              </w:rPr>
              <w:t>遂宁市大英经济技术开发区内，</w:t>
            </w:r>
            <w:r>
              <w:rPr>
                <w:rFonts w:hint="default" w:ascii="Times New Roman" w:hAnsi="Times New Roman" w:cs="Times New Roman"/>
                <w:color w:val="000000" w:themeColor="text1"/>
                <w:sz w:val="24"/>
                <w:highlight w:val="none"/>
                <w14:textFill>
                  <w14:solidFill>
                    <w14:schemeClr w14:val="tx1"/>
                  </w14:solidFill>
                </w14:textFill>
              </w:rPr>
              <w:t>不涉及</w:t>
            </w:r>
            <w:r>
              <w:rPr>
                <w:rFonts w:hint="default" w:ascii="Times New Roman" w:hAnsi="Times New Roman" w:cs="Times New Roman"/>
                <w:color w:val="000000" w:themeColor="text1"/>
                <w:sz w:val="24"/>
                <w:highlight w:val="none"/>
                <w:lang w:val="en-US" w:eastAsia="zh-CN"/>
                <w14:textFill>
                  <w14:solidFill>
                    <w14:schemeClr w14:val="tx1"/>
                  </w14:solidFill>
                </w14:textFill>
              </w:rPr>
              <w:t>遂宁</w:t>
            </w:r>
            <w:r>
              <w:rPr>
                <w:rFonts w:hint="default" w:ascii="Times New Roman" w:hAnsi="Times New Roman" w:cs="Times New Roman"/>
                <w:color w:val="000000" w:themeColor="text1"/>
                <w:sz w:val="24"/>
                <w:highlight w:val="none"/>
                <w14:textFill>
                  <w14:solidFill>
                    <w14:schemeClr w14:val="tx1"/>
                  </w14:solidFill>
                </w14:textFill>
              </w:rPr>
              <w:t>市划定的</w:t>
            </w:r>
            <w:r>
              <w:rPr>
                <w:rFonts w:hint="default" w:ascii="Times New Roman" w:hAnsi="Times New Roman" w:cs="Times New Roman"/>
                <w:color w:val="000000" w:themeColor="text1"/>
                <w:sz w:val="24"/>
                <w:highlight w:val="none"/>
                <w:lang w:val="en-US" w:eastAsia="zh-CN"/>
                <w14:textFill>
                  <w14:solidFill>
                    <w14:schemeClr w14:val="tx1"/>
                  </w14:solidFill>
                </w14:textFill>
              </w:rPr>
              <w:t>生态</w:t>
            </w:r>
            <w:r>
              <w:rPr>
                <w:rFonts w:hint="default" w:ascii="Times New Roman" w:hAnsi="Times New Roman" w:cs="Times New Roman"/>
                <w:color w:val="000000" w:themeColor="text1"/>
                <w:sz w:val="24"/>
                <w:highlight w:val="none"/>
                <w14:textFill>
                  <w14:solidFill>
                    <w14:schemeClr w14:val="tx1"/>
                  </w14:solidFill>
                </w14:textFill>
              </w:rPr>
              <w:t>红线</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spacing w:line="360" w:lineRule="auto"/>
              <w:ind w:firstLine="480" w:firstLineChars="200"/>
              <w:outlineLvl w:val="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环境风险管控单元确定</w:t>
            </w:r>
          </w:p>
          <w:p>
            <w:pPr>
              <w:pStyle w:val="102"/>
              <w:keepNext w:val="0"/>
              <w:keepLines w:val="0"/>
              <w:pageBreakBefore w:val="0"/>
              <w:kinsoku/>
              <w:wordWrap/>
              <w:overflowPunct/>
              <w:topLinePunct w:val="0"/>
              <w:autoSpaceDE/>
              <w:autoSpaceDN/>
              <w:bidi w:val="0"/>
              <w:spacing w:before="0" w:after="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根据《项目环评“三线一单”符合性技术分析要求（试行）》川环办函</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2021</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469号文件：如建设项目位于产业园区内，且产业园区规划环境影响评价中已开展了园区与“三线一单”符合性分析，则项目环评只需分析与产业园区生态环境准入要求的符合性。</w:t>
            </w:r>
          </w:p>
          <w:p>
            <w:pPr>
              <w:keepNext w:val="0"/>
              <w:keepLines w:val="0"/>
              <w:pageBreakBefore w:val="0"/>
              <w:kinsoku/>
              <w:wordWrap/>
              <w:overflowPunct/>
              <w:topLinePunct w:val="0"/>
              <w:autoSpaceDE/>
              <w:autoSpaceDN/>
              <w:bidi w:val="0"/>
              <w:spacing w:line="360" w:lineRule="auto"/>
              <w:ind w:firstLine="480" w:firstLineChars="200"/>
              <w:jc w:val="left"/>
              <w:textAlignment w:val="auto"/>
              <w:outlineLvl w:val="9"/>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kern w:val="44"/>
                <w:sz w:val="24"/>
                <w:szCs w:val="24"/>
                <w:highlight w:val="none"/>
                <w:lang w:val="en-US" w:eastAsia="zh-CN" w:bidi="ar-SA"/>
                <w14:textFill>
                  <w14:solidFill>
                    <w14:schemeClr w14:val="tx1"/>
                  </w14:solidFill>
                </w14:textFill>
              </w:rPr>
              <w:t>本项目所在园区规划环评于2019年完成，早于“三线一单”因此需详细分析“三线一单”符合性。根据四川政务服务网“三线一单”数据分析系</w:t>
            </w:r>
            <w:r>
              <w:rPr>
                <w:rFonts w:hint="default" w:ascii="Times New Roman" w:hAnsi="Times New Roman" w:cs="Times New Roman"/>
                <w:b w:val="0"/>
                <w:bCs/>
                <w:color w:val="000000" w:themeColor="text1"/>
                <w:kern w:val="44"/>
                <w:sz w:val="24"/>
                <w:szCs w:val="24"/>
                <w:highlight w:val="none"/>
                <w:lang w:val="en-US" w:eastAsia="zh-CN" w:bidi="ar-SA"/>
                <w14:textFill>
                  <w14:solidFill>
                    <w14:schemeClr w14:val="tx1"/>
                  </w14:solidFill>
                </w14:textFill>
              </w:rPr>
              <w:t>统</w:t>
            </w:r>
            <w:r>
              <w:rPr>
                <w:rFonts w:hint="default" w:ascii="Times New Roman" w:hAnsi="Times New Roman" w:eastAsia="宋体" w:cs="Times New Roman"/>
                <w:b w:val="0"/>
                <w:bCs/>
                <w:color w:val="000000" w:themeColor="text1"/>
                <w:kern w:val="44"/>
                <w:sz w:val="24"/>
                <w:szCs w:val="24"/>
                <w:highlight w:val="none"/>
                <w:lang w:val="en-US" w:eastAsia="zh-CN" w:bidi="ar-SA"/>
                <w14:textFill>
                  <w14:solidFill>
                    <w14:schemeClr w14:val="tx1"/>
                  </w14:solidFill>
                </w14:textFill>
              </w:rPr>
              <w:t>，本项目风险管控单元分布详见下图。</w:t>
            </w:r>
            <w:r>
              <w:rPr>
                <w:rFonts w:hint="default" w:ascii="Helvetica" w:hAnsi="Helvetica" w:eastAsia="Helvetica"/>
                <w:sz w:val="28"/>
                <w:szCs w:val="24"/>
              </w:rPr>
              <w:drawing>
                <wp:inline distT="0" distB="0" distL="114300" distR="114300">
                  <wp:extent cx="4814570" cy="2888615"/>
                  <wp:effectExtent l="0" t="0" r="5080" b="698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9"/>
                          <a:stretch>
                            <a:fillRect/>
                          </a:stretch>
                        </pic:blipFill>
                        <pic:spPr>
                          <a:xfrm>
                            <a:off x="0" y="0"/>
                            <a:ext cx="4814570" cy="2888615"/>
                          </a:xfrm>
                          <a:prstGeom prst="rect">
                            <a:avLst/>
                          </a:prstGeom>
                          <a:noFill/>
                          <a:ln>
                            <a:noFill/>
                          </a:ln>
                        </pic:spPr>
                      </pic:pic>
                    </a:graphicData>
                  </a:graphic>
                </wp:inline>
              </w:drawing>
            </w:r>
          </w:p>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图1-</w:t>
            </w:r>
            <w:r>
              <w:rPr>
                <w:rFonts w:hint="default" w:ascii="Times New Roman" w:hAnsi="Times New Roman" w:cs="Times New Roman"/>
                <w:b/>
                <w:bCs/>
                <w:color w:val="000000" w:themeColor="text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本项目与管控单元相对位置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（图中</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表示项目位置）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由上图可知，本项目所在地属于工业重点管控单元。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szCs w:val="20"/>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根据四川政务服务网“三线一单”数据分析系</w:t>
            </w:r>
            <w:r>
              <w:rPr>
                <w:rFonts w:hint="default" w:ascii="Times New Roman" w:hAnsi="Times New Roman" w:cs="Times New Roman"/>
                <w:color w:val="000000" w:themeColor="text1"/>
                <w:kern w:val="0"/>
                <w:sz w:val="24"/>
                <w:szCs w:val="20"/>
                <w:lang w:eastAsia="zh-CN"/>
                <w14:textFill>
                  <w14:solidFill>
                    <w14:schemeClr w14:val="tx1"/>
                  </w14:solidFill>
                </w14:textFill>
              </w:rPr>
              <w:t>统</w:t>
            </w:r>
            <w:r>
              <w:rPr>
                <w:rFonts w:hint="default" w:ascii="Times New Roman" w:hAnsi="Times New Roman" w:eastAsia="宋体" w:cs="Times New Roman"/>
                <w:color w:val="000000" w:themeColor="text1"/>
                <w:kern w:val="0"/>
                <w:sz w:val="24"/>
                <w:szCs w:val="20"/>
                <w14:textFill>
                  <w14:solidFill>
                    <w14:schemeClr w14:val="tx1"/>
                  </w14:solidFill>
                </w14:textFill>
              </w:rPr>
              <w:t>，本项目涉及</w:t>
            </w:r>
            <w:r>
              <w:rPr>
                <w:rFonts w:hint="default" w:ascii="Times New Roman" w:hAnsi="Times New Roman" w:cs="Times New Roman"/>
                <w:color w:val="000000" w:themeColor="text1"/>
                <w:kern w:val="0"/>
                <w:sz w:val="24"/>
                <w:szCs w:val="20"/>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szCs w:val="20"/>
                <w14:textFill>
                  <w14:solidFill>
                    <w14:schemeClr w14:val="tx1"/>
                  </w14:solidFill>
                </w14:textFill>
              </w:rPr>
              <w:t>个环境管控单元，详见下表。</w:t>
            </w:r>
            <w:r>
              <w:rPr>
                <w:rFonts w:hint="default" w:ascii="Times New Roman" w:hAnsi="Times New Roman" w:cs="Times New Roman"/>
                <w:color w:val="000000" w:themeColor="text1"/>
                <w:kern w:val="0"/>
                <w:sz w:val="24"/>
                <w:szCs w:val="20"/>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表1-</w:t>
            </w:r>
            <w:r>
              <w:rPr>
                <w:rFonts w:hint="eastAsia" w:ascii="Times New Roman" w:hAnsi="Times New Roman" w:cs="Times New Roman"/>
                <w:b/>
                <w:bCs/>
                <w:color w:val="000000" w:themeColor="text1"/>
                <w:lang w:val="en-US" w:eastAsia="zh-CN"/>
                <w14:textFill>
                  <w14:solidFill>
                    <w14:schemeClr w14:val="tx1"/>
                  </w14:solidFill>
                </w14:textFill>
              </w:rPr>
              <w:t>4</w:t>
            </w:r>
            <w:r>
              <w:rPr>
                <w:rFonts w:hint="default" w:ascii="Times New Roman" w:hAnsi="Times New Roman" w:eastAsia="宋体" w:cs="Times New Roman"/>
                <w:b/>
                <w:bCs/>
                <w:color w:val="000000" w:themeColor="text1"/>
                <w14:textFill>
                  <w14:solidFill>
                    <w14:schemeClr w14:val="tx1"/>
                  </w14:solidFill>
                </w14:textFill>
              </w:rPr>
              <w:t>本项目涉及环境管控单元一览表</w:t>
            </w:r>
          </w:p>
          <w:tbl>
            <w:tblPr>
              <w:tblStyle w:val="25"/>
              <w:tblW w:w="754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1696"/>
              <w:gridCol w:w="867"/>
              <w:gridCol w:w="826"/>
              <w:gridCol w:w="1122"/>
              <w:gridCol w:w="15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2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环境管控单元编码</w:t>
                  </w:r>
                </w:p>
              </w:tc>
              <w:tc>
                <w:tcPr>
                  <w:tcW w:w="16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环境管控单元名称</w:t>
                  </w:r>
                </w:p>
              </w:tc>
              <w:tc>
                <w:tcPr>
                  <w:tcW w:w="8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所属市（州）</w:t>
                  </w:r>
                </w:p>
              </w:tc>
              <w:tc>
                <w:tcPr>
                  <w:tcW w:w="8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所属区县</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准入清单类型</w:t>
                  </w:r>
                </w:p>
              </w:tc>
              <w:tc>
                <w:tcPr>
                  <w:tcW w:w="15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21"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YS5109232310001</w:t>
                  </w:r>
                </w:p>
              </w:tc>
              <w:tc>
                <w:tcPr>
                  <w:tcW w:w="1696"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大英县工业集中发展区</w:t>
                  </w:r>
                  <w:r>
                    <w:rPr>
                      <w:rStyle w:val="27"/>
                      <w:rFonts w:hint="eastAsia" w:eastAsia="宋体" w:cs="Times New Roman"/>
                      <w:kern w:val="2"/>
                      <w:sz w:val="21"/>
                      <w:szCs w:val="21"/>
                      <w:lang w:val="en-US" w:eastAsia="zh-CN" w:bidi="ar-SA"/>
                    </w:rPr>
                    <w:t>（</w:t>
                  </w:r>
                  <w:r>
                    <w:rPr>
                      <w:rStyle w:val="27"/>
                      <w:rFonts w:hint="default" w:ascii="Times New Roman" w:hAnsi="Times New Roman" w:eastAsia="宋体" w:cs="Times New Roman"/>
                      <w:kern w:val="2"/>
                      <w:sz w:val="21"/>
                      <w:szCs w:val="21"/>
                      <w:lang w:val="en-US" w:eastAsia="zh-CN" w:bidi="ar-SA"/>
                    </w:rPr>
                    <w:t>含经开区</w:t>
                  </w:r>
                  <w:r>
                    <w:rPr>
                      <w:rStyle w:val="27"/>
                      <w:rFonts w:hint="eastAsia" w:eastAsia="宋体" w:cs="Times New Roman"/>
                      <w:kern w:val="2"/>
                      <w:sz w:val="21"/>
                      <w:szCs w:val="21"/>
                      <w:lang w:val="en-US" w:eastAsia="zh-CN" w:bidi="ar-SA"/>
                    </w:rPr>
                    <w:t>）</w:t>
                  </w:r>
                </w:p>
              </w:tc>
              <w:tc>
                <w:tcPr>
                  <w:tcW w:w="867"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遂宁市</w:t>
                  </w:r>
                </w:p>
              </w:tc>
              <w:tc>
                <w:tcPr>
                  <w:tcW w:w="826"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大英县</w:t>
                  </w:r>
                </w:p>
              </w:tc>
              <w:tc>
                <w:tcPr>
                  <w:tcW w:w="1122"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土壤污染风险管控分区</w:t>
                  </w:r>
                </w:p>
              </w:tc>
              <w:tc>
                <w:tcPr>
                  <w:tcW w:w="1517"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大气环境高排放重点管控区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21"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YS5109232530001</w:t>
                  </w:r>
                </w:p>
              </w:tc>
              <w:tc>
                <w:tcPr>
                  <w:tcW w:w="1696"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大英县城镇开发边界</w:t>
                  </w:r>
                </w:p>
              </w:tc>
              <w:tc>
                <w:tcPr>
                  <w:tcW w:w="867"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遂宁市</w:t>
                  </w:r>
                </w:p>
              </w:tc>
              <w:tc>
                <w:tcPr>
                  <w:tcW w:w="826"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大英县</w:t>
                  </w:r>
                </w:p>
              </w:tc>
              <w:tc>
                <w:tcPr>
                  <w:tcW w:w="1122"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土壤污染风险管控分区</w:t>
                  </w:r>
                </w:p>
              </w:tc>
              <w:tc>
                <w:tcPr>
                  <w:tcW w:w="1517"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土地资源重点管控区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21"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YS5109232540002</w:t>
                  </w:r>
                </w:p>
              </w:tc>
              <w:tc>
                <w:tcPr>
                  <w:tcW w:w="1696"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四川大英经济开发区</w:t>
                  </w:r>
                </w:p>
              </w:tc>
              <w:tc>
                <w:tcPr>
                  <w:tcW w:w="867"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遂宁市</w:t>
                  </w:r>
                </w:p>
              </w:tc>
              <w:tc>
                <w:tcPr>
                  <w:tcW w:w="826"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大英县</w:t>
                  </w:r>
                </w:p>
              </w:tc>
              <w:tc>
                <w:tcPr>
                  <w:tcW w:w="1122"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土壤污染风险管控分区</w:t>
                  </w:r>
                </w:p>
              </w:tc>
              <w:tc>
                <w:tcPr>
                  <w:tcW w:w="1517"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高污染燃料禁燃区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21"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YS5109232550001</w:t>
                  </w:r>
                </w:p>
              </w:tc>
              <w:tc>
                <w:tcPr>
                  <w:tcW w:w="1696"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大英县自然资源重点管控区</w:t>
                  </w:r>
                </w:p>
              </w:tc>
              <w:tc>
                <w:tcPr>
                  <w:tcW w:w="867"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遂宁市</w:t>
                  </w:r>
                </w:p>
              </w:tc>
              <w:tc>
                <w:tcPr>
                  <w:tcW w:w="826"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大英县</w:t>
                  </w:r>
                </w:p>
              </w:tc>
              <w:tc>
                <w:tcPr>
                  <w:tcW w:w="1122"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土壤污染风险管控分区</w:t>
                  </w:r>
                </w:p>
              </w:tc>
              <w:tc>
                <w:tcPr>
                  <w:tcW w:w="1517"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自然资源重点管控区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60" w:hRule="atLeast"/>
                <w:tblHeader/>
              </w:trPr>
              <w:tc>
                <w:tcPr>
                  <w:tcW w:w="1521"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ZH51092320002</w:t>
                  </w:r>
                </w:p>
              </w:tc>
              <w:tc>
                <w:tcPr>
                  <w:tcW w:w="1696"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大英县工业集中发展区</w:t>
                  </w:r>
                  <w:r>
                    <w:rPr>
                      <w:rStyle w:val="27"/>
                      <w:rFonts w:hint="eastAsia" w:eastAsia="宋体" w:cs="Times New Roman"/>
                      <w:kern w:val="2"/>
                      <w:sz w:val="21"/>
                      <w:szCs w:val="21"/>
                      <w:lang w:val="en-US" w:eastAsia="zh-CN" w:bidi="ar-SA"/>
                    </w:rPr>
                    <w:t>（</w:t>
                  </w:r>
                  <w:r>
                    <w:rPr>
                      <w:rStyle w:val="27"/>
                      <w:rFonts w:hint="default" w:ascii="Times New Roman" w:hAnsi="Times New Roman" w:eastAsia="宋体" w:cs="Times New Roman"/>
                      <w:kern w:val="2"/>
                      <w:sz w:val="21"/>
                      <w:szCs w:val="21"/>
                      <w:lang w:val="en-US" w:eastAsia="zh-CN" w:bidi="ar-SA"/>
                    </w:rPr>
                    <w:t>含经开区</w:t>
                  </w:r>
                  <w:r>
                    <w:rPr>
                      <w:rStyle w:val="27"/>
                      <w:rFonts w:hint="eastAsia" w:eastAsia="宋体" w:cs="Times New Roman"/>
                      <w:kern w:val="2"/>
                      <w:sz w:val="21"/>
                      <w:szCs w:val="21"/>
                      <w:lang w:val="en-US" w:eastAsia="zh-CN" w:bidi="ar-SA"/>
                    </w:rPr>
                    <w:t>）</w:t>
                  </w:r>
                </w:p>
              </w:tc>
              <w:tc>
                <w:tcPr>
                  <w:tcW w:w="867"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遂宁市</w:t>
                  </w:r>
                </w:p>
              </w:tc>
              <w:tc>
                <w:tcPr>
                  <w:tcW w:w="826"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大英县</w:t>
                  </w:r>
                </w:p>
              </w:tc>
              <w:tc>
                <w:tcPr>
                  <w:tcW w:w="1122"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土壤污染风险管控分区</w:t>
                  </w:r>
                </w:p>
              </w:tc>
              <w:tc>
                <w:tcPr>
                  <w:tcW w:w="1517" w:type="dxa"/>
                  <w:tcBorders>
                    <w:tl2br w:val="nil"/>
                    <w:tr2bl w:val="nil"/>
                  </w:tcBorders>
                  <w:noWrap w:val="0"/>
                  <w:vAlign w:val="center"/>
                </w:tcPr>
                <w:p>
                  <w:pPr>
                    <w:pStyle w:val="10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27"/>
                      <w:rFonts w:hint="default" w:ascii="Times New Roman" w:hAnsi="Times New Roman" w:eastAsia="宋体" w:cs="Times New Roman"/>
                      <w:kern w:val="2"/>
                      <w:sz w:val="21"/>
                      <w:szCs w:val="21"/>
                      <w:lang w:val="en-US" w:eastAsia="zh-CN" w:bidi="ar-SA"/>
                    </w:rPr>
                    <w:t>环境综合管控单元工业重点管控单元</w:t>
                  </w:r>
                </w:p>
              </w:tc>
            </w:tr>
          </w:tbl>
          <w:p>
            <w:pPr>
              <w:pStyle w:val="7"/>
              <w:widowControl/>
              <w:spacing w:line="360" w:lineRule="auto"/>
              <w:ind w:firstLine="480" w:firstLineChars="200"/>
              <w:jc w:val="left"/>
              <w:rPr>
                <w:rFonts w:hint="default" w:ascii="Times New Roman" w:hAnsi="Times New Roman" w:cs="Times New Roman"/>
                <w:b/>
                <w:bCs/>
                <w:sz w:val="24"/>
                <w:szCs w:val="24"/>
              </w:rPr>
            </w:pPr>
            <w:r>
              <w:rPr>
                <w:rFonts w:hint="default" w:ascii="Times New Roman" w:hAnsi="Times New Roman" w:eastAsia="宋体" w:cs="Times New Roman"/>
                <w:color w:val="000000" w:themeColor="text1"/>
                <w:kern w:val="0"/>
                <w:sz w:val="24"/>
                <w:szCs w:val="20"/>
                <w14:textFill>
                  <w14:solidFill>
                    <w14:schemeClr w14:val="tx1"/>
                  </w14:solidFill>
                </w14:textFill>
              </w:rPr>
              <w:t>本项目属于</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ZH51092320002</w:t>
            </w:r>
            <w:r>
              <w:rPr>
                <w:rFonts w:hint="default" w:ascii="Times New Roman" w:hAnsi="Times New Roman" w:eastAsia="宋体" w:cs="Times New Roman"/>
                <w:color w:val="000000" w:themeColor="text1"/>
                <w:kern w:val="0"/>
                <w:sz w:val="24"/>
                <w:szCs w:val="20"/>
                <w14:textFill>
                  <w14:solidFill>
                    <w14:schemeClr w14:val="tx1"/>
                  </w14:solidFill>
                </w14:textFill>
              </w:rPr>
              <w:t>-</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大英县工业集中发展区</w:t>
            </w:r>
            <w:r>
              <w:rPr>
                <w:rFonts w:hint="eastAsia" w:cs="Times New Roman"/>
                <w:color w:val="000000" w:themeColor="text1"/>
                <w:kern w:val="0"/>
                <w:sz w:val="24"/>
                <w:szCs w:val="20"/>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含经开区</w:t>
            </w:r>
            <w:r>
              <w:rPr>
                <w:rFonts w:hint="eastAsia" w:cs="Times New Roman"/>
                <w:color w:val="000000" w:themeColor="text1"/>
                <w:kern w:val="0"/>
                <w:sz w:val="24"/>
                <w:szCs w:val="20"/>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14:textFill>
                  <w14:solidFill>
                    <w14:schemeClr w14:val="tx1"/>
                  </w14:solidFill>
                </w14:textFill>
              </w:rPr>
              <w:t>-工业重点管控区，本项目与其管控要求符合性如下表所示</w:t>
            </w:r>
          </w:p>
        </w:tc>
      </w:tr>
    </w:tbl>
    <w:p>
      <w:pPr>
        <w:rPr>
          <w:rFonts w:hint="default" w:ascii="Times New Roman" w:hAnsi="Times New Roman" w:cs="Times New Roman"/>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eastAsia" w:ascii="Times New Roman" w:hAnsi="Times New Roman"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14:textFill>
            <w14:solidFill>
              <w14:schemeClr w14:val="tx1"/>
            </w14:solidFill>
          </w14:textFill>
        </w:rPr>
        <w:t>本项目涉及环境管控单元</w:t>
      </w:r>
      <w:r>
        <w:rPr>
          <w:rFonts w:hint="eastAsia" w:ascii="Times New Roman" w:hAnsi="Times New Roman" w:cs="Times New Roman"/>
          <w:b/>
          <w:bCs/>
          <w:color w:val="000000" w:themeColor="text1"/>
          <w:sz w:val="21"/>
          <w:szCs w:val="21"/>
          <w:lang w:val="en-US" w:eastAsia="zh-CN"/>
          <w14:textFill>
            <w14:solidFill>
              <w14:schemeClr w14:val="tx1"/>
            </w14:solidFill>
          </w14:textFill>
        </w:rPr>
        <w:t>符合性分析</w:t>
      </w:r>
    </w:p>
    <w:tbl>
      <w:tblPr>
        <w:tblStyle w:val="10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955"/>
        <w:gridCol w:w="3604"/>
        <w:gridCol w:w="2546"/>
        <w:gridCol w:w="3913"/>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7" w:type="dxa"/>
            <w:noWrap w:val="0"/>
            <w:vAlign w:val="center"/>
          </w:tcPr>
          <w:p>
            <w:pPr>
              <w:widowControl/>
              <w:spacing w:line="240" w:lineRule="auto"/>
              <w:ind w:firstLine="0" w:firstLineChars="0"/>
              <w:jc w:val="center"/>
              <w:rPr>
                <w:rStyle w:val="27"/>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环境管控单元编码</w:t>
            </w:r>
          </w:p>
        </w:tc>
        <w:tc>
          <w:tcPr>
            <w:tcW w:w="955" w:type="dxa"/>
            <w:noWrap w:val="0"/>
            <w:vAlign w:val="center"/>
          </w:tcPr>
          <w:p>
            <w:pPr>
              <w:widowControl/>
              <w:spacing w:line="240" w:lineRule="auto"/>
              <w:ind w:firstLine="0" w:firstLineChars="0"/>
              <w:jc w:val="center"/>
              <w:rPr>
                <w:rStyle w:val="27"/>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环境管控单元名称</w:t>
            </w:r>
          </w:p>
        </w:tc>
        <w:tc>
          <w:tcPr>
            <w:tcW w:w="3604" w:type="dxa"/>
            <w:noWrap w:val="0"/>
            <w:vAlign w:val="center"/>
          </w:tcPr>
          <w:p>
            <w:pPr>
              <w:widowControl w:val="0"/>
              <w:spacing w:line="360" w:lineRule="auto"/>
              <w:ind w:firstLine="0" w:firstLineChars="0"/>
              <w:jc w:val="center"/>
              <w:rPr>
                <w:rStyle w:val="27"/>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遂宁市普适性清单</w:t>
            </w:r>
          </w:p>
        </w:tc>
        <w:tc>
          <w:tcPr>
            <w:tcW w:w="2546" w:type="dxa"/>
            <w:noWrap w:val="0"/>
            <w:vAlign w:val="center"/>
          </w:tcPr>
          <w:p>
            <w:pPr>
              <w:widowControl/>
              <w:spacing w:line="240" w:lineRule="auto"/>
              <w:ind w:firstLine="0" w:firstLineChars="0"/>
              <w:jc w:val="center"/>
              <w:rPr>
                <w:rStyle w:val="27"/>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管控类别</w:t>
            </w:r>
          </w:p>
        </w:tc>
        <w:tc>
          <w:tcPr>
            <w:tcW w:w="3913" w:type="dxa"/>
            <w:noWrap w:val="0"/>
            <w:vAlign w:val="center"/>
          </w:tcPr>
          <w:p>
            <w:pPr>
              <w:widowControl/>
              <w:spacing w:line="240" w:lineRule="auto"/>
              <w:ind w:firstLine="0" w:firstLineChars="0"/>
              <w:jc w:val="center"/>
              <w:rPr>
                <w:rStyle w:val="27"/>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单元特性管控要求</w:t>
            </w:r>
          </w:p>
        </w:tc>
        <w:tc>
          <w:tcPr>
            <w:tcW w:w="1597" w:type="dxa"/>
            <w:noWrap w:val="0"/>
            <w:vAlign w:val="center"/>
          </w:tcPr>
          <w:p>
            <w:pPr>
              <w:widowControl/>
              <w:spacing w:line="240" w:lineRule="auto"/>
              <w:ind w:firstLine="0" w:firstLineChars="0"/>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本项目</w:t>
            </w:r>
            <w:r>
              <w:rPr>
                <w:rFonts w:hint="eastAsia" w:cs="Times New Roman"/>
                <w:b/>
                <w:bCs/>
                <w:color w:val="000000"/>
                <w:kern w:val="0"/>
                <w:sz w:val="21"/>
                <w:szCs w:val="21"/>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YS5109232310001</w:t>
            </w:r>
          </w:p>
        </w:tc>
        <w:tc>
          <w:tcPr>
            <w:tcW w:w="955" w:type="dxa"/>
            <w:vMerge w:val="restart"/>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大英县工业集中发展区</w:t>
            </w:r>
            <w:r>
              <w:rPr>
                <w:rStyle w:val="27"/>
                <w:rFonts w:hint="eastAsia" w:eastAsia="宋体" w:cs="Times New Roman"/>
                <w:kern w:val="2"/>
                <w:sz w:val="21"/>
                <w:szCs w:val="21"/>
                <w:lang w:val="en-US" w:eastAsia="zh-CN" w:bidi="ar-SA"/>
              </w:rPr>
              <w:t>（</w:t>
            </w:r>
            <w:r>
              <w:rPr>
                <w:rStyle w:val="27"/>
                <w:rFonts w:hint="default" w:ascii="Times New Roman" w:hAnsi="Times New Roman" w:eastAsia="宋体" w:cs="Times New Roman"/>
                <w:kern w:val="2"/>
                <w:sz w:val="21"/>
                <w:szCs w:val="21"/>
                <w:lang w:val="en-US" w:eastAsia="zh-CN" w:bidi="ar-SA"/>
              </w:rPr>
              <w:t>含经开区</w:t>
            </w:r>
            <w:r>
              <w:rPr>
                <w:rStyle w:val="27"/>
                <w:rFonts w:hint="eastAsia" w:eastAsia="宋体" w:cs="Times New Roman"/>
                <w:kern w:val="2"/>
                <w:sz w:val="21"/>
                <w:szCs w:val="21"/>
                <w:lang w:val="en-US" w:eastAsia="zh-CN" w:bidi="ar-SA"/>
              </w:rPr>
              <w:t>）</w:t>
            </w:r>
          </w:p>
        </w:tc>
        <w:tc>
          <w:tcPr>
            <w:tcW w:w="3604" w:type="dxa"/>
            <w:vMerge w:val="restart"/>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空间布局约束</w:t>
            </w:r>
          </w:p>
        </w:tc>
        <w:tc>
          <w:tcPr>
            <w:tcW w:w="3913"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禁止开发建设活动的要求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限制开发建设活动的要求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允许开发建设活动的要求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不符合空间布局要求活动的退出要求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其他空间布局约束要求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YS5109232310001</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大英县工业集中发展区</w:t>
            </w:r>
            <w:r>
              <w:rPr>
                <w:rStyle w:val="27"/>
                <w:rFonts w:hint="eastAsia" w:eastAsia="宋体" w:cs="Times New Roman"/>
                <w:kern w:val="2"/>
                <w:sz w:val="21"/>
                <w:szCs w:val="21"/>
                <w:lang w:val="en-US" w:eastAsia="zh-CN" w:bidi="ar-SA"/>
              </w:rPr>
              <w:t>（</w:t>
            </w:r>
            <w:r>
              <w:rPr>
                <w:rStyle w:val="27"/>
                <w:rFonts w:hint="default" w:ascii="Times New Roman" w:hAnsi="Times New Roman" w:eastAsia="宋体" w:cs="Times New Roman"/>
                <w:kern w:val="2"/>
                <w:sz w:val="21"/>
                <w:szCs w:val="21"/>
                <w:lang w:val="en-US" w:eastAsia="zh-CN" w:bidi="ar-SA"/>
              </w:rPr>
              <w:t>含经开区</w:t>
            </w:r>
            <w:r>
              <w:rPr>
                <w:rStyle w:val="27"/>
                <w:rFonts w:hint="eastAsia" w:eastAsia="宋体" w:cs="Times New Roman"/>
                <w:kern w:val="2"/>
                <w:sz w:val="21"/>
                <w:szCs w:val="21"/>
                <w:lang w:val="en-US" w:eastAsia="zh-CN" w:bidi="ar-SA"/>
              </w:rPr>
              <w:t>）</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污染物排放管控</w:t>
            </w:r>
          </w:p>
        </w:tc>
        <w:tc>
          <w:tcPr>
            <w:tcW w:w="3913"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大气环境质量执行标准</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《环境空气质量标准》（GB3095-2012）：二级</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区域大气污染物削减/替代要求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燃煤和其他能源大气污染控制要求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工业废气污染控制要求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机动车船大气污染控制要求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扬尘污染控制要求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农业生产经营活动大气污染控制要求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重点行业企业专项治理要求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其他大气污染物排放管控要求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工业废气污染控制要求</w:t>
            </w:r>
            <w:r>
              <w:rPr>
                <w:rStyle w:val="27"/>
                <w:rFonts w:hint="eastAsia" w:ascii="Times New Roman" w:hAnsi="Times New Roman" w:eastAsia="宋体" w:cs="Times New Roman"/>
                <w:kern w:val="2"/>
                <w:sz w:val="21"/>
                <w:szCs w:val="21"/>
                <w:lang w:val="en-US" w:eastAsia="zh-CN" w:bidi="ar-SA"/>
              </w:rPr>
              <w:t>：本项目不属于燃煤锅炉。其他本项目不涉及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YS5109232310001</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大英县工业集中发展区</w:t>
            </w:r>
            <w:r>
              <w:rPr>
                <w:rStyle w:val="27"/>
                <w:rFonts w:hint="eastAsia" w:eastAsia="宋体" w:cs="Times New Roman"/>
                <w:kern w:val="2"/>
                <w:sz w:val="21"/>
                <w:szCs w:val="21"/>
                <w:lang w:val="en-US" w:eastAsia="zh-CN" w:bidi="ar-SA"/>
              </w:rPr>
              <w:t>（</w:t>
            </w:r>
            <w:r>
              <w:rPr>
                <w:rStyle w:val="27"/>
                <w:rFonts w:hint="default" w:ascii="Times New Roman" w:hAnsi="Times New Roman" w:eastAsia="宋体" w:cs="Times New Roman"/>
                <w:kern w:val="2"/>
                <w:sz w:val="21"/>
                <w:szCs w:val="21"/>
                <w:lang w:val="en-US" w:eastAsia="zh-CN" w:bidi="ar-SA"/>
              </w:rPr>
              <w:t>含经开区</w:t>
            </w:r>
            <w:r>
              <w:rPr>
                <w:rStyle w:val="27"/>
                <w:rFonts w:hint="eastAsia" w:eastAsia="宋体" w:cs="Times New Roman"/>
                <w:kern w:val="2"/>
                <w:sz w:val="21"/>
                <w:szCs w:val="21"/>
                <w:lang w:val="en-US" w:eastAsia="zh-CN" w:bidi="ar-SA"/>
              </w:rPr>
              <w:t>）</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环境风险防控</w:t>
            </w:r>
          </w:p>
        </w:tc>
        <w:tc>
          <w:tcPr>
            <w:tcW w:w="3913" w:type="dxa"/>
            <w:vMerge w:val="restart"/>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vMerge w:val="restart"/>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YS5109232310001</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大英县工业集中发展区</w:t>
            </w:r>
            <w:r>
              <w:rPr>
                <w:rStyle w:val="27"/>
                <w:rFonts w:hint="eastAsia" w:eastAsia="宋体" w:cs="Times New Roman"/>
                <w:kern w:val="2"/>
                <w:sz w:val="21"/>
                <w:szCs w:val="21"/>
                <w:lang w:val="en-US" w:eastAsia="zh-CN" w:bidi="ar-SA"/>
              </w:rPr>
              <w:t>（</w:t>
            </w:r>
            <w:r>
              <w:rPr>
                <w:rStyle w:val="27"/>
                <w:rFonts w:hint="default" w:ascii="Times New Roman" w:hAnsi="Times New Roman" w:eastAsia="宋体" w:cs="Times New Roman"/>
                <w:kern w:val="2"/>
                <w:sz w:val="21"/>
                <w:szCs w:val="21"/>
                <w:lang w:val="en-US" w:eastAsia="zh-CN" w:bidi="ar-SA"/>
              </w:rPr>
              <w:t>含经开区</w:t>
            </w:r>
            <w:r>
              <w:rPr>
                <w:rStyle w:val="27"/>
                <w:rFonts w:hint="eastAsia" w:eastAsia="宋体" w:cs="Times New Roman"/>
                <w:kern w:val="2"/>
                <w:sz w:val="21"/>
                <w:szCs w:val="21"/>
                <w:lang w:val="en-US" w:eastAsia="zh-CN" w:bidi="ar-SA"/>
              </w:rPr>
              <w:t>）</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资源开发效率要求</w:t>
            </w:r>
          </w:p>
        </w:tc>
        <w:tc>
          <w:tcPr>
            <w:tcW w:w="3913" w:type="dxa"/>
            <w:vMerge w:val="continue"/>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vMerge w:val="continue"/>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YS5109232530001</w:t>
            </w:r>
          </w:p>
        </w:tc>
        <w:tc>
          <w:tcPr>
            <w:tcW w:w="955" w:type="dxa"/>
            <w:vMerge w:val="restart"/>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大英县城镇开发边界</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空间布局约束</w:t>
            </w:r>
          </w:p>
        </w:tc>
        <w:tc>
          <w:tcPr>
            <w:tcW w:w="3913"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1597"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YS5109232530001</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大英县城镇开发边界</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污染物排放管控</w:t>
            </w:r>
          </w:p>
        </w:tc>
        <w:tc>
          <w:tcPr>
            <w:tcW w:w="3913" w:type="dxa"/>
            <w:vMerge w:val="restart"/>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YS5109232530001</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大英县城镇开发边界</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环境风险防控</w:t>
            </w:r>
          </w:p>
        </w:tc>
        <w:tc>
          <w:tcPr>
            <w:tcW w:w="3913" w:type="dxa"/>
            <w:vMerge w:val="continue"/>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YS5109232530001</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大英县城镇开发边界</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资源开发效率要求</w:t>
            </w:r>
          </w:p>
        </w:tc>
        <w:tc>
          <w:tcPr>
            <w:tcW w:w="3913"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土地资源开发效率要求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土地资源开发利用量不得超过土地资源利用上线控制性指标。</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能源资源开发效率要求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其他资源开发效率要求</w:t>
            </w:r>
          </w:p>
        </w:tc>
        <w:tc>
          <w:tcPr>
            <w:tcW w:w="1597"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YS5109232540002</w:t>
            </w:r>
          </w:p>
        </w:tc>
        <w:tc>
          <w:tcPr>
            <w:tcW w:w="955" w:type="dxa"/>
            <w:vMerge w:val="restart"/>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四川大英经济开发区</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空间布局约束</w:t>
            </w:r>
          </w:p>
        </w:tc>
        <w:tc>
          <w:tcPr>
            <w:tcW w:w="3913"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坚决遏制“两高一低”项目盲目发展</w:t>
            </w:r>
          </w:p>
        </w:tc>
        <w:tc>
          <w:tcPr>
            <w:tcW w:w="1597"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eastAsia" w:ascii="Times New Roman" w:hAnsi="Times New Roman" w:eastAsia="宋体" w:cs="Times New Roman"/>
                <w:kern w:val="2"/>
                <w:sz w:val="21"/>
                <w:szCs w:val="21"/>
                <w:lang w:val="en-US" w:eastAsia="zh-CN" w:bidi="ar-SA"/>
              </w:rPr>
              <w:t>本项目不属于</w:t>
            </w:r>
            <w:r>
              <w:rPr>
                <w:rStyle w:val="27"/>
                <w:rFonts w:hint="default" w:ascii="Times New Roman" w:hAnsi="Times New Roman" w:eastAsia="宋体" w:cs="Times New Roman"/>
                <w:kern w:val="2"/>
                <w:sz w:val="21"/>
                <w:szCs w:val="21"/>
                <w:lang w:val="en-US" w:eastAsia="zh-CN" w:bidi="ar-SA"/>
              </w:rPr>
              <w:t>“两高一低”项目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YS5109232540002</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四川大英经济开发区</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污染物排放管控</w:t>
            </w:r>
          </w:p>
        </w:tc>
        <w:tc>
          <w:tcPr>
            <w:tcW w:w="3913" w:type="dxa"/>
            <w:vMerge w:val="restart"/>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vMerge w:val="restart"/>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YS5109232540002</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四川大英经济开发区</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环境风险防控</w:t>
            </w:r>
          </w:p>
        </w:tc>
        <w:tc>
          <w:tcPr>
            <w:tcW w:w="3913" w:type="dxa"/>
            <w:vMerge w:val="continue"/>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vMerge w:val="continue"/>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YS5109232540002</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四川大英经济开发区</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资源开发效率要求</w:t>
            </w:r>
          </w:p>
        </w:tc>
        <w:tc>
          <w:tcPr>
            <w:tcW w:w="3913"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土地资源开发效率要求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能源资源开发效率要求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能源消耗、污染物排放不得超过能源利用上线控制性指标。</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其他资源开发效率要求</w:t>
            </w:r>
          </w:p>
        </w:tc>
        <w:tc>
          <w:tcPr>
            <w:tcW w:w="1597"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YS5109232550001</w:t>
            </w:r>
          </w:p>
        </w:tc>
        <w:tc>
          <w:tcPr>
            <w:tcW w:w="955" w:type="dxa"/>
            <w:vMerge w:val="restart"/>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大英县自然资源重点管控区</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空间布局约束</w:t>
            </w:r>
          </w:p>
        </w:tc>
        <w:tc>
          <w:tcPr>
            <w:tcW w:w="3913" w:type="dxa"/>
            <w:vMerge w:val="restart"/>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vMerge w:val="restart"/>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YS5109232550001</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大英县自然资源重点管控区</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污染物排放管控</w:t>
            </w:r>
          </w:p>
        </w:tc>
        <w:tc>
          <w:tcPr>
            <w:tcW w:w="3913" w:type="dxa"/>
            <w:vMerge w:val="continue"/>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vMerge w:val="continue"/>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YS5109232550001</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大英县自然资源重点管控区</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环境风险防控</w:t>
            </w:r>
          </w:p>
        </w:tc>
        <w:tc>
          <w:tcPr>
            <w:tcW w:w="3913" w:type="dxa"/>
            <w:vMerge w:val="continue"/>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vMerge w:val="continue"/>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YS5109232550001</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大英县自然资源重点管控区</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资源开发效率要求</w:t>
            </w:r>
          </w:p>
        </w:tc>
        <w:tc>
          <w:tcPr>
            <w:tcW w:w="3913"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土地资源开发效率要求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能源资源开发效率要求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其他资源开发效率要求</w:t>
            </w:r>
          </w:p>
        </w:tc>
        <w:tc>
          <w:tcPr>
            <w:tcW w:w="1597"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ZH51092320002</w:t>
            </w:r>
          </w:p>
        </w:tc>
        <w:tc>
          <w:tcPr>
            <w:tcW w:w="955" w:type="dxa"/>
            <w:vMerge w:val="restart"/>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大英县工业集中发展区</w:t>
            </w:r>
            <w:r>
              <w:rPr>
                <w:rStyle w:val="27"/>
                <w:rFonts w:hint="eastAsia" w:eastAsia="宋体" w:cs="Times New Roman"/>
                <w:kern w:val="2"/>
                <w:sz w:val="21"/>
                <w:szCs w:val="21"/>
                <w:lang w:val="en-US" w:eastAsia="zh-CN" w:bidi="ar-SA"/>
              </w:rPr>
              <w:t>（</w:t>
            </w:r>
            <w:r>
              <w:rPr>
                <w:rStyle w:val="27"/>
                <w:rFonts w:hint="default" w:ascii="Times New Roman" w:hAnsi="Times New Roman" w:eastAsia="宋体" w:cs="Times New Roman"/>
                <w:kern w:val="2"/>
                <w:sz w:val="21"/>
                <w:szCs w:val="21"/>
                <w:lang w:val="en-US" w:eastAsia="zh-CN" w:bidi="ar-SA"/>
              </w:rPr>
              <w:t>含经开区</w:t>
            </w:r>
            <w:r>
              <w:rPr>
                <w:rStyle w:val="27"/>
                <w:rFonts w:hint="eastAsia" w:eastAsia="宋体" w:cs="Times New Roman"/>
                <w:kern w:val="2"/>
                <w:sz w:val="21"/>
                <w:szCs w:val="21"/>
                <w:lang w:val="en-US" w:eastAsia="zh-CN" w:bidi="ar-SA"/>
              </w:rPr>
              <w:t>）</w:t>
            </w:r>
          </w:p>
        </w:tc>
        <w:tc>
          <w:tcPr>
            <w:tcW w:w="3604" w:type="dxa"/>
            <w:vMerge w:val="restart"/>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1.禁止引入不符合园区用地性质或产业规划的工业企业。</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2.禁止在长江干支流、重要湖泊岸线一公里范围内新建、扩建化工园区和化工项目。</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3.禁止在长江流域河湖管理范围内倾倒、填埋、堆放、弃置、处理固体废物。</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4.未通过认定的化工园区，不得新建、改扩建化工项目（安全、环保、节能和智能化改造项目除外），按属地原则依法依规妥善做好未通过认定化工园区及园内企业的转型、关闭、处置及监管工作。</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1.严控新建、扩建“两高”项目，对现存企业执行最严格排放标准和总量控制要求。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2.长江干流及主要支流1公里范围内，严控新建石油化工、煤化工、涉磷、造纸、印染、制革等项目。</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现有属于禁止引入产业门类的企业，应按相关规定限期整治或退出。</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1.污水收集处理率达100%。</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2.园区污水处理厂达《城镇污水处理厂污染物排放标准》一级A标或更高标准。</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3.加快推进危险化学品生产企业搬迁改造工程。</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6.白酒行业参考执行更新后的四川省白酒行业资源环境绩效指标要求。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加强成都平原经济区信息共享和联动合作，协力推进产业和能源结构优化调整，加强大气污染源头防控，加强潼遂合作。</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1.企业环境风险防控要求：涉及有毒有害、易燃易爆物质的新建、改扩建项目，严控准入要求。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1.到2025年，万元工业增加值用水量下降到32.0m</w:t>
            </w:r>
            <w:r>
              <w:rPr>
                <w:rStyle w:val="27"/>
                <w:rFonts w:hint="default" w:ascii="Times New Roman" w:hAnsi="Times New Roman" w:eastAsia="宋体" w:cs="Times New Roman"/>
                <w:color w:val="000000"/>
                <w:kern w:val="0"/>
                <w:sz w:val="21"/>
                <w:szCs w:val="21"/>
                <w:vertAlign w:val="superscript"/>
                <w:lang w:val="en-US" w:eastAsia="zh-CN" w:bidi="ar-SA"/>
              </w:rPr>
              <w:t>3</w:t>
            </w:r>
            <w:r>
              <w:rPr>
                <w:rStyle w:val="27"/>
                <w:rFonts w:hint="default" w:ascii="Times New Roman" w:hAnsi="Times New Roman" w:eastAsia="宋体" w:cs="Times New Roman"/>
                <w:color w:val="000000"/>
                <w:kern w:val="0"/>
                <w:sz w:val="21"/>
                <w:szCs w:val="21"/>
                <w:lang w:val="en-US" w:eastAsia="zh-CN" w:bidi="ar-SA"/>
              </w:rPr>
              <w:t>/万元，重复利用率提高到84%；</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2.至2030年，万元工业增加值用水量进一步减少为28.0m</w:t>
            </w:r>
            <w:r>
              <w:rPr>
                <w:rStyle w:val="27"/>
                <w:rFonts w:hint="default" w:ascii="Times New Roman" w:hAnsi="Times New Roman" w:eastAsia="宋体" w:cs="Times New Roman"/>
                <w:color w:val="000000"/>
                <w:kern w:val="0"/>
                <w:sz w:val="21"/>
                <w:szCs w:val="21"/>
                <w:vertAlign w:val="superscript"/>
                <w:lang w:val="en-US" w:eastAsia="zh-CN" w:bidi="ar-SA"/>
              </w:rPr>
              <w:t>3</w:t>
            </w:r>
            <w:r>
              <w:rPr>
                <w:rStyle w:val="27"/>
                <w:rFonts w:hint="default" w:ascii="Times New Roman" w:hAnsi="Times New Roman" w:eastAsia="宋体" w:cs="Times New Roman"/>
                <w:color w:val="000000"/>
                <w:kern w:val="0"/>
                <w:sz w:val="21"/>
                <w:szCs w:val="21"/>
                <w:lang w:val="en-US" w:eastAsia="zh-CN" w:bidi="ar-SA"/>
              </w:rPr>
              <w:t>/万元，重复利用率提高到85%；</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3.新、改扩建项目水耗指标满足《四川省省级生态工业园区指标》综合类生态工业园区要求。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全面建设节水型社会，达到合理高效用水。</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1.扩大高污染燃料禁燃区范围，在市、县（区）、镇（乡）建成区全面实施“煤改气”“煤改电”。</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2.新、改扩建项目能耗指标满足《四川省省级生态工业园区指标》综合类生态工业园区要求。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3.实施新建项目与煤炭消费总量控制挂钩机制，耗煤建设项目实行煤炭消耗等量减量替代。</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4.提高煤炭利用效率和天然气利用占比，工业领域有序推进“煤改电”和“煤改气”。</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5.到2030年，能源消费总量控制在1000万吨标准煤以内。</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1.禁燃区内禁止燃烧以下高污染燃料：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（1）煤炭及其制品（包括原煤、散煤、煤矸石、煤泥、煤 粉、水浆煤、型煤、焦炭、兰炭、油类等常规燃料）。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（2）石油焦、油页岩、原油、重油、渣油、煤焦油。</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（3）非专用锅炉或未配置高效除尘设施的专用锅炉燃用的 生物质成型燃料。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2.禁燃区内禁止新建、扩建燃用高污染燃料的锅炉、炉窑、 炉灶等燃烧设施（集中供热、电厂锅炉除外）。</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3.自2020年1月1日起，禁燃区内禁止销售高污染燃料。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4.加强对集中供热、电厂锅炉、10蒸吨/时以上的在用燃煤锅炉以及改用清洁能源前的在用锅炉等燃烧设施的监管，确保达标排放。</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空间布局约束</w:t>
            </w:r>
          </w:p>
        </w:tc>
        <w:tc>
          <w:tcPr>
            <w:tcW w:w="3913"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禁止开发建设活动的要求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1.禁止新建纯碱、PVC项目</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2.禁止扩大合成氨或实施扩建氮肥项目</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3.禁止新引入涉及印染、染整、脱胶工序或产生缫丝、精炼废水的项目</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4.禁止引入印制电路板、集成电路制造、平板及柔性显示器件制造等耗、排水量大的项目</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5.禁止引进和新建涉及喷漆工艺家具制造（木制品加工）生产项目（使用粉末喷涂、水性涂料及UV涂料以及进入共享喷涂中心除外）</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6.禁止新建燃煤火电、金属冶炼、制浆（含废纸制浆）、屠宰、皮革鞣制、铅蓄电池制造、原油炼制、煤化工及发酵制药项目</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7.梨子坝、马家坝片区禁止新引入化工项目片区铅蓄电池生产企业限制发展，待远期条件成熟时，实现铅、汞、镉、铬、砷重金属污染物“零排放”或搬迁出园区</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8.规划区内郪江两侧自防洪堤外源控制线起50m区域纳入生态保护范围，禁止开展采矿、挖沙取土或工业活动</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9.其他参照遂宁市总体准入要求-工业重点管控单元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限制开发建设活动的要求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1.严格限制钢铁、水泥、平板玻璃、有色金属冶炼等高污染、高耗能项目</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2.限制引进和新建涉及有机溶剂使用和挥发性有机物排放的低固份油性涂料生产、沥青类防水材料生产、人造板生产等项目；</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3.限制高耗水、高污染企业入驻，严控入河污染物</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4.其他参照遂宁市总体准入要求-工业重点管控单元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允许开发建设活动的要求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不符合空间布局要求活动的退出要求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1.岸线一公里范围内的化工企业：（1）根据《中华人民共和国长江保护法》，禁止在长江干支流岸线一公里范围内新建、扩建化工项目（2） 现存化工企业，符合所在法定保护地管理规定、具有合法手续且污染物排放及环境风险满足管理要求，可继续保留</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2.其他参照遂宁市总体准入要求-工业重点管控单元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其他空间布局约束要求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eastAsia" w:ascii="Times New Roman" w:hAnsi="Times New Roman" w:eastAsia="宋体" w:cs="Times New Roman"/>
                <w:kern w:val="2"/>
                <w:sz w:val="21"/>
                <w:szCs w:val="21"/>
                <w:lang w:val="en-US" w:eastAsia="zh-CN" w:bidi="ar-SA"/>
              </w:rPr>
              <w:t>本项目为供热项目，属于规划区主导产业相配套产业，为鼓励类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ZH51092320002</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大英县工业集中发展区</w:t>
            </w:r>
            <w:r>
              <w:rPr>
                <w:rStyle w:val="27"/>
                <w:rFonts w:hint="eastAsia" w:eastAsia="宋体" w:cs="Times New Roman"/>
                <w:kern w:val="2"/>
                <w:sz w:val="21"/>
                <w:szCs w:val="21"/>
                <w:lang w:val="en-US" w:eastAsia="zh-CN" w:bidi="ar-SA"/>
              </w:rPr>
              <w:t>（</w:t>
            </w:r>
            <w:r>
              <w:rPr>
                <w:rStyle w:val="27"/>
                <w:rFonts w:hint="default" w:ascii="Times New Roman" w:hAnsi="Times New Roman" w:eastAsia="宋体" w:cs="Times New Roman"/>
                <w:kern w:val="2"/>
                <w:sz w:val="21"/>
                <w:szCs w:val="21"/>
                <w:lang w:val="en-US" w:eastAsia="zh-CN" w:bidi="ar-SA"/>
              </w:rPr>
              <w:t>含经开区</w:t>
            </w:r>
            <w:r>
              <w:rPr>
                <w:rStyle w:val="27"/>
                <w:rFonts w:hint="eastAsia" w:eastAsia="宋体" w:cs="Times New Roman"/>
                <w:kern w:val="2"/>
                <w:sz w:val="21"/>
                <w:szCs w:val="21"/>
                <w:lang w:val="en-US" w:eastAsia="zh-CN" w:bidi="ar-SA"/>
              </w:rPr>
              <w:t>）</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1.禁止引入不符合园区用地性质或产业规划的工业企业。</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2.禁止在长江干支流、重要湖泊岸线一公里范围内新建、扩建化工园区和化工项目。</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3.禁止在长江流域河湖管理范围内倾倒、填埋、堆放、弃置、处理固体废物。</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4.未通过认定的化工园区，不得新建、改扩建化工项目（安全、环保、节能和智能化改造项目除外），按属地原则依法依规妥善做好未通过认定化工园区及园内企业的转型、关闭、处置及监管工作。</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1.严控新建、扩建“两高”项目，对现存企业执行最严格排放标准和总量控制要求。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2.长江干流及主要支流1公里范围内，严控新建石油化工、煤化工、涉磷、造纸、印染、制革等项目。</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现有属于禁止引入产业门类的企业，应按相关规定限期整治或退出。</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1.污水收集处理率达100%。</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2.园区污水处理厂达《城镇污水处理厂污染物排放标准》一级A标或更高标准。</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3.加快推进危险化学品生产企业搬迁改造工程。</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6.白酒行业参考执行更新后的四川省白酒行业资源环境绩效指标要求。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加强成都平原经济区信息共享和联动合作，协力推进产业和能源结构优化调整，加强大气污染源头防控，加强潼遂合作。</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1.企业环境风险防控要求：涉及有毒有害、易燃易爆物质的新建、改扩建项目，严控准入要求。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1.到2025年，万元工业增加值用水量下降到32.0m3/万元，重复利用率提高到84%；</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2.至2030年，万元工业增加值用水量进一步减少为28.0m3/万元，重复利用率提高到85%；</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3.新、改扩建项目水耗指标满足《四川省省级生态工业园区指标》综合类生态工业园区要求。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全面建设节水型社会，达到合理高效用水。</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1.扩大高污染燃料禁燃区范围，在市、县（区）、镇（乡）建成区全面实施“煤改气”“煤改电”。</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2.新、改扩建项目能耗指标满足《四川省省级生态工业园区指标》综合类生态工业园区要求。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3.实施新建项目与煤炭消费总量控制挂钩机制，耗煤建设项目实行煤炭消耗等量减量替代。</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4.提高煤炭利用效率和天然气利用占比，工业领域有序推进“煤改电”和“煤改气”。</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5.到2030年，能源消费总量控制在1000万吨标准煤以内。</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1.禁燃区内禁止燃烧以下高污染燃料：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（1）煤炭及其制品（包括原煤、散煤、煤矸石、煤泥、煤 粉、水浆煤、型煤、焦炭、兰炭、油类等常规燃料）。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（2）石油焦、油页岩、原油、重油、渣油、煤焦油。</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（3）非专用锅炉或未配置高效除尘设施的专用锅炉燃用的 生物质成型燃料。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2.禁燃区内禁止新建、扩建燃用高污染燃料的锅炉、炉窑、 炉灶等燃烧设施（集中供热、电厂锅炉除外）。</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3.自2020年1月1日起，禁燃区内禁止销售高污染燃料。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4.加强对集中供热、电厂锅炉、10蒸吨/时以上的在用燃煤锅炉以及改用清洁能源前的在用锅炉等燃烧设施的监管，确保达标排放。</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污染物排放管控</w:t>
            </w:r>
          </w:p>
        </w:tc>
        <w:tc>
          <w:tcPr>
            <w:tcW w:w="3913"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现有源提标升级改造</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1.燃煤热电锅炉完成超低排放改造，规模在20蒸吨/时及以上的现有大中型燃煤锅炉应全部实施脱硫，脱硫效率达到70%以上。</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2.新建化工项目必须配套建设高效脱硫、脱硝、除尘设施，脱硝效率不低于70%。</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3.加强中水回用，逐步将工业污水处理厂中水回用于工业企业的冷却用水等生产性用水，远期回用率达到30%；</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4.其他参照遂宁市总体准入要求-工业重点管控单元。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新增源等量或倍量替代</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新增源排放标准限值</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1.项目产生的生产废水由企业自行处理达到《污水综合排放标准》三级或相应的行业排放标准后排入园区污水处理厂处理达《城镇污水处理厂污染物排放标准》一级A标或更严格标准后排放。</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2.其他参照遂宁市总体准入要求-工业重点管控单元。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污染物排放绩效水平准入要求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其他污染物排放管控要求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noWrap w:val="0"/>
            <w:vAlign w:val="center"/>
          </w:tcPr>
          <w:p>
            <w:pPr>
              <w:pStyle w:val="104"/>
              <w:widowControl/>
              <w:shd w:val="clear" w:color="auto" w:fill="FFFFFF"/>
              <w:spacing w:line="240" w:lineRule="auto"/>
              <w:ind w:firstLine="0" w:firstLineChars="0"/>
              <w:jc w:val="left"/>
              <w:rPr>
                <w:rStyle w:val="27"/>
                <w:rFonts w:hint="eastAsia" w:ascii="Times New Roman" w:hAnsi="Times New Roman" w:eastAsia="宋体" w:cs="Times New Roman"/>
                <w:kern w:val="2"/>
                <w:sz w:val="21"/>
                <w:szCs w:val="21"/>
                <w:lang w:val="en-US" w:eastAsia="zh-CN" w:bidi="ar-SA"/>
              </w:rPr>
            </w:pPr>
            <w:r>
              <w:rPr>
                <w:rStyle w:val="27"/>
                <w:rFonts w:hint="eastAsia" w:ascii="Times New Roman" w:hAnsi="Times New Roman" w:eastAsia="宋体" w:cs="Times New Roman"/>
                <w:kern w:val="2"/>
                <w:sz w:val="21"/>
                <w:szCs w:val="21"/>
                <w:lang w:val="en-US" w:eastAsia="zh-CN" w:bidi="ar-SA"/>
              </w:rPr>
              <w:t>本项目为生物质气燃气锅炉，不属于燃煤锅炉；</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新增源排放标准限值</w:t>
            </w:r>
            <w:r>
              <w:rPr>
                <w:rStyle w:val="27"/>
                <w:rFonts w:hint="eastAsia" w:eastAsia="宋体" w:cs="Times New Roman"/>
                <w:kern w:val="2"/>
                <w:sz w:val="21"/>
                <w:szCs w:val="21"/>
                <w:lang w:val="en-US" w:eastAsia="zh-CN" w:bidi="ar-SA"/>
              </w:rPr>
              <w:t>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项目产生的</w:t>
            </w:r>
            <w:r>
              <w:rPr>
                <w:rStyle w:val="27"/>
                <w:rFonts w:hint="eastAsia" w:ascii="Times New Roman" w:hAnsi="Times New Roman" w:eastAsia="宋体" w:cs="Times New Roman"/>
                <w:kern w:val="2"/>
                <w:sz w:val="21"/>
                <w:szCs w:val="21"/>
                <w:lang w:val="en-US" w:eastAsia="zh-CN" w:bidi="ar-SA"/>
              </w:rPr>
              <w:t>锅炉废水、生活污水</w:t>
            </w:r>
            <w:r>
              <w:rPr>
                <w:rStyle w:val="27"/>
                <w:rFonts w:hint="default" w:ascii="Times New Roman" w:hAnsi="Times New Roman" w:eastAsia="宋体" w:cs="Times New Roman"/>
                <w:kern w:val="2"/>
                <w:sz w:val="21"/>
                <w:szCs w:val="21"/>
                <w:lang w:val="en-US" w:eastAsia="zh-CN" w:bidi="ar-SA"/>
              </w:rPr>
              <w:t>由企业自行处理达到《地表水环境质量标准》（GB3838-2002）中Ⅲ类水体标准后排放。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ZH51092320002</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大英县工业集中发展区</w:t>
            </w:r>
            <w:r>
              <w:rPr>
                <w:rStyle w:val="27"/>
                <w:rFonts w:hint="eastAsia" w:eastAsia="宋体" w:cs="Times New Roman"/>
                <w:kern w:val="2"/>
                <w:sz w:val="21"/>
                <w:szCs w:val="21"/>
                <w:lang w:val="en-US" w:eastAsia="zh-CN" w:bidi="ar-SA"/>
              </w:rPr>
              <w:t>（</w:t>
            </w:r>
            <w:r>
              <w:rPr>
                <w:rStyle w:val="27"/>
                <w:rFonts w:hint="default" w:ascii="Times New Roman" w:hAnsi="Times New Roman" w:eastAsia="宋体" w:cs="Times New Roman"/>
                <w:kern w:val="2"/>
                <w:sz w:val="21"/>
                <w:szCs w:val="21"/>
                <w:lang w:val="en-US" w:eastAsia="zh-CN" w:bidi="ar-SA"/>
              </w:rPr>
              <w:t>含经开区</w:t>
            </w:r>
            <w:r>
              <w:rPr>
                <w:rStyle w:val="27"/>
                <w:rFonts w:hint="eastAsia" w:eastAsia="宋体" w:cs="Times New Roman"/>
                <w:kern w:val="2"/>
                <w:sz w:val="21"/>
                <w:szCs w:val="21"/>
                <w:lang w:val="en-US" w:eastAsia="zh-CN" w:bidi="ar-SA"/>
              </w:rPr>
              <w:t>）</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1.禁止引入不符合园区用地性质或产业规划的工业企业。</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2.禁止在长江干支流、重要湖泊岸线一公里范围内新建、扩建化工园区和化工项目。</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3.禁止在长江流域河湖管理范围内倾倒、填埋、堆放、弃置、处理固体废物。</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4.未通过认定的化工园区，不得新建、改扩建化工项目（安全、环保、节能和智能化改造项目除外），按属地原则依法依规妥善做好未通过认定化工园区及园内企业的转型、关闭、处置及监管工作。</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1.严控新建、扩建“两高”项目，对现存企业执行最严格排放标准和总量控制要求。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2.长江干流及主要支流1公里范围内，严控新建石油化工、煤化工、涉磷、造纸、印染、制革等项目。</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现有属于禁止引入产业门类的企业，应按相关规定限期整治或退出。</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1.污水收集处理率达100%。</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2.园区污水处理厂达《城镇污水处理厂污染物排放标准》一级A标或更高标准。</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3.加快推进危险化学品生产企业搬迁改造工程。</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6.白酒行业参考执行更新后的四川省白酒行业资源环境绩效指标要求。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加强成都平原经济区信息共享和联动合作，协力推进产业和能源结构优化调整，加强大气污染源头防控，加强潼遂合作。</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1.企业环境风险防控要求：涉及有毒有害、易燃易爆物质的新建、改扩建项目，严控准入要求。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1.到2025年，万元工业增加值用水量下降到32.0m3/万元，重复利用率提高到84%；</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2.至2030年，万元工业增加值用水量进一步减少为28.0m3/万元，重复利用率提高到85%；</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3.新、改扩建项目水耗指标满足《四川省省级生态工业园区指标》综合类生态工业园区要求。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全面建设节水型社会，达到合理高效用水。</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1.扩大高污染燃料禁燃区范围，在市、县（区）、镇（乡）建成区全面实施“煤改气”“煤改电”。</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2.新、改扩建项目能耗指标满足《四川省省级生态工业园区指标》综合类生态工业园区要求。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3.实施新建项目与煤炭消费总量控制挂钩机制，耗煤建设项目实行煤炭消耗等量减量替代。</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4.提高煤炭利用效率和天然气利用占比，工业领域有序推进“煤改电”和“煤改气”。</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5.到2030年，能源消费总量控制在1000万吨标准煤以内。</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1.禁燃区内禁止燃烧以下高污染燃料：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（1）煤炭及其制品（包括原煤、散煤、煤矸石、煤泥、煤 粉、水浆煤、型煤、焦炭、兰炭、油类等常规燃料）。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（2）石油焦、油页岩、原油、重油、渣油、煤焦油。</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（3）非专用锅炉或未配置高效除尘设施的专用锅炉燃用的 生物质成型燃料。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2.禁燃区内禁止新建、扩建燃用高污染燃料的锅炉、炉窑、 炉灶等燃烧设施（集中供热、电厂锅炉除外）。</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3.自2020年1月1日起，禁燃区内禁止销售高污染燃料。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4.加强对集中供热、电厂锅炉、10蒸吨/时以上的在用燃煤锅炉以及改用清洁能源前的在用锅炉等燃烧设施的监管，确保达标排放。</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环境风险防控</w:t>
            </w:r>
          </w:p>
        </w:tc>
        <w:tc>
          <w:tcPr>
            <w:tcW w:w="3913"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严格管控类农用地管控要求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安全利用类农用地管控要求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污染地块管控要求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园区环境风险防控要求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1.距城区500m范围内禁止引入环境风险潜势等级III级及以上的建设项目。</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2.其他参照遂宁市总体准入要求-工业重点管控单元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企业环境风险防控要求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其他环境风险防控要求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597"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eastAsia" w:ascii="Times New Roman" w:hAnsi="Times New Roman" w:eastAsia="宋体" w:cs="Times New Roman"/>
                <w:kern w:val="2"/>
                <w:sz w:val="21"/>
                <w:szCs w:val="21"/>
                <w:lang w:val="en-US" w:eastAsia="zh-CN" w:bidi="ar-SA"/>
              </w:rPr>
              <w:t>本项目环境风险等级为IV级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ZH51092320002</w:t>
            </w:r>
          </w:p>
        </w:tc>
        <w:tc>
          <w:tcPr>
            <w:tcW w:w="955" w:type="dxa"/>
            <w:vMerge w:val="continue"/>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大英县工业集中发展区</w:t>
            </w:r>
            <w:r>
              <w:rPr>
                <w:rStyle w:val="27"/>
                <w:rFonts w:hint="eastAsia" w:eastAsia="宋体" w:cs="Times New Roman"/>
                <w:kern w:val="2"/>
                <w:sz w:val="21"/>
                <w:szCs w:val="21"/>
                <w:lang w:val="en-US" w:eastAsia="zh-CN" w:bidi="ar-SA"/>
              </w:rPr>
              <w:t>（</w:t>
            </w:r>
            <w:r>
              <w:rPr>
                <w:rStyle w:val="27"/>
                <w:rFonts w:hint="default" w:ascii="Times New Roman" w:hAnsi="Times New Roman" w:eastAsia="宋体" w:cs="Times New Roman"/>
                <w:kern w:val="2"/>
                <w:sz w:val="21"/>
                <w:szCs w:val="21"/>
                <w:lang w:val="en-US" w:eastAsia="zh-CN" w:bidi="ar-SA"/>
              </w:rPr>
              <w:t>含经开区</w:t>
            </w:r>
            <w:r>
              <w:rPr>
                <w:rStyle w:val="27"/>
                <w:rFonts w:hint="eastAsia" w:eastAsia="宋体" w:cs="Times New Roman"/>
                <w:kern w:val="2"/>
                <w:sz w:val="21"/>
                <w:szCs w:val="21"/>
                <w:lang w:val="en-US" w:eastAsia="zh-CN" w:bidi="ar-SA"/>
              </w:rPr>
              <w:t>）</w:t>
            </w:r>
          </w:p>
        </w:tc>
        <w:tc>
          <w:tcPr>
            <w:tcW w:w="3604" w:type="dxa"/>
            <w:vMerge w:val="continue"/>
            <w:noWrap w:val="0"/>
            <w:vAlign w:val="top"/>
          </w:tcPr>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1.禁止引入不符合园区用地性质或产业规划的工业企业。</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2.禁止在长江干支流、重要湖泊岸线一公里范围内新建、扩建化工园区和化工项目。</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3.禁止在长江流域河湖管理范围内倾倒、填埋、堆放、弃置、处理固体废物。</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4.未通过认定的化工园区，不得新建、改扩建化工项目（安全、环保、节能和智能化改造项目除外），按属地原则依法依规妥善做好未通过认定化工园区及园内企业的转型、关闭、处置及监管工作。</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1.严控新建、扩建“两高”项目，对现存企业执行最严格排放标准和总量控制要求。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2.长江干流及主要支流1公里范围内，严控新建石油化工、煤化工、涉磷、造纸、印染、制革等项目。</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现有属于禁止引入产业门类的企业，应按相关规定限期整治或退出。</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允许排放量要求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1.污水收集处理率达100%。</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2.园区污水处理厂达《城镇污水处理厂污染物排放标准》一级A标或更高标准。</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3.加快推进危险化学品生产企业搬迁改造工程。</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6.白酒行业参考执行更新后的四川省白酒行业资源环境绩效指标要求。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联防联控要求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加强成都平原经济区信息共享和联动合作，协力推进产业和能源结构优化调整，加强大气污染源头防控，加强潼遂合作。</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1.企业环境风险防控要求：涉及有毒有害、易燃易爆物质的新建、改扩建项目，严控准入要求。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1.到2025年，万元工业增加值用水量下降到32.0m3/万元，重复利用率提高到84%；</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2.至2030年，万元工业增加值用水量进一步减少为28.0m3/万元，重复利用率提高到85%；</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3.新、改扩建项目水耗指标满足《四川省省级生态工业园区指标》综合类生态工业园区要求。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全面建设节水型社会，达到合理高效用水。</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1.扩大高污染燃料禁燃区范围，在市、县（区）、镇（乡）建成区全面实施“煤改气”“煤改电”。</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2.新、改扩建项目能耗指标满足《四川省省级生态工业园区指标》综合类生态工业园区要求。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3.实施新建项目与煤炭消费总量控制挂钩机制，耗煤建设项目实行煤炭消耗等量减量替代。</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4.提高煤炭利用效率和天然气利用占比，工业领域有序推进“煤改电”和“煤改气”。</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5.到2030年，能源消费总量控制在1000万吨标准煤以内。</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1.禁燃区内禁止燃烧以下高污染燃料：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（1）煤炭及其制品（包括原煤、散煤、煤矸石、煤泥、煤 粉、水浆煤、型煤、焦炭、兰炭、油类等常规燃料）。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（2）石油焦、油页岩、原油、重油、渣油、煤焦油。</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（3）非专用锅炉或未配置高效除尘设施的专用锅炉燃用的 生物质成型燃料。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2.禁燃区内禁止新建、扩建燃用高污染燃料的锅炉、炉窑、 炉灶等燃烧设施（集中供热、电厂锅炉除外）。</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3.自2020年1月1日起，禁燃区内禁止销售高污染燃料。</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4.加强对集中供热、电厂锅炉、10蒸吨/时以上的在用燃煤锅炉以及改用清洁能源前的在用锅炉等燃烧设施的监管，确保达标排放。</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pStyle w:val="10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tc>
        <w:tc>
          <w:tcPr>
            <w:tcW w:w="2546" w:type="dxa"/>
            <w:noWrap w:val="0"/>
            <w:vAlign w:val="center"/>
          </w:tcPr>
          <w:p>
            <w:pPr>
              <w:pStyle w:val="104"/>
              <w:widowControl/>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资源开发效率要求</w:t>
            </w:r>
          </w:p>
        </w:tc>
        <w:tc>
          <w:tcPr>
            <w:tcW w:w="3913"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水资源利用效率要求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地下水开采要求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（1）大英县2030年地下水开采控制量保持在0.06亿m</w:t>
            </w:r>
            <w:r>
              <w:rPr>
                <w:rStyle w:val="27"/>
                <w:rFonts w:hint="default" w:ascii="Times New Roman" w:hAnsi="Times New Roman" w:eastAsia="宋体" w:cs="Times New Roman"/>
                <w:kern w:val="2"/>
                <w:sz w:val="21"/>
                <w:szCs w:val="21"/>
                <w:vertAlign w:val="superscript"/>
                <w:lang w:val="en-US" w:eastAsia="zh-CN" w:bidi="ar-SA"/>
              </w:rPr>
              <w:t>3</w:t>
            </w:r>
            <w:r>
              <w:rPr>
                <w:rStyle w:val="27"/>
                <w:rFonts w:hint="default" w:ascii="Times New Roman" w:hAnsi="Times New Roman" w:eastAsia="宋体" w:cs="Times New Roman"/>
                <w:kern w:val="2"/>
                <w:sz w:val="21"/>
                <w:szCs w:val="21"/>
                <w:lang w:val="en-US" w:eastAsia="zh-CN" w:bidi="ar-SA"/>
              </w:rPr>
              <w:t>以内。（2）全面建设节水型社会，达到合理高效用水。</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能源利用效率要求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其他资源利用效率要求</w:t>
            </w:r>
          </w:p>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禁燃区管控要求：参照遂宁市总体准入要求-工业重点管控单元</w:t>
            </w:r>
          </w:p>
        </w:tc>
        <w:tc>
          <w:tcPr>
            <w:tcW w:w="1597" w:type="dxa"/>
            <w:noWrap w:val="0"/>
            <w:vAlign w:val="center"/>
          </w:tcPr>
          <w:p>
            <w:pPr>
              <w:pStyle w:val="104"/>
              <w:widowControl/>
              <w:shd w:val="clear" w:color="auto" w:fill="FFFFFF"/>
              <w:spacing w:line="240" w:lineRule="auto"/>
              <w:ind w:firstLine="0" w:firstLineChars="0"/>
              <w:jc w:val="left"/>
              <w:rPr>
                <w:rStyle w:val="27"/>
                <w:rFonts w:hint="default" w:ascii="Times New Roman" w:hAnsi="Times New Roman" w:eastAsia="宋体" w:cs="Times New Roman"/>
                <w:kern w:val="2"/>
                <w:sz w:val="21"/>
                <w:szCs w:val="21"/>
                <w:lang w:val="en-US" w:eastAsia="zh-CN" w:bidi="ar-SA"/>
              </w:rPr>
            </w:pPr>
            <w:r>
              <w:rPr>
                <w:rStyle w:val="27"/>
                <w:rFonts w:hint="eastAsia" w:ascii="Times New Roman" w:hAnsi="Times New Roman" w:eastAsia="宋体" w:cs="Times New Roman"/>
                <w:kern w:val="2"/>
                <w:sz w:val="21"/>
                <w:szCs w:val="21"/>
                <w:lang w:val="en-US" w:eastAsia="zh-CN" w:bidi="ar-SA"/>
              </w:rPr>
              <w:t>本项目不涉及</w:t>
            </w:r>
          </w:p>
        </w:tc>
      </w:tr>
    </w:tbl>
    <w:p>
      <w:pPr>
        <w:pStyle w:val="2"/>
        <w:rPr>
          <w:rFonts w:hint="default" w:ascii="Times New Roman" w:hAnsi="Times New Roman" w:cs="Times New Roman"/>
          <w:sz w:val="21"/>
          <w:szCs w:val="22"/>
          <w:lang w:val="en-US" w:eastAsia="zh-CN"/>
        </w:rPr>
      </w:pPr>
    </w:p>
    <w:p>
      <w:pPr>
        <w:pStyle w:val="2"/>
        <w:rPr>
          <w:rFonts w:hint="default" w:ascii="Times New Roman" w:hAnsi="Times New Roman" w:cs="Times New Roman"/>
          <w:sz w:val="21"/>
          <w:szCs w:val="22"/>
          <w:lang w:val="en-US" w:eastAsia="zh-CN"/>
        </w:rPr>
      </w:pPr>
    </w:p>
    <w:p>
      <w:pPr>
        <w:pStyle w:val="2"/>
        <w:rPr>
          <w:rFonts w:hint="default" w:ascii="Times New Roman" w:hAnsi="Times New Roman" w:cs="Times New Roman"/>
          <w:sz w:val="21"/>
          <w:szCs w:val="22"/>
          <w:lang w:val="en-US" w:eastAsia="zh-CN"/>
        </w:rPr>
      </w:pPr>
    </w:p>
    <w:p>
      <w:pPr>
        <w:pStyle w:val="2"/>
        <w:rPr>
          <w:rFonts w:hint="default" w:ascii="Times New Roman" w:hAnsi="Times New Roman" w:cs="Times New Roman"/>
          <w:sz w:val="21"/>
          <w:szCs w:val="22"/>
          <w:lang w:val="en-US" w:eastAsia="zh-CN"/>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p>
      <w:pPr>
        <w:pStyle w:val="2"/>
        <w:rPr>
          <w:rFonts w:hint="default" w:ascii="Times New Roman" w:hAnsi="Times New Roman" w:cs="Times New Roman"/>
          <w:lang w:val="en-US" w:eastAsia="zh-CN"/>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78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5" w:type="dxa"/>
            <w:vAlign w:val="center"/>
          </w:tcPr>
          <w:p>
            <w:pPr>
              <w:autoSpaceDE w:val="0"/>
              <w:autoSpaceDN w:val="0"/>
              <w:adjustRightInd w:val="0"/>
              <w:snapToGrid w:val="0"/>
              <w:jc w:val="center"/>
              <w:rPr>
                <w:rFonts w:hint="default" w:ascii="Times New Roman" w:hAnsi="Times New Roman" w:cs="Times New Roman"/>
                <w:kern w:val="0"/>
                <w:sz w:val="24"/>
              </w:rPr>
            </w:pPr>
          </w:p>
        </w:tc>
        <w:tc>
          <w:tcPr>
            <w:tcW w:w="7765" w:type="dxa"/>
            <w:vAlign w:val="center"/>
          </w:tcPr>
          <w:p>
            <w:pPr>
              <w:pStyle w:val="106"/>
              <w:numPr>
                <w:ilvl w:val="0"/>
                <w:numId w:val="0"/>
              </w:numPr>
              <w:jc w:val="left"/>
              <w:rPr>
                <w:rFonts w:hint="default" w:ascii="Times New Roman" w:hAnsi="Times New Roman" w:eastAsia="宋体" w:cs="Times New Roman"/>
                <w:b/>
                <w:bCs/>
                <w:color w:val="000000" w:themeColor="text1"/>
                <w:sz w:val="24"/>
                <w:highlight w:val="none"/>
                <w:lang w:val="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highlight w:val="none"/>
                <w:lang w:val="zh-CN"/>
                <w14:textFill>
                  <w14:solidFill>
                    <w14:schemeClr w14:val="tx1"/>
                  </w14:solidFill>
                </w14:textFill>
              </w:rPr>
              <w:t>与</w:t>
            </w:r>
            <w:r>
              <w:rPr>
                <w:rFonts w:hint="default" w:ascii="Times New Roman" w:hAnsi="Times New Roman" w:cs="Times New Roman"/>
                <w:b/>
                <w:bCs/>
                <w:color w:val="000000" w:themeColor="text1"/>
                <w:sz w:val="24"/>
                <w:szCs w:val="24"/>
                <w:highlight w:val="none"/>
                <w:lang w:val="zh-CN"/>
                <w14:textFill>
                  <w14:solidFill>
                    <w14:schemeClr w14:val="tx1"/>
                  </w14:solidFill>
                </w14:textFill>
              </w:rPr>
              <w:t>长江经济带发展负面</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清单</w:t>
            </w:r>
            <w:r>
              <w:rPr>
                <w:rFonts w:hint="default" w:ascii="Times New Roman" w:hAnsi="Times New Roman" w:eastAsia="宋体" w:cs="Times New Roman"/>
                <w:b/>
                <w:bCs/>
                <w:color w:val="000000" w:themeColor="text1"/>
                <w:sz w:val="24"/>
                <w:szCs w:val="24"/>
                <w:highlight w:val="none"/>
                <w:lang w:val="zh-CN"/>
                <w14:textFill>
                  <w14:solidFill>
                    <w14:schemeClr w14:val="tx1"/>
                  </w14:solidFill>
                </w14:textFill>
              </w:rPr>
              <w:t>符合</w:t>
            </w:r>
            <w:r>
              <w:rPr>
                <w:rFonts w:hint="default" w:ascii="Times New Roman" w:hAnsi="Times New Roman" w:eastAsia="宋体" w:cs="Times New Roman"/>
                <w:b/>
                <w:bCs/>
                <w:color w:val="000000" w:themeColor="text1"/>
                <w:sz w:val="24"/>
                <w:highlight w:val="none"/>
                <w:lang w:val="zh-CN"/>
                <w14:textFill>
                  <w14:solidFill>
                    <w14:schemeClr w14:val="tx1"/>
                  </w14:solidFill>
                </w14:textFill>
              </w:rPr>
              <w:t>性分析</w:t>
            </w:r>
          </w:p>
          <w:p>
            <w:pPr>
              <w:pStyle w:val="10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022年1月29日推动长江经济带发展领导小组办公室发布了</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《长江经济带发展负面</w:t>
            </w:r>
            <w:r>
              <w:rPr>
                <w:rFonts w:hint="default" w:ascii="Times New Roman" w:hAnsi="Times New Roman" w:cs="Times New Roman"/>
                <w:b w:val="0"/>
                <w:bCs/>
                <w:color w:val="000000" w:themeColor="text1"/>
                <w:sz w:val="24"/>
                <w:szCs w:val="24"/>
                <w:highlight w:val="none"/>
                <w:lang w:val="zh-CN"/>
                <w14:textFill>
                  <w14:solidFill>
                    <w14:schemeClr w14:val="tx1"/>
                  </w14:solidFill>
                </w14:textFill>
              </w:rPr>
              <w:t>清单</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指南试行（</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2022版</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）》（长江办〔</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2022</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7号</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，2022年8月25日四川省及重庆市推动长江经济带发展领导小组办公室发布了</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四川省、重庆市</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长江经济带发展负面</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清单实施细则</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试行，</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2022版</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川长江办</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2022</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7号</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）。根据文件精神，本项目符合性分析如下：</w:t>
            </w:r>
          </w:p>
          <w:p>
            <w:pPr>
              <w:jc w:val="center"/>
              <w:rPr>
                <w:rFonts w:hint="default" w:ascii="Times New Roman" w:hAnsi="Times New Roman" w:cs="Times New Roman"/>
                <w:b/>
                <w:bCs/>
                <w:color w:val="000000" w:themeColor="text1"/>
                <w:sz w:val="21"/>
                <w:szCs w:val="21"/>
                <w:highlight w:val="none"/>
                <w:lang w:val="zh-CN"/>
                <w14:textFill>
                  <w14:solidFill>
                    <w14:schemeClr w14:val="tx1"/>
                  </w14:solidFill>
                </w14:textFill>
              </w:rPr>
            </w:pPr>
            <w:r>
              <w:rPr>
                <w:rFonts w:hint="default" w:ascii="Times New Roman" w:hAnsi="Times New Roman" w:cs="Times New Roman"/>
                <w:b/>
                <w:bCs/>
                <w:color w:val="000000" w:themeColor="text1"/>
                <w:sz w:val="21"/>
                <w:szCs w:val="21"/>
                <w:highlight w:val="none"/>
                <w:lang w:val="zh-CN"/>
                <w14:textFill>
                  <w14:solidFill>
                    <w14:schemeClr w14:val="tx1"/>
                  </w14:solidFill>
                </w14:textFill>
              </w:rPr>
              <w:t>表1-</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b/>
                <w:bCs/>
                <w:color w:val="000000" w:themeColor="text1"/>
                <w:sz w:val="21"/>
                <w:szCs w:val="21"/>
                <w:highlight w:val="none"/>
                <w:lang w:val="zh-CN"/>
                <w14:textFill>
                  <w14:solidFill>
                    <w14:schemeClr w14:val="tx1"/>
                  </w14:solidFill>
                </w14:textFill>
              </w:rPr>
              <w:t>项目与长江办〔2022〕7号符合性分析</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29"/>
              <w:gridCol w:w="1531"/>
              <w:gridCol w:w="8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446"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长江办〔2022〕7号</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文件</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要求</w:t>
                  </w:r>
                </w:p>
              </w:tc>
              <w:tc>
                <w:tcPr>
                  <w:tcW w:w="1009"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情况</w:t>
                  </w:r>
                </w:p>
              </w:tc>
              <w:tc>
                <w:tcPr>
                  <w:tcW w:w="544"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446"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1009"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3446"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009"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3446"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009"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3446"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009"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446"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009"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446"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禁止未经许可在长江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干支流</w:t>
                  </w:r>
                  <w:r>
                    <w:rPr>
                      <w:rFonts w:hint="default" w:ascii="Times New Roman" w:hAnsi="Times New Roman" w:eastAsia="宋体" w:cs="Times New Roman"/>
                      <w:color w:val="000000" w:themeColor="text1"/>
                      <w:sz w:val="21"/>
                      <w:szCs w:val="21"/>
                      <w:highlight w:val="none"/>
                      <w14:textFill>
                        <w14:solidFill>
                          <w14:schemeClr w14:val="tx1"/>
                        </w14:solidFill>
                      </w14:textFill>
                    </w:rPr>
                    <w:t>及湖泊新设、改设或扩大排污口。</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446"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禁止在“一江一口两湖七河”和332个水生生物保护区开展生产性捕捞。</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3446"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禁止在长江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干支流</w:t>
                  </w:r>
                  <w:r>
                    <w:rPr>
                      <w:rFonts w:hint="default" w:ascii="Times New Roman" w:hAnsi="Times New Roman" w:eastAsia="宋体" w:cs="Times New Roman"/>
                      <w:color w:val="000000" w:themeColor="text1"/>
                      <w:sz w:val="21"/>
                      <w:szCs w:val="21"/>
                      <w:highlight w:val="none"/>
                      <w14:textFill>
                        <w14:solidFill>
                          <w14:schemeClr w14:val="tx1"/>
                        </w14:solidFill>
                      </w14:textFill>
                    </w:rPr>
                    <w:t>、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3446"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禁止在合规园区外新建、扩建钢铁、石化、化工、焦化、建材、有色、制浆造纸等高污染项目。</w:t>
                  </w:r>
                </w:p>
              </w:tc>
              <w:tc>
                <w:tcPr>
                  <w:tcW w:w="1009"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位于四川大英经济开发区，属合规园区</w:t>
                  </w:r>
                </w:p>
              </w:tc>
              <w:tc>
                <w:tcPr>
                  <w:tcW w:w="544"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446"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禁止新建、扩建不符合国家石化、现代煤化工等产业布局规划的项目。</w:t>
                  </w:r>
                </w:p>
              </w:tc>
              <w:tc>
                <w:tcPr>
                  <w:tcW w:w="1009" w:type="pct"/>
                  <w:vMerge w:val="restar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本项目不属于禁止产业，不属于高耗能项目</w:t>
                  </w:r>
                </w:p>
              </w:tc>
              <w:tc>
                <w:tcPr>
                  <w:tcW w:w="544"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46"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1009" w:type="pct"/>
                  <w:vMerge w:val="continue"/>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4"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pPr>
              <w:jc w:val="center"/>
              <w:rPr>
                <w:rFonts w:hint="default" w:ascii="Times New Roman" w:hAnsi="Times New Roman" w:cs="Times New Roman"/>
                <w:b/>
                <w:bCs/>
                <w:color w:val="000000" w:themeColor="text1"/>
                <w:sz w:val="24"/>
                <w:highlight w:val="none"/>
                <w:lang w:val="zh-CN"/>
                <w14:textFill>
                  <w14:solidFill>
                    <w14:schemeClr w14:val="tx1"/>
                  </w14:solidFill>
                </w14:textFill>
              </w:rPr>
            </w:pPr>
            <w:r>
              <w:rPr>
                <w:rFonts w:hint="default" w:ascii="Times New Roman" w:hAnsi="Times New Roman" w:cs="Times New Roman"/>
                <w:b/>
                <w:bCs/>
                <w:color w:val="000000" w:themeColor="text1"/>
                <w:sz w:val="21"/>
                <w:szCs w:val="21"/>
                <w:highlight w:val="none"/>
                <w:lang w:val="zh-CN"/>
                <w14:textFill>
                  <w14:solidFill>
                    <w14:schemeClr w14:val="tx1"/>
                  </w14:solidFill>
                </w14:textFill>
              </w:rPr>
              <w:t>表1-</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b/>
                <w:bCs/>
                <w:color w:val="000000" w:themeColor="text1"/>
                <w:sz w:val="21"/>
                <w:szCs w:val="21"/>
                <w:highlight w:val="none"/>
                <w:lang w:val="zh-CN"/>
                <w14:textFill>
                  <w14:solidFill>
                    <w14:schemeClr w14:val="tx1"/>
                  </w14:solidFill>
                </w14:textFill>
              </w:rPr>
              <w:t>项目与</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川</w:t>
            </w:r>
            <w:r>
              <w:rPr>
                <w:rFonts w:hint="default" w:ascii="Times New Roman" w:hAnsi="Times New Roman" w:cs="Times New Roman"/>
                <w:b/>
                <w:bCs/>
                <w:color w:val="000000" w:themeColor="text1"/>
                <w:sz w:val="21"/>
                <w:szCs w:val="21"/>
                <w:highlight w:val="none"/>
                <w:lang w:val="zh-CN"/>
                <w14:textFill>
                  <w14:solidFill>
                    <w14:schemeClr w14:val="tx1"/>
                  </w14:solidFill>
                </w14:textFill>
              </w:rPr>
              <w:t>长江办〔2022〕</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1"/>
                <w:szCs w:val="21"/>
                <w:highlight w:val="none"/>
                <w:lang w:val="zh-CN"/>
                <w14:textFill>
                  <w14:solidFill>
                    <w14:schemeClr w14:val="tx1"/>
                  </w14:solidFill>
                </w14:textFill>
              </w:rPr>
              <w:t>7号符合性分析</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83"/>
              <w:gridCol w:w="1136"/>
              <w:gridCol w:w="7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743"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川</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长江办〔2022〕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7号</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文件</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要求</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情况</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第五条</w:t>
                  </w: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禁止新建、改建和扩建不符合全国港口布局规划，以及《四川省内河水运发展规划》《泸州—宜宾—乐山港口群布局规划》《重庆港总体规划</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2035年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》等省级港口布局规划及市级港口总体规划的码头项目。</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第六条</w:t>
                  </w: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禁止新建、改建和扩建不符合《长江干线过江通道布局规划</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2020——2035年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》的过长江通道项目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含桥梁、隧道</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，国家发展改革委同意过长江通道线位调整的除外。</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第七条禁止在自然保护区核心区、缓冲区的岸线和河段范围内投资建设旅游和生产经营项目。自然保护区的内部未分区的，依照核心区和缓冲区的规定管控。</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第八条禁止违反风景名胜区规划，在风景名胜区内设立各类开发区。禁止在风景名胜区核心景区的岸线和河段范围内建设宾馆、招待所、培训中心、疗养院以及与风景名胜资源保护无关的项目。</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第九条禁止在饮用水水源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标</w:t>
                  </w:r>
                  <w:r>
                    <w:rPr>
                      <w:rFonts w:hint="default" w:ascii="Times New Roman" w:hAnsi="Times New Roman" w:eastAsia="宋体" w:cs="Times New Roman"/>
                      <w:color w:val="000000" w:themeColor="text1"/>
                      <w:sz w:val="21"/>
                      <w:szCs w:val="21"/>
                      <w:highlight w:val="none"/>
                      <w14:textFill>
                        <w14:solidFill>
                          <w14:schemeClr w14:val="tx1"/>
                        </w14:solidFill>
                      </w14:textFill>
                    </w:rPr>
                    <w:t>准保护区的岸线和河段范围内新建、扩建对水体污染严重的建设项目，禁止改建增加排污量的建设项目。</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第十条饮用水水源二级保护区的岸线和河段范围内，除遵守准保护区规定外，禁止新建、改建、扩建排放污染物的投资建设项目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禁止从事对水体有污染的水产养殖等活动。</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第十二条禁止在水产种质资源保护区岸线和河段范围内新建围湖造田、围湖造地或挖沙采石等投资建设项目。</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第十三条禁止在国家湿地公园的岸线和河段范围内开</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洄游</w:t>
                  </w:r>
                  <w:r>
                    <w:rPr>
                      <w:rFonts w:hint="default" w:ascii="Times New Roman" w:hAnsi="Times New Roman" w:eastAsia="宋体" w:cs="Times New Roman"/>
                      <w:color w:val="000000" w:themeColor="text1"/>
                      <w:sz w:val="21"/>
                      <w:szCs w:val="21"/>
                      <w:highlight w:val="none"/>
                      <w14:textFill>
                        <w14:solidFill>
                          <w14:schemeClr w14:val="tx1"/>
                        </w14:solidFill>
                      </w14:textFill>
                    </w:rPr>
                    <w:t>通道。</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第十五条禁止在《全国重要江河湖泊水功能区划》划定的河段及湖泊保护区、保留区内投资建设不利于水资源及自然生态保护的项目。</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第十六条禁止在长江流域江河、湖泊新设、改设或者扩大排污口，经有管辖权的生态环境主管部门或者长江流域生态环境监督管理机构同意的除外。</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743"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第十七条禁止在长江干流、大渡河、岷江、赤水河、沱江、嘉陵江、乌江、汉江和51个（四川省45个、重庆市6个）水生生物保护区开展生产性捕捞。</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743"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第十八条禁止在长江干支流、重要湖泊岸线一公里范围内新建、扩建化工园区和化工项目。</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本项目不属于化工项目</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第十九条禁止在长江干流岸线三公里范围内和重要支流岸线一公里范围内新建、改建、扩建尾矿库、冶炼渣库、磷石膏库，以提升安全、生态环境保护水平为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r>
                    <w:rPr>
                      <w:rFonts w:hint="default" w:ascii="Times New Roman" w:hAnsi="Times New Roman" w:eastAsia="宋体" w:cs="Times New Roman"/>
                      <w:color w:val="000000" w:themeColor="text1"/>
                      <w:sz w:val="21"/>
                      <w:szCs w:val="21"/>
                      <w:highlight w:val="none"/>
                      <w14:textFill>
                        <w14:solidFill>
                          <w14:schemeClr w14:val="tx1"/>
                        </w14:solidFill>
                      </w14:textFill>
                    </w:rPr>
                    <w:t>目的的改建除外。</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743"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第二十条禁止在生态保护红线区域、永久基本农田集中区域和其他需要特别保护的区域内选址建设尾矿库﹑冶炼渣库、磷石膏库。</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743"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第二十一条禁止在合规园区外新建、扩建钢铁、石化、化工、焦化、建材、有色、制浆造纸等高污染项目。</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本项目位于合规园区内</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第二十二条禁止新建、扩建不符合国家石化、现代煤化工等产业布局规划的项目。</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一</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严格控制新增炼油产能，未列入《石化产业规划布局方案（修订版</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》的新增炼油产能一律不得建设。</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二）新建煤制烯经、煤制芳经项目必须列入《现代煤化工产业创新发展布局方案》，必须符合《现代煤化工建设项目环境准入条件（试行</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》要求。</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本项目不属于石化及煤化工</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第二十三条禁止新建、扩建法律法规和相关政策明令禁止的落后产能项目。对《产业结构调整指导目录》中淘汰类项目，禁止投资</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限制类的新建项目，禁止投资，对属于限制类的现有生产能力，允许企业在一定期限内采取措施改造升级。</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1"/>
                      <w:szCs w:val="21"/>
                      <w:highlight w:val="none"/>
                      <w14:textFill>
                        <w14:solidFill>
                          <w14:schemeClr w14:val="tx1"/>
                        </w14:solidFill>
                      </w14:textFill>
                    </w:rPr>
                    <w:t>《产业结构调整指导目录》</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本项目属于鼓励类</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第二十四条禁止新建、扩建不符合国家产能置换要求的严重过剩产能行业的项目。对于不符合国家产能置换要求的严重过剩产能行业，不得以其他任何名义、任何方式备案新增产能项目。</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第二十五条禁止建设以下燃油汽车投资项目（不在中国境内销售产品的投资项目除外</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一）新建独立燃油汽车企业</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二）现有汽车企业跨乘用车、商用车类别建设燃油汽车生产能力</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三）外省现有燃油汽车企业整体搬迁至本省（列入国家级区域发展规划或不改变企业股权结构的项目除外</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四）对行业管理部门特别公示的燃油汽车企业进行投资企业原有股东投资或将该企业转为非独立法人的投资项目除</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743" w:type="pct"/>
                  <w:tcBorders>
                    <w:tl2br w:val="nil"/>
                    <w:tr2bl w:val="nil"/>
                  </w:tcBorders>
                  <w:noWrap w:val="0"/>
                  <w:vAlign w:val="top"/>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第二十六条禁止新建、扩建不符合要求的高耗能、高排放、低水平项目。</w:t>
                  </w:r>
                </w:p>
              </w:tc>
              <w:tc>
                <w:tcPr>
                  <w:tcW w:w="74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p>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不涉及</w:t>
                  </w:r>
                </w:p>
              </w:tc>
              <w:tc>
                <w:tcPr>
                  <w:tcW w:w="508" w:type="pct"/>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根据以上分析，</w:t>
            </w:r>
            <w:r>
              <w:rPr>
                <w:rFonts w:hint="default" w:ascii="Times New Roman" w:hAnsi="Times New Roman" w:cs="Times New Roman"/>
                <w:color w:val="000000" w:themeColor="text1"/>
                <w:sz w:val="24"/>
                <w:szCs w:val="24"/>
                <w:highlight w:val="none"/>
                <w:lang w:val="zh-CN"/>
                <w14:textFill>
                  <w14:solidFill>
                    <w14:schemeClr w14:val="tx1"/>
                  </w14:solidFill>
                </w14:textFill>
              </w:rPr>
              <w:t>本项目的建设符合《长江经济带发展负面清单指南试行（</w:t>
            </w:r>
            <w:r>
              <w:rPr>
                <w:rFonts w:hint="default" w:ascii="Times New Roman" w:hAnsi="Times New Roman" w:cs="Times New Roman"/>
                <w:color w:val="000000" w:themeColor="text1"/>
                <w:sz w:val="24"/>
                <w:szCs w:val="24"/>
                <w:highlight w:val="none"/>
                <w14:textFill>
                  <w14:solidFill>
                    <w14:schemeClr w14:val="tx1"/>
                  </w14:solidFill>
                </w14:textFill>
              </w:rPr>
              <w:t>2022版</w:t>
            </w:r>
            <w:r>
              <w:rPr>
                <w:rFonts w:hint="default" w:ascii="Times New Roman" w:hAnsi="Times New Roman" w:cs="Times New Roman"/>
                <w:color w:val="000000" w:themeColor="text1"/>
                <w:sz w:val="24"/>
                <w:szCs w:val="24"/>
                <w:highlight w:val="none"/>
                <w:lang w:val="zh-CN"/>
                <w14:textFill>
                  <w14:solidFill>
                    <w14:schemeClr w14:val="tx1"/>
                  </w14:solidFill>
                </w14:textFill>
              </w:rPr>
              <w:t>）》（长江办〔</w:t>
            </w:r>
            <w:r>
              <w:rPr>
                <w:rFonts w:hint="default" w:ascii="Times New Roman" w:hAnsi="Times New Roman" w:cs="Times New Roman"/>
                <w:color w:val="000000" w:themeColor="text1"/>
                <w:sz w:val="24"/>
                <w:szCs w:val="24"/>
                <w:highlight w:val="none"/>
                <w14:textFill>
                  <w14:solidFill>
                    <w14:schemeClr w14:val="tx1"/>
                  </w14:solidFill>
                </w14:textFill>
              </w:rPr>
              <w:t>2022</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7号</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四川省、重庆市</w:t>
            </w:r>
            <w:r>
              <w:rPr>
                <w:rFonts w:hint="default" w:ascii="Times New Roman" w:hAnsi="Times New Roman" w:cs="Times New Roman"/>
                <w:color w:val="000000" w:themeColor="text1"/>
                <w:sz w:val="24"/>
                <w:szCs w:val="24"/>
                <w:highlight w:val="none"/>
                <w:lang w:val="zh-CN"/>
                <w14:textFill>
                  <w14:solidFill>
                    <w14:schemeClr w14:val="tx1"/>
                  </w14:solidFill>
                </w14:textFill>
              </w:rPr>
              <w:t>长江经济带发展负面</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清单实施细则</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试行，</w:t>
            </w:r>
            <w:r>
              <w:rPr>
                <w:rFonts w:hint="default" w:ascii="Times New Roman" w:hAnsi="Times New Roman" w:cs="Times New Roman"/>
                <w:color w:val="000000" w:themeColor="text1"/>
                <w:sz w:val="24"/>
                <w:szCs w:val="24"/>
                <w:highlight w:val="none"/>
                <w14:textFill>
                  <w14:solidFill>
                    <w14:schemeClr w14:val="tx1"/>
                  </w14:solidFill>
                </w14:textFill>
              </w:rPr>
              <w:t>2022版</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川长江办</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2022</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14:textFill>
                  <w14:solidFill>
                    <w14:schemeClr w14:val="tx1"/>
                  </w14:solidFill>
                </w14:textFill>
              </w:rPr>
              <w:t>7号</w:t>
            </w:r>
            <w:r>
              <w:rPr>
                <w:rFonts w:hint="default" w:ascii="Times New Roman" w:hAnsi="Times New Roman" w:cs="Times New Roman"/>
                <w:color w:val="000000" w:themeColor="text1"/>
                <w:sz w:val="24"/>
                <w:szCs w:val="24"/>
                <w:highlight w:val="none"/>
                <w:lang w:val="zh-CN"/>
                <w14:textFill>
                  <w14:solidFill>
                    <w14:schemeClr w14:val="tx1"/>
                  </w14:solidFill>
                </w14:textFill>
              </w:rPr>
              <w:t>）的</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文件</w:t>
            </w:r>
            <w:r>
              <w:rPr>
                <w:rFonts w:hint="default" w:ascii="Times New Roman" w:hAnsi="Times New Roman" w:cs="Times New Roman"/>
                <w:color w:val="000000" w:themeColor="text1"/>
                <w:sz w:val="24"/>
                <w:szCs w:val="24"/>
                <w:highlight w:val="none"/>
                <w:lang w:val="zh-CN"/>
                <w14:textFill>
                  <w14:solidFill>
                    <w14:schemeClr w14:val="tx1"/>
                  </w14:solidFill>
                </w14:textFill>
              </w:rPr>
              <w:t>要求。</w:t>
            </w:r>
            <w:r>
              <w:rPr>
                <w:rFonts w:hint="default" w:ascii="Times New Roman" w:hAnsi="Times New Roman" w:cs="Times New Roman"/>
                <w:color w:val="000000" w:themeColor="text1"/>
                <w:sz w:val="24"/>
                <w:szCs w:val="24"/>
                <w:highlight w:val="none"/>
                <w14:textFill>
                  <w14:solidFill>
                    <w14:schemeClr w14:val="tx1"/>
                  </w14:solidFill>
                </w14:textFill>
              </w:rPr>
              <w:t>2019年8月27日四川省推动长江经济带发展领导小组发布了</w:t>
            </w:r>
            <w:r>
              <w:rPr>
                <w:rFonts w:hint="default" w:ascii="Times New Roman" w:hAnsi="Times New Roman" w:cs="Times New Roman"/>
                <w:color w:val="000000" w:themeColor="text1"/>
                <w:sz w:val="24"/>
                <w:szCs w:val="24"/>
                <w:highlight w:val="none"/>
                <w:lang w:val="zh-CN"/>
                <w14:textFill>
                  <w14:solidFill>
                    <w14:schemeClr w14:val="tx1"/>
                  </w14:solidFill>
                </w14:textFill>
              </w:rPr>
              <w:t>《四川省长江经济带发展负面清单实施细则（试行）》（川长江办〔</w:t>
            </w:r>
            <w:r>
              <w:rPr>
                <w:rFonts w:hint="default" w:ascii="Times New Roman" w:hAnsi="Times New Roman" w:cs="Times New Roman"/>
                <w:color w:val="000000" w:themeColor="text1"/>
                <w:sz w:val="24"/>
                <w:szCs w:val="24"/>
                <w:highlight w:val="none"/>
                <w14:textFill>
                  <w14:solidFill>
                    <w14:schemeClr w14:val="tx1"/>
                  </w14:solidFill>
                </w14:textFill>
              </w:rPr>
              <w:t>2019</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8号</w:t>
            </w:r>
            <w:r>
              <w:rPr>
                <w:rFonts w:hint="default" w:ascii="Times New Roman" w:hAnsi="Times New Roman" w:cs="Times New Roman"/>
                <w:color w:val="000000" w:themeColor="text1"/>
                <w:sz w:val="24"/>
                <w:szCs w:val="24"/>
                <w:highlight w:val="none"/>
                <w:lang w:val="zh-CN"/>
                <w14:textFill>
                  <w14:solidFill>
                    <w14:schemeClr w14:val="tx1"/>
                  </w14:solidFill>
                </w14:textFill>
              </w:rPr>
              <w:t>）。根据文件精神，……禁止在长江干流和主要支流（包括：岷江干流、沱江干流、赤水河干流、嘉陵江干流、雅砻江干流）1公里〔指长江干支流岸线边界（即水利部门河道管理范围边界）向陆域纵深</w:t>
            </w:r>
            <w:r>
              <w:rPr>
                <w:rFonts w:hint="default" w:ascii="Times New Roman" w:hAnsi="Times New Roman" w:cs="Times New Roman"/>
                <w:color w:val="000000" w:themeColor="text1"/>
                <w:sz w:val="24"/>
                <w:szCs w:val="24"/>
                <w:highlight w:val="none"/>
                <w14:textFill>
                  <w14:solidFill>
                    <w14:schemeClr w14:val="tx1"/>
                  </w14:solidFill>
                </w14:textFill>
              </w:rPr>
              <w:t>1</w:t>
            </w:r>
            <w:r>
              <w:rPr>
                <w:rFonts w:hint="default" w:ascii="Times New Roman" w:hAnsi="Times New Roman" w:cs="Times New Roman"/>
                <w:color w:val="000000" w:themeColor="text1"/>
                <w:sz w:val="24"/>
                <w:szCs w:val="24"/>
                <w:highlight w:val="none"/>
                <w:lang w:val="zh-CN"/>
                <w14:textFill>
                  <w14:solidFill>
                    <w14:schemeClr w14:val="tx1"/>
                  </w14:solidFill>
                </w14:textFill>
              </w:rPr>
              <w:t>公里〕范围内新建、扩建化工园区和化工项目。……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p>
            <w:pPr>
              <w:bidi w:val="0"/>
              <w:spacing w:line="360" w:lineRule="auto"/>
              <w:ind w:firstLine="482" w:firstLineChars="2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zh-CN"/>
                <w14:textFill>
                  <w14:solidFill>
                    <w14:schemeClr w14:val="tx1"/>
                  </w14:solidFill>
                </w14:textFill>
              </w:rPr>
              <w:t>本项目位于</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郪江</w:t>
            </w:r>
            <w:r>
              <w:rPr>
                <w:rFonts w:hint="default" w:ascii="Times New Roman" w:hAnsi="Times New Roman" w:cs="Times New Roman"/>
                <w:b/>
                <w:bCs/>
                <w:color w:val="000000" w:themeColor="text1"/>
                <w:sz w:val="24"/>
                <w:szCs w:val="24"/>
                <w:highlight w:val="none"/>
                <w:lang w:val="zh-CN"/>
                <w14:textFill>
                  <w14:solidFill>
                    <w14:schemeClr w14:val="tx1"/>
                  </w14:solidFill>
                </w14:textFill>
              </w:rPr>
              <w:t>流域，项目不属于化工项目，不属于落后产能，不属于四川大英经济开发区</w:t>
            </w:r>
            <w:r>
              <w:rPr>
                <w:rFonts w:hint="default" w:ascii="Times New Roman" w:hAnsi="Times New Roman" w:cs="Times New Roman"/>
                <w:b/>
                <w:bCs/>
                <w:color w:val="000000" w:themeColor="text1"/>
                <w:sz w:val="24"/>
                <w:szCs w:val="24"/>
                <w:highlight w:val="none"/>
                <w14:textFill>
                  <w14:solidFill>
                    <w14:schemeClr w14:val="tx1"/>
                  </w14:solidFill>
                </w14:textFill>
              </w:rPr>
              <w:t>中的限制类和禁止类</w:t>
            </w:r>
            <w:r>
              <w:rPr>
                <w:rFonts w:hint="default" w:ascii="Times New Roman" w:hAnsi="Times New Roman" w:cs="Times New Roman"/>
                <w:b/>
                <w:bCs/>
                <w:color w:val="000000" w:themeColor="text1"/>
                <w:sz w:val="24"/>
                <w:szCs w:val="24"/>
                <w:highlight w:val="none"/>
                <w:lang w:val="zh-CN"/>
                <w14:textFill>
                  <w14:solidFill>
                    <w14:schemeClr w14:val="tx1"/>
                  </w14:solidFill>
                </w14:textFill>
              </w:rPr>
              <w:t>，</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属于</w:t>
            </w:r>
            <w:r>
              <w:rPr>
                <w:rFonts w:hint="default" w:ascii="Times New Roman" w:hAnsi="Times New Roman" w:cs="Times New Roman"/>
                <w:b/>
                <w:bCs/>
                <w:color w:val="000000" w:themeColor="text1"/>
                <w:sz w:val="24"/>
                <w:szCs w:val="24"/>
                <w:highlight w:val="none"/>
                <w14:textFill>
                  <w14:solidFill>
                    <w14:schemeClr w14:val="tx1"/>
                  </w14:solidFill>
                </w14:textFill>
              </w:rPr>
              <w:t>《产业结构调整指导目录（20</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24</w:t>
            </w:r>
            <w:r>
              <w:rPr>
                <w:rFonts w:hint="default" w:ascii="Times New Roman" w:hAnsi="Times New Roman" w:cs="Times New Roman"/>
                <w:b/>
                <w:bCs/>
                <w:color w:val="000000" w:themeColor="text1"/>
                <w:sz w:val="24"/>
                <w:szCs w:val="24"/>
                <w:highlight w:val="none"/>
                <w14:textFill>
                  <w14:solidFill>
                    <w14:schemeClr w14:val="tx1"/>
                  </w14:solidFill>
                </w14:textFill>
              </w:rPr>
              <w:t>年本）》</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允许类，</w:t>
            </w:r>
            <w:r>
              <w:rPr>
                <w:rFonts w:hint="default" w:ascii="Times New Roman" w:hAnsi="Times New Roman" w:cs="Times New Roman"/>
                <w:b/>
                <w:bCs/>
                <w:color w:val="000000" w:themeColor="text1"/>
                <w:sz w:val="24"/>
                <w:szCs w:val="24"/>
                <w:highlight w:val="none"/>
                <w:lang w:val="zh-CN"/>
                <w14:textFill>
                  <w14:solidFill>
                    <w14:schemeClr w14:val="tx1"/>
                  </w14:solidFill>
                </w14:textFill>
              </w:rPr>
              <w:t>因此本项目的建设符合《四川省长江经济带发展负面清单实施细则（试行）》（川长江办〔</w:t>
            </w:r>
            <w:r>
              <w:rPr>
                <w:rFonts w:hint="default" w:ascii="Times New Roman" w:hAnsi="Times New Roman" w:cs="Times New Roman"/>
                <w:b/>
                <w:bCs/>
                <w:color w:val="000000" w:themeColor="text1"/>
                <w:sz w:val="24"/>
                <w:szCs w:val="24"/>
                <w:highlight w:val="none"/>
                <w14:textFill>
                  <w14:solidFill>
                    <w14:schemeClr w14:val="tx1"/>
                  </w14:solidFill>
                </w14:textFill>
              </w:rPr>
              <w:t>2019</w:t>
            </w:r>
            <w:r>
              <w:rPr>
                <w:rFonts w:hint="default" w:ascii="Times New Roman" w:hAnsi="Times New Roman" w:cs="Times New Roman"/>
                <w:b/>
                <w:bCs/>
                <w:color w:val="000000" w:themeColor="text1"/>
                <w:sz w:val="24"/>
                <w:szCs w:val="24"/>
                <w:highlight w:val="none"/>
                <w:lang w:val="zh-CN"/>
                <w14:textFill>
                  <w14:solidFill>
                    <w14:schemeClr w14:val="tx1"/>
                  </w14:solidFill>
                </w14:textFill>
              </w:rPr>
              <w:t>〕</w:t>
            </w:r>
            <w:r>
              <w:rPr>
                <w:rFonts w:hint="default" w:ascii="Times New Roman" w:hAnsi="Times New Roman" w:cs="Times New Roman"/>
                <w:b/>
                <w:bCs/>
                <w:color w:val="000000" w:themeColor="text1"/>
                <w:sz w:val="24"/>
                <w:szCs w:val="24"/>
                <w:highlight w:val="none"/>
                <w14:textFill>
                  <w14:solidFill>
                    <w14:schemeClr w14:val="tx1"/>
                  </w14:solidFill>
                </w14:textFill>
              </w:rPr>
              <w:t>8号</w:t>
            </w:r>
            <w:r>
              <w:rPr>
                <w:rFonts w:hint="default" w:ascii="Times New Roman" w:hAnsi="Times New Roman" w:cs="Times New Roman"/>
                <w:b/>
                <w:bCs/>
                <w:color w:val="000000" w:themeColor="text1"/>
                <w:sz w:val="24"/>
                <w:szCs w:val="24"/>
                <w:highlight w:val="none"/>
                <w:lang w:val="zh-CN"/>
                <w14:textFill>
                  <w14:solidFill>
                    <w14:schemeClr w14:val="tx1"/>
                  </w14:solidFill>
                </w14:textFill>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cs="Times New Roman"/>
                <w:b/>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选址与郪江黄颡鱼国家级水产种质资源符合性分析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郪江黄颡鱼国家级水产种质资源保护区位于长江流域涪江水系的支流郪江河段，辖4个镇（象山镇、蓬莱镇、隆盛镇、回马镇），根据农业部（农办长渔【2015】2号）《关于调整郪江黄颡鱼等2处国家级水产种质资源保护区面积范围和功能分区的通知》，</w:t>
            </w:r>
            <w:r>
              <w:rPr>
                <w:rFonts w:hint="default" w:ascii="Times New Roman" w:hAnsi="Times New Roman" w:eastAsia="宋体" w:cs="Times New Roman"/>
                <w:b/>
                <w:color w:val="000000" w:themeColor="text1"/>
                <w:sz w:val="24"/>
                <w:szCs w:val="24"/>
                <w14:textFill>
                  <w14:solidFill>
                    <w14:schemeClr w14:val="tx1"/>
                  </w14:solidFill>
                </w14:textFill>
              </w:rPr>
              <w:t>调整后的郪江黄颡鱼国家级水产种质资源保护区总面积520公顷，其中核心</w:t>
            </w:r>
            <w:r>
              <w:rPr>
                <w:rFonts w:hint="default" w:ascii="Times New Roman" w:hAnsi="Times New Roman" w:eastAsia="宋体"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4293235</wp:posOffset>
                      </wp:positionH>
                      <wp:positionV relativeFrom="paragraph">
                        <wp:posOffset>2143125</wp:posOffset>
                      </wp:positionV>
                      <wp:extent cx="209550" cy="304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209550" cy="304800"/>
                              </a:xfrm>
                              <a:prstGeom prst="rect">
                                <a:avLst/>
                              </a:prstGeom>
                              <a:noFill/>
                              <a:ln>
                                <a:noFill/>
                              </a:ln>
                            </wps:spPr>
                            <wps:txbx>
                              <w:txbxContent>
                                <w:p/>
                              </w:txbxContent>
                            </wps:txbx>
                            <wps:bodyPr upright="1"/>
                          </wps:wsp>
                        </a:graphicData>
                      </a:graphic>
                    </wp:anchor>
                  </w:drawing>
                </mc:Choice>
                <mc:Fallback>
                  <w:pict>
                    <v:shape id="_x0000_s1026" o:spid="_x0000_s1026" o:spt="202" type="#_x0000_t202" style="position:absolute;left:0pt;margin-left:338.05pt;margin-top:168.75pt;height:24pt;width:16.5pt;z-index:251662336;mso-width-relative:page;mso-height-relative:page;" filled="f" stroked="f" coordsize="21600,21600" o:gfxdata="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oChLdgA&#10;AAALAQAADwAAAAAAAAABACAAAAAiAAAAZHJzL2Rvd25yZXYueG1sUEsBAhQAFAAAAAgAh07iQGJb&#10;KLKtAQAATwMAAA4AAAAAAAAAAQAgAAAAJwEAAGRycy9lMm9Eb2MueG1sUEsFBgAAAAAGAAYAWQEA&#10;AEYFAAAAAA==&#10;">
                      <v:fill on="f" focussize="0,0"/>
                      <v:stroke on="f"/>
                      <v:imagedata o:title=""/>
                      <o:lock v:ext="edit" aspectratio="f"/>
                      <v:textbox>
                        <w:txbxContent>
                          <w:p/>
                        </w:txbxContent>
                      </v:textbox>
                    </v:shape>
                  </w:pict>
                </mc:Fallback>
              </mc:AlternateContent>
            </w:r>
            <w:r>
              <w:rPr>
                <w:rFonts w:hint="default" w:ascii="Times New Roman" w:hAnsi="Times New Roman" w:eastAsia="宋体" w:cs="Times New Roman"/>
                <w:b/>
                <w:color w:val="000000" w:themeColor="text1"/>
                <w:sz w:val="24"/>
                <w:szCs w:val="24"/>
                <w14:textFill>
                  <w14:solidFill>
                    <w14:schemeClr w14:val="tx1"/>
                  </w14:solidFill>
                </w14:textFill>
              </w:rPr>
              <w:t>区面积431.25公顷，实验区面积88.75公顷，范围在</w:t>
            </w:r>
            <w:r>
              <w:rPr>
                <w:rFonts w:hint="default" w:ascii="Times New Roman" w:hAnsi="Times New Roman" w:eastAsia="宋体" w:cs="Times New Roman"/>
                <w:b/>
                <w:color w:val="000000" w:themeColor="text1"/>
                <w:sz w:val="24"/>
                <w:szCs w:val="24"/>
                <w:lang w:eastAsia="zh-CN"/>
                <w14:textFill>
                  <w14:solidFill>
                    <w14:schemeClr w14:val="tx1"/>
                  </w14:solidFill>
                </w14:textFill>
              </w:rPr>
              <w:t>东经</w:t>
            </w:r>
            <w:r>
              <w:rPr>
                <w:rFonts w:hint="default" w:ascii="Times New Roman" w:hAnsi="Times New Roman" w:eastAsia="宋体" w:cs="Times New Roman"/>
                <w:b/>
                <w:color w:val="000000" w:themeColor="text1"/>
                <w:sz w:val="24"/>
                <w:szCs w:val="24"/>
                <w14:textFill>
                  <w14:solidFill>
                    <w14:schemeClr w14:val="tx1"/>
                  </w14:solidFill>
                </w14:textFill>
              </w:rPr>
              <w:t>105°04′23.15″~105°16′3.30″，北纬30°33′8.46″~30°45′49.57″之间</w:t>
            </w:r>
            <w:r>
              <w:rPr>
                <w:rFonts w:hint="default" w:ascii="Times New Roman" w:hAnsi="Times New Roman" w:eastAsia="宋体" w:cs="Times New Roman"/>
                <w:color w:val="000000" w:themeColor="text1"/>
                <w:sz w:val="24"/>
                <w:szCs w:val="24"/>
                <w14:textFill>
                  <w14:solidFill>
                    <w14:schemeClr w14:val="tx1"/>
                  </w14:solidFill>
                </w14:textFill>
              </w:rPr>
              <w:t>，以</w:t>
            </w:r>
            <w:r>
              <w:rPr>
                <w:rFonts w:hint="default" w:ascii="Times New Roman" w:hAnsi="Times New Roman" w:cs="Times New Roman"/>
                <w:color w:val="000000" w:themeColor="text1"/>
                <w:sz w:val="24"/>
                <w:szCs w:val="24"/>
                <w14:textFill>
                  <w14:solidFill>
                    <w14:schemeClr w14:val="tx1"/>
                  </w14:solidFill>
                </w14:textFill>
              </w:rPr>
              <w:t>涉及场镇河段最高警戒水位线为界。根据分区原则结合郪江具体情况将保护区划分为核心区、实验区二个功能区。保护区位于四川省遂宁市大英县和德阳市中江县郪江干流联合镇会仙桥-蓬莱镇康家咀-蓬莱镇张家堰及其支流寸塘口河蓬莱镇赵家湾-窝窝店-寸塘口河河口全长74km，保护区范围全为水域，不涉及陆域。该保护区主要保护对象为黄颡鱼、鳜鱼、中华鳖，</w:t>
            </w:r>
            <w:r>
              <w:rPr>
                <w:rFonts w:hint="default" w:ascii="Times New Roman" w:hAnsi="Times New Roman" w:cs="Times New Roman"/>
                <w:bCs/>
                <w:color w:val="000000" w:themeColor="text1"/>
                <w:sz w:val="24"/>
                <w:szCs w:val="24"/>
                <w14:textFill>
                  <w14:solidFill>
                    <w14:schemeClr w14:val="tx1"/>
                  </w14:solidFill>
                </w14:textFill>
              </w:rPr>
              <w:t>其它</w:t>
            </w:r>
            <w:r>
              <w:rPr>
                <w:rFonts w:hint="default" w:ascii="Times New Roman" w:hAnsi="Times New Roman" w:cs="Times New Roman"/>
                <w:color w:val="000000" w:themeColor="text1"/>
                <w:sz w:val="24"/>
                <w:szCs w:val="24"/>
                <w14:textFill>
                  <w14:solidFill>
                    <w14:schemeClr w14:val="tx1"/>
                  </w14:solidFill>
                </w14:textFill>
              </w:rPr>
              <w:t>保护物种包括南方鲇、鲤、鲫、鲢等经济鱼类。</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根据《水产种质资源保护区管理暂行办法》第二十一条规定：</w:t>
            </w:r>
            <w:r>
              <w:rPr>
                <w:rFonts w:hint="default" w:ascii="Times New Roman" w:hAnsi="Times New Roman" w:cs="Times New Roman"/>
                <w:b/>
                <w:bCs/>
                <w:color w:val="000000" w:themeColor="text1"/>
                <w:sz w:val="24"/>
                <w:szCs w:val="24"/>
                <w:u w:val="single"/>
                <w14:textFill>
                  <w14:solidFill>
                    <w14:schemeClr w14:val="tx1"/>
                  </w14:solidFill>
                </w14:textFill>
              </w:rPr>
              <w:t>禁止在水产种质资源保护区内新建排污口。在水产种质资源保护区附近新建、改建、扩建排污口，应当保证保护区水体不受污染。</w:t>
            </w:r>
          </w:p>
          <w:p>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cs="Times New Roman"/>
                <w:color w:val="000000" w:themeColor="text1"/>
                <w14:textFill>
                  <w14:solidFill>
                    <w14:schemeClr w14:val="tx1"/>
                  </w14:solidFill>
                </w14:textFill>
              </w:rPr>
            </w:pPr>
            <w:r>
              <w:rPr>
                <w:sz w:val="21"/>
              </w:rPr>
              <mc:AlternateContent>
                <mc:Choice Requires="wps">
                  <w:drawing>
                    <wp:anchor distT="0" distB="0" distL="114300" distR="114300" simplePos="0" relativeHeight="251664384" behindDoc="0" locked="0" layoutInCell="1" allowOverlap="1">
                      <wp:simplePos x="0" y="0"/>
                      <wp:positionH relativeFrom="column">
                        <wp:posOffset>2975610</wp:posOffset>
                      </wp:positionH>
                      <wp:positionV relativeFrom="paragraph">
                        <wp:posOffset>1647190</wp:posOffset>
                      </wp:positionV>
                      <wp:extent cx="121285" cy="119380"/>
                      <wp:effectExtent l="9525" t="15875" r="21590" b="17145"/>
                      <wp:wrapNone/>
                      <wp:docPr id="44" name="等腰三角形 44"/>
                      <wp:cNvGraphicFramePr/>
                      <a:graphic xmlns:a="http://schemas.openxmlformats.org/drawingml/2006/main">
                        <a:graphicData uri="http://schemas.microsoft.com/office/word/2010/wordprocessingShape">
                          <wps:wsp>
                            <wps:cNvSpPr/>
                            <wps:spPr>
                              <a:xfrm rot="10980000">
                                <a:off x="4798695" y="2823845"/>
                                <a:ext cx="121285" cy="119380"/>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34.3pt;margin-top:129.7pt;height:9.4pt;width:9.55pt;rotation:-11599872f;z-index:251664384;v-text-anchor:middle;mso-width-relative:page;mso-height-relative:page;" fillcolor="#FF0000" filled="t" stroked="t" coordsize="21600,21600" o:gfxdata="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T0w6dcAAAALAQAA&#10;DwAAAAAAAAABACAAAAAiAAAAZHJzL2Rvd25yZXYueG1sUEsBAhQAFAAAAAgAh07iQJ+FeeCMAgAA&#10;BgUAAA4AAAAAAAAAAQAgAAAAJgEAAGRycy9lMm9Eb2MueG1sUEsFBgAAAAAGAAYAWQEAACQGAAAA&#10;AA==&#10;" adj="10800">
                      <v:fill on="t" focussize="0,0"/>
                      <v:stroke weight="2pt" color="#FF0000 [2404]" joinstyle="round"/>
                      <v:imagedata o:title=""/>
                      <o:lock v:ext="edit" aspectratio="f"/>
                    </v:shape>
                  </w:pict>
                </mc:Fallback>
              </mc:AlternateContent>
            </w:r>
            <w:r>
              <w:rPr>
                <w:rFonts w:hint="default" w:ascii="Times New Roman" w:hAnsi="Times New Roman" w:cs="Times New Roman"/>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3034665</wp:posOffset>
                      </wp:positionH>
                      <wp:positionV relativeFrom="paragraph">
                        <wp:posOffset>1824355</wp:posOffset>
                      </wp:positionV>
                      <wp:extent cx="444500" cy="334010"/>
                      <wp:effectExtent l="0" t="0" r="0" b="0"/>
                      <wp:wrapNone/>
                      <wp:docPr id="39" name="文本框 2"/>
                      <wp:cNvGraphicFramePr/>
                      <a:graphic xmlns:a="http://schemas.openxmlformats.org/drawingml/2006/main">
                        <a:graphicData uri="http://schemas.microsoft.com/office/word/2010/wordprocessingShape">
                          <wps:wsp>
                            <wps:cNvSpPr txBox="1"/>
                            <wps:spPr>
                              <a:xfrm>
                                <a:off x="0" y="0"/>
                                <a:ext cx="444500" cy="334010"/>
                              </a:xfrm>
                              <a:prstGeom prst="rect">
                                <a:avLst/>
                              </a:prstGeom>
                              <a:noFill/>
                              <a:ln w="6350">
                                <a:noFill/>
                              </a:ln>
                            </wps:spPr>
                            <wps:txbx>
                              <w:txbxContent>
                                <w:p>
                                  <w:pPr>
                                    <w:rPr>
                                      <w:sz w:val="10"/>
                                      <w:szCs w:val="10"/>
                                    </w:rPr>
                                  </w:pPr>
                                  <w:r>
                                    <w:rPr>
                                      <w:rFonts w:hint="default" w:ascii="Helvetica" w:hAnsi="Helvetica" w:eastAsia="Helvetica"/>
                                      <w:color w:val="00FFFF"/>
                                      <w:sz w:val="10"/>
                                      <w:szCs w:val="10"/>
                                    </w:rPr>
                                    <w:t>▼</w:t>
                                  </w:r>
                                </w:p>
                              </w:txbxContent>
                            </wps:txbx>
                            <wps:bodyPr upright="1"/>
                          </wps:wsp>
                        </a:graphicData>
                      </a:graphic>
                    </wp:anchor>
                  </w:drawing>
                </mc:Choice>
                <mc:Fallback>
                  <w:pict>
                    <v:shape id="文本框 2" o:spid="_x0000_s1026" o:spt="202" type="#_x0000_t202" style="position:absolute;left:0pt;margin-left:238.95pt;margin-top:143.65pt;height:26.3pt;width:35pt;z-index:251663360;mso-width-relative:page;mso-height-relative:page;" filled="f" stroked="f" coordsize="21600,21600" o:gfxdata="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DCt013AAAAAsBAAAPAAAAAAAAAAEAIAAAACIAAABkcnMvZG93bnJldi54bWxQSwECFAAU&#10;AAAACACHTuJAkfYhPrQBAABXAwAADgAAAAAAAAABACAAAAArAQAAZHJzL2Uyb0RvYy54bWxQSwUG&#10;AAAAAAYABgBZAQAAUQUAAAAA&#10;">
                      <v:fill on="f" focussize="0,0"/>
                      <v:stroke on="f" weight="0.5pt"/>
                      <v:imagedata o:title=""/>
                      <o:lock v:ext="edit" aspectratio="f"/>
                      <v:textbox>
                        <w:txbxContent>
                          <w:p>
                            <w:pPr>
                              <w:rPr>
                                <w:sz w:val="10"/>
                                <w:szCs w:val="10"/>
                              </w:rPr>
                            </w:pPr>
                            <w:r>
                              <w:rPr>
                                <w:rFonts w:hint="default" w:ascii="Helvetica" w:hAnsi="Helvetica" w:eastAsia="Helvetica"/>
                                <w:color w:val="00FFFF"/>
                                <w:sz w:val="10"/>
                                <w:szCs w:val="10"/>
                              </w:rPr>
                              <w:t>▼</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w:drawing>
                <wp:inline distT="0" distB="0" distL="114300" distR="114300">
                  <wp:extent cx="4815205" cy="3102610"/>
                  <wp:effectExtent l="0" t="0" r="4445" b="254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10"/>
                          <a:stretch>
                            <a:fillRect/>
                          </a:stretch>
                        </pic:blipFill>
                        <pic:spPr>
                          <a:xfrm flipH="1">
                            <a:off x="0" y="0"/>
                            <a:ext cx="4815205" cy="3102610"/>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2" w:firstLineChars="20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图1-</w:t>
            </w:r>
            <w:r>
              <w:rPr>
                <w:rFonts w:hint="eastAsia" w:ascii="Times New Roman" w:hAnsi="Times New Roman"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14:textFill>
                  <w14:solidFill>
                    <w14:schemeClr w14:val="tx1"/>
                  </w14:solidFill>
                </w14:textFill>
              </w:rPr>
              <w:t>项目与种质资源保护区的位置关系图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（图中</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表示项目位置）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14:textFill>
                  <w14:solidFill>
                    <w14:schemeClr w14:val="tx1"/>
                  </w14:solidFill>
                </w14:textFill>
              </w:rPr>
              <w:t>项目与保护区具体范围关系如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上</w:t>
            </w:r>
            <w:r>
              <w:rPr>
                <w:rFonts w:hint="default" w:ascii="Times New Roman" w:hAnsi="Times New Roman" w:eastAsia="宋体" w:cs="Times New Roman"/>
                <w:color w:val="000000" w:themeColor="text1"/>
                <w:sz w:val="24"/>
                <w:szCs w:val="24"/>
                <w14:textFill>
                  <w14:solidFill>
                    <w14:schemeClr w14:val="tx1"/>
                  </w14:solidFill>
                </w14:textFill>
              </w:rPr>
              <w:t>图所示。项目污水经厂区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预处理池</w:t>
            </w:r>
            <w:r>
              <w:rPr>
                <w:rFonts w:hint="default" w:ascii="Times New Roman" w:hAnsi="Times New Roman" w:eastAsia="宋体" w:cs="Times New Roman"/>
                <w:color w:val="000000" w:themeColor="text1"/>
                <w:sz w:val="24"/>
                <w:szCs w:val="24"/>
                <w14:textFill>
                  <w14:solidFill>
                    <w14:schemeClr w14:val="tx1"/>
                  </w14:solidFill>
                </w14:textFill>
              </w:rPr>
              <w:t>处理后执行《污水综合排放标准》（GB8978-1996）中三级标准后进入大英工业污水处理厂</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达标后</w:t>
            </w:r>
            <w:r>
              <w:rPr>
                <w:rFonts w:hint="default" w:ascii="Times New Roman" w:hAnsi="Times New Roman" w:eastAsia="宋体" w:cs="Times New Roman"/>
                <w:color w:val="000000" w:themeColor="text1"/>
                <w:sz w:val="24"/>
                <w:szCs w:val="24"/>
                <w14:textFill>
                  <w14:solidFill>
                    <w14:schemeClr w14:val="tx1"/>
                  </w14:solidFill>
                </w14:textFill>
              </w:rPr>
              <w:t>排入郪江</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该污水处理厂排口设置在保护区外下游，</w:t>
            </w:r>
            <w:r>
              <w:rPr>
                <w:rFonts w:hint="default" w:ascii="Times New Roman" w:hAnsi="Times New Roman" w:cs="Times New Roman"/>
                <w:bCs/>
                <w:color w:val="000000" w:themeColor="text1"/>
                <w:sz w:val="24"/>
                <w:szCs w:val="24"/>
                <w:lang w:eastAsia="zh-CN"/>
                <w14:textFill>
                  <w14:solidFill>
                    <w14:schemeClr w14:val="tx1"/>
                  </w14:solidFill>
                </w14:textFill>
              </w:rPr>
              <w:t>分</w:t>
            </w:r>
            <w:r>
              <w:rPr>
                <w:rFonts w:hint="default" w:ascii="Times New Roman" w:hAnsi="Times New Roman" w:eastAsia="宋体" w:cs="Times New Roman"/>
                <w:bCs/>
                <w:color w:val="000000" w:themeColor="text1"/>
                <w:sz w:val="24"/>
                <w:szCs w:val="24"/>
                <w14:textFill>
                  <w14:solidFill>
                    <w14:schemeClr w14:val="tx1"/>
                  </w14:solidFill>
                </w14:textFill>
              </w:rPr>
              <w:t>别距保护区下游边界6.0km，不在郪江黄颡鱼国家级水产种质资源保护区范围内，项目所在工业区排水不会对其造成影响。</w:t>
            </w:r>
          </w:p>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color w:val="000000" w:themeColor="text1"/>
                <w:sz w:val="24"/>
                <w:szCs w:val="24"/>
                <w14:textFill>
                  <w14:solidFill>
                    <w14:schemeClr w14:val="tx1"/>
                  </w14:solidFill>
                </w14:textFill>
              </w:rPr>
              <w:t>综上所述，项目的建设与水产种质资源保护区相容</w:t>
            </w:r>
            <w:r>
              <w:rPr>
                <w:rFonts w:hint="default" w:ascii="Times New Roman" w:hAnsi="Times New Roman" w:cs="Times New Roman"/>
                <w:b/>
                <w:bCs/>
                <w:color w:val="000000" w:themeColor="text1"/>
                <w:sz w:val="24"/>
                <w:szCs w:val="24"/>
                <w:lang w:eastAsia="zh-CN"/>
                <w14:textFill>
                  <w14:solidFill>
                    <w14:schemeClr w14:val="tx1"/>
                  </w14:solidFill>
                </w14:textFill>
              </w:rPr>
              <w:t>。</w:t>
            </w:r>
          </w:p>
          <w:p>
            <w:pPr>
              <w:spacing w:line="360" w:lineRule="auto"/>
              <w:rPr>
                <w:rFonts w:hint="default" w:ascii="Times New Roman" w:hAnsi="Times New Roman" w:cs="Times New Roman"/>
                <w:b/>
                <w:bCs/>
                <w:sz w:val="24"/>
              </w:rPr>
            </w:pPr>
            <w:r>
              <w:rPr>
                <w:rFonts w:hint="default" w:ascii="Times New Roman" w:hAnsi="Times New Roman" w:cs="Times New Roman"/>
                <w:b/>
                <w:bCs/>
                <w:sz w:val="24"/>
                <w:lang w:val="en-US" w:eastAsia="zh-CN"/>
              </w:rPr>
              <w:t>6</w:t>
            </w:r>
            <w:r>
              <w:rPr>
                <w:rFonts w:hint="default" w:ascii="Times New Roman" w:hAnsi="Times New Roman" w:cs="Times New Roman"/>
                <w:b/>
                <w:bCs/>
                <w:sz w:val="24"/>
              </w:rPr>
              <w:t>、与大气污染防治相关政策符合性分析</w:t>
            </w:r>
          </w:p>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表1-</w:t>
            </w:r>
            <w:r>
              <w:rPr>
                <w:rFonts w:hint="eastAsia" w:ascii="Times New Roman" w:hAnsi="Times New Roman" w:cs="Times New Roman"/>
                <w:b/>
                <w:bCs/>
                <w:sz w:val="21"/>
                <w:szCs w:val="21"/>
                <w:lang w:val="en-US" w:eastAsia="zh-CN"/>
              </w:rPr>
              <w:t>8</w:t>
            </w:r>
            <w:r>
              <w:rPr>
                <w:rFonts w:hint="default" w:ascii="Times New Roman" w:hAnsi="Times New Roman" w:cs="Times New Roman"/>
                <w:b/>
                <w:bCs/>
                <w:sz w:val="21"/>
                <w:szCs w:val="21"/>
              </w:rPr>
              <w:t xml:space="preserve"> 与大气污染防治相关政策符合性分析</w:t>
            </w:r>
          </w:p>
          <w:tbl>
            <w:tblPr>
              <w:tblStyle w:val="26"/>
              <w:tblW w:w="753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2865"/>
              <w:gridCol w:w="1950"/>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747"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名称</w:t>
                  </w:r>
                </w:p>
              </w:tc>
              <w:tc>
                <w:tcPr>
                  <w:tcW w:w="2865"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相关要求</w:t>
                  </w:r>
                </w:p>
              </w:tc>
              <w:tc>
                <w:tcPr>
                  <w:tcW w:w="1950"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项目情况</w:t>
                  </w:r>
                </w:p>
              </w:tc>
              <w:tc>
                <w:tcPr>
                  <w:tcW w:w="972"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《大气污染防治行动计划》</w:t>
                  </w:r>
                </w:p>
              </w:tc>
              <w:tc>
                <w:tcPr>
                  <w:tcW w:w="2865"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加强工业企业大气污染综合治理。全面整治燃煤小锅炉。加快推进</w:t>
                  </w:r>
                  <w:r>
                    <w:rPr>
                      <w:rFonts w:hint="default" w:ascii="Times New Roman" w:hAnsi="Times New Roman" w:cs="Times New Roman"/>
                      <w:b/>
                      <w:bCs/>
                      <w:szCs w:val="21"/>
                    </w:rPr>
                    <w:t>集中供热</w:t>
                  </w:r>
                  <w:r>
                    <w:rPr>
                      <w:rFonts w:hint="default" w:ascii="Times New Roman" w:hAnsi="Times New Roman" w:cs="Times New Roman"/>
                      <w:szCs w:val="21"/>
                    </w:rPr>
                    <w:t>、“煤改气”、“煤改电”工程建设</w:t>
                  </w:r>
                </w:p>
              </w:tc>
              <w:tc>
                <w:tcPr>
                  <w:tcW w:w="1950"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本项目为集中供热工程，采用清洁的</w:t>
                  </w:r>
                  <w:r>
                    <w:rPr>
                      <w:rFonts w:hint="eastAsia" w:ascii="Times New Roman" w:hAnsi="Times New Roman" w:cs="Times New Roman"/>
                      <w:szCs w:val="21"/>
                      <w:lang w:val="en-US" w:eastAsia="zh-CN"/>
                    </w:rPr>
                    <w:t>生物质燃气</w:t>
                  </w:r>
                  <w:r>
                    <w:rPr>
                      <w:rFonts w:hint="default" w:ascii="Times New Roman" w:hAnsi="Times New Roman" w:cs="Times New Roman"/>
                      <w:szCs w:val="21"/>
                    </w:rPr>
                    <w:t>作为原料，同时本项目将采用低氮燃烧技术。</w:t>
                  </w:r>
                </w:p>
              </w:tc>
              <w:tc>
                <w:tcPr>
                  <w:tcW w:w="972"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7" w:type="dxa"/>
                  <w:vMerge w:val="restar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color w:val="000000" w:themeColor="text1"/>
                      <w:sz w:val="21"/>
                      <w:szCs w:val="21"/>
                      <w14:textFill>
                        <w14:solidFill>
                          <w14:schemeClr w14:val="tx1"/>
                        </w14:solidFill>
                      </w14:textFill>
                    </w:rPr>
                    <w:t>四川省蓝天保卫行动方案（2017-2020年）</w:t>
                  </w:r>
                </w:p>
              </w:tc>
              <w:tc>
                <w:tcPr>
                  <w:tcW w:w="2865" w:type="dxa"/>
                  <w:tcBorders>
                    <w:tl2br w:val="nil"/>
                    <w:tr2bl w:val="nil"/>
                  </w:tcBorders>
                  <w:vAlign w:val="center"/>
                </w:tcPr>
                <w:p>
                  <w:pPr>
                    <w:adjustRightInd w:val="0"/>
                    <w:snapToGrid w:val="0"/>
                    <w:rPr>
                      <w:rFonts w:hint="default" w:ascii="Times New Roman" w:hAnsi="Times New Roman" w:cs="Times New Roman"/>
                      <w:szCs w:val="21"/>
                    </w:rPr>
                  </w:pPr>
                  <w:r>
                    <w:rPr>
                      <w:rFonts w:hint="default" w:ascii="Times New Roman" w:hAnsi="Times New Roman" w:eastAsia="宋体" w:cs="Times New Roman"/>
                      <w:color w:val="000000" w:themeColor="text1"/>
                      <w:sz w:val="21"/>
                      <w:szCs w:val="21"/>
                      <w14:textFill>
                        <w14:solidFill>
                          <w14:schemeClr w14:val="tx1"/>
                        </w14:solidFill>
                      </w14:textFill>
                    </w:rPr>
                    <w:t>1.推进挥发性有机物综合整治。开展化工行VOCS 综合治理。针对有机化学原料制造、农药制造、医药化工、涂料油墨颜料制造、化学纤维制造、橡胶和塑料制品制造、煤化工等化工行业，实施挥发性有机物综合整治。到2020年，化工行业VOCs排放量减少30%以上。</w:t>
                  </w:r>
                </w:p>
              </w:tc>
              <w:tc>
                <w:tcPr>
                  <w:tcW w:w="1950" w:type="dxa"/>
                  <w:tcBorders>
                    <w:tl2br w:val="nil"/>
                    <w:tr2bl w:val="nil"/>
                  </w:tcBorders>
                  <w:vAlign w:val="center"/>
                </w:tcPr>
                <w:p>
                  <w:pPr>
                    <w:adjustRightInd w:val="0"/>
                    <w:snapToGrid w:val="0"/>
                    <w:rPr>
                      <w:rFonts w:hint="default" w:ascii="Times New Roman" w:hAnsi="Times New Roman" w:cs="Times New Roman"/>
                      <w:szCs w:val="21"/>
                    </w:rPr>
                  </w:pPr>
                  <w:r>
                    <w:rPr>
                      <w:rFonts w:hint="default" w:ascii="Times New Roman" w:hAnsi="Times New Roman" w:eastAsia="宋体" w:cs="Times New Roman"/>
                      <w:color w:val="000000" w:themeColor="text1"/>
                      <w:sz w:val="21"/>
                      <w:szCs w:val="21"/>
                      <w14:textFill>
                        <w14:solidFill>
                          <w14:schemeClr w14:val="tx1"/>
                        </w14:solidFill>
                      </w14:textFill>
                    </w:rPr>
                    <w:t>本项目不属于以上行业，同时项目对VOCs采取严格的治理措施。</w:t>
                  </w:r>
                </w:p>
              </w:tc>
              <w:tc>
                <w:tcPr>
                  <w:tcW w:w="972"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747" w:type="dxa"/>
                  <w:vMerge w:val="continue"/>
                  <w:tcBorders>
                    <w:tl2br w:val="nil"/>
                    <w:tr2bl w:val="nil"/>
                  </w:tcBorders>
                  <w:vAlign w:val="center"/>
                </w:tcPr>
                <w:p>
                  <w:pPr>
                    <w:rPr>
                      <w:rFonts w:hint="default" w:ascii="Times New Roman" w:hAnsi="Times New Roman" w:cs="Times New Roman"/>
                      <w:szCs w:val="21"/>
                    </w:rPr>
                  </w:pPr>
                </w:p>
              </w:tc>
              <w:tc>
                <w:tcPr>
                  <w:tcW w:w="2865" w:type="dxa"/>
                  <w:tcBorders>
                    <w:tl2br w:val="nil"/>
                    <w:tr2bl w:val="nil"/>
                  </w:tcBorders>
                  <w:vAlign w:val="center"/>
                </w:tcPr>
                <w:p>
                  <w:pPr>
                    <w:adjustRightInd w:val="0"/>
                    <w:snapToGrid w:val="0"/>
                    <w:rPr>
                      <w:rFonts w:hint="default" w:ascii="Times New Roman" w:hAnsi="Times New Roman" w:cs="Times New Roman"/>
                      <w:szCs w:val="21"/>
                    </w:rPr>
                  </w:pPr>
                  <w:r>
                    <w:rPr>
                      <w:rFonts w:hint="default" w:ascii="Times New Roman" w:hAnsi="Times New Roman" w:eastAsia="宋体" w:cs="Times New Roman"/>
                      <w:color w:val="000000" w:themeColor="text1"/>
                      <w:sz w:val="21"/>
                      <w:szCs w:val="21"/>
                      <w14:textFill>
                        <w14:solidFill>
                          <w14:schemeClr w14:val="tx1"/>
                        </w14:solidFill>
                      </w14:textFill>
                    </w:rPr>
                    <w:t>2.加快燃煤锅炉淘汰升级。地级以上城市建成区禁止新建每小时20 蒸吨以下燃煤锅炉，成都市禁止新建燃煤、木材、生物质锅炉，新建燃气锅炉氮氧化物采取更严格管控要求。到2017年底20蒸吨以上燃煤锅炉治理达标，到2020年底县城及以上城市建成区全面淘汰每小时10蒸吨以下燃煤锅炉，其他地区原则上不得新建每小时10蒸吨以下燃煤锅炉。在用燃煤锅炉全面达标。</w:t>
                  </w:r>
                </w:p>
              </w:tc>
              <w:tc>
                <w:tcPr>
                  <w:tcW w:w="1950" w:type="dxa"/>
                  <w:tcBorders>
                    <w:tl2br w:val="nil"/>
                    <w:tr2bl w:val="nil"/>
                  </w:tcBorders>
                  <w:vAlign w:val="center"/>
                </w:tcPr>
                <w:p>
                  <w:pPr>
                    <w:adjustRightInd w:val="0"/>
                    <w:snapToGrid w:val="0"/>
                    <w:rPr>
                      <w:rFonts w:hint="default" w:ascii="Times New Roman" w:hAnsi="Times New Roman" w:cs="Times New Roman"/>
                      <w:szCs w:val="21"/>
                    </w:rPr>
                  </w:pPr>
                  <w:r>
                    <w:rPr>
                      <w:rFonts w:hint="default" w:ascii="Times New Roman" w:hAnsi="Times New Roman" w:eastAsia="宋体" w:cs="Times New Roman"/>
                      <w:color w:val="000000" w:themeColor="text1"/>
                      <w:sz w:val="21"/>
                      <w:szCs w:val="21"/>
                      <w14:textFill>
                        <w14:solidFill>
                          <w14:schemeClr w14:val="tx1"/>
                        </w14:solidFill>
                      </w14:textFill>
                    </w:rPr>
                    <w:t>本项目不</w:t>
                  </w:r>
                  <w:r>
                    <w:rPr>
                      <w:rFonts w:hint="eastAsia" w:ascii="Times New Roman" w:hAnsi="Times New Roman" w:cs="Times New Roman"/>
                      <w:color w:val="000000" w:themeColor="text1"/>
                      <w:sz w:val="21"/>
                      <w:szCs w:val="21"/>
                      <w:lang w:val="en-US" w:eastAsia="zh-CN"/>
                      <w14:textFill>
                        <w14:solidFill>
                          <w14:schemeClr w14:val="tx1"/>
                        </w14:solidFill>
                      </w14:textFill>
                    </w:rPr>
                    <w:t>属于</w:t>
                  </w:r>
                  <w:r>
                    <w:rPr>
                      <w:rFonts w:hint="default" w:ascii="Times New Roman" w:hAnsi="Times New Roman" w:eastAsia="宋体" w:cs="Times New Roman"/>
                      <w:color w:val="000000" w:themeColor="text1"/>
                      <w:sz w:val="21"/>
                      <w:szCs w:val="21"/>
                      <w14:textFill>
                        <w14:solidFill>
                          <w14:schemeClr w14:val="tx1"/>
                        </w14:solidFill>
                      </w14:textFill>
                    </w:rPr>
                    <w:t>燃煤锅炉。</w:t>
                  </w:r>
                </w:p>
              </w:tc>
              <w:tc>
                <w:tcPr>
                  <w:tcW w:w="972"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pPr>
              <w:spacing w:line="360" w:lineRule="auto"/>
              <w:rPr>
                <w:rFonts w:hint="default" w:ascii="Times New Roman" w:hAnsi="Times New Roman" w:eastAsia="宋体"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7</w:t>
            </w:r>
            <w:r>
              <w:rPr>
                <w:rFonts w:hint="default" w:ascii="Times New Roman" w:hAnsi="Times New Roman" w:cs="Times New Roman"/>
                <w:b/>
                <w:bCs/>
                <w:color w:val="auto"/>
                <w:sz w:val="24"/>
                <w:u w:val="none"/>
              </w:rPr>
              <w:t>、</w:t>
            </w:r>
            <w:r>
              <w:rPr>
                <w:rFonts w:hint="eastAsia" w:cs="Times New Roman"/>
                <w:b/>
                <w:bCs/>
                <w:color w:val="auto"/>
                <w:sz w:val="24"/>
                <w:u w:val="none"/>
                <w:lang w:val="en-US" w:eastAsia="zh-CN"/>
              </w:rPr>
              <w:t>项目与《遂宁市人民政府关于调整扩大高污染燃料禁燃区的通告》符合性分析。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auto"/>
                <w:sz w:val="24"/>
                <w:szCs w:val="32"/>
                <w:u w:val="none"/>
                <w:lang w:val="en-US" w:eastAsia="zh-CN"/>
              </w:rPr>
            </w:pPr>
            <w:r>
              <w:rPr>
                <w:rFonts w:hint="default" w:ascii="Times New Roman" w:hAnsi="Times New Roman" w:cs="Times New Roman"/>
                <w:color w:val="auto"/>
                <w:sz w:val="24"/>
                <w:szCs w:val="32"/>
                <w:u w:val="none"/>
              </w:rPr>
              <w:t>本项目建设地位于</w:t>
            </w:r>
            <w:r>
              <w:rPr>
                <w:rFonts w:hint="default" w:ascii="Times New Roman" w:hAnsi="Times New Roman" w:cs="Times New Roman"/>
                <w:color w:val="auto"/>
                <w:sz w:val="24"/>
                <w:u w:val="none"/>
                <w:lang w:eastAsia="zh-CN"/>
              </w:rPr>
              <w:t>遂宁市大英县隆盛镇席家沟村，</w:t>
            </w:r>
            <w:r>
              <w:rPr>
                <w:rFonts w:hint="eastAsia" w:cs="Times New Roman"/>
                <w:b w:val="0"/>
                <w:bCs w:val="0"/>
                <w:color w:val="auto"/>
                <w:sz w:val="24"/>
                <w:szCs w:val="32"/>
                <w:u w:val="none"/>
                <w:lang w:val="en-US" w:eastAsia="zh-CN"/>
              </w:rPr>
              <w:t>属于遂宁市</w:t>
            </w:r>
            <w:r>
              <w:rPr>
                <w:rFonts w:hint="eastAsia" w:cs="Times New Roman"/>
                <w:b/>
                <w:bCs/>
                <w:color w:val="auto"/>
                <w:sz w:val="24"/>
                <w:szCs w:val="32"/>
                <w:u w:val="none"/>
                <w:lang w:val="en-US" w:eastAsia="zh-CN"/>
              </w:rPr>
              <w:t>高污染燃料禁燃区</w:t>
            </w:r>
            <w:r>
              <w:rPr>
                <w:rFonts w:hint="eastAsia" w:cs="Times New Roman"/>
                <w:b w:val="0"/>
                <w:bCs w:val="0"/>
                <w:color w:val="auto"/>
                <w:sz w:val="24"/>
                <w:szCs w:val="32"/>
                <w:u w:val="none"/>
                <w:lang w:val="en-US" w:eastAsia="zh-CN"/>
              </w:rPr>
              <w:t>，项目与《遂宁市人民政府关于调整扩大高污染燃料禁燃区的通告》符合性分析见下表。</w:t>
            </w:r>
          </w:p>
          <w:p>
            <w:pPr>
              <w:widowControl/>
              <w:spacing w:line="276" w:lineRule="auto"/>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表1-</w:t>
            </w:r>
            <w:r>
              <w:rPr>
                <w:rFonts w:hint="eastAsia" w:ascii="Times New Roman" w:hAnsi="Times New Roman" w:cs="Times New Roman"/>
                <w:b/>
                <w:bCs/>
                <w:color w:val="auto"/>
                <w:u w:val="none"/>
                <w:lang w:val="en-US" w:eastAsia="zh-CN"/>
              </w:rPr>
              <w:t>9</w:t>
            </w:r>
            <w:r>
              <w:rPr>
                <w:rFonts w:hint="default" w:ascii="Times New Roman" w:hAnsi="Times New Roman" w:cs="Times New Roman"/>
                <w:b/>
                <w:bCs/>
                <w:color w:val="auto"/>
                <w:u w:val="none"/>
              </w:rPr>
              <w:t xml:space="preserve"> 与《遂宁市人民政府关于调整扩大高污染燃料禁燃区的通告》符合性分析</w:t>
            </w:r>
          </w:p>
          <w:tbl>
            <w:tblPr>
              <w:tblStyle w:val="25"/>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1"/>
              <w:gridCol w:w="666"/>
              <w:gridCol w:w="3082"/>
              <w:gridCol w:w="2606"/>
              <w:gridCol w:w="9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gridSpan w:val="2"/>
                  <w:vAlign w:val="center"/>
                </w:tcPr>
                <w:p>
                  <w:pPr>
                    <w:adjustRightInd w:val="0"/>
                    <w:snapToGrid w:val="0"/>
                    <w:jc w:val="center"/>
                    <w:rPr>
                      <w:rFonts w:hint="eastAsia" w:cs="Times New Roman"/>
                      <w:b/>
                      <w:bCs/>
                      <w:color w:val="auto"/>
                      <w:kern w:val="0"/>
                      <w:szCs w:val="21"/>
                      <w:u w:val="none"/>
                      <w:lang w:val="en-US" w:eastAsia="zh-CN" w:bidi="ar"/>
                    </w:rPr>
                  </w:pPr>
                  <w:r>
                    <w:rPr>
                      <w:rFonts w:hint="default" w:ascii="Times New Roman" w:hAnsi="Times New Roman" w:cs="Times New Roman"/>
                      <w:b/>
                      <w:bCs/>
                      <w:color w:val="auto"/>
                      <w:szCs w:val="21"/>
                      <w:u w:val="none"/>
                    </w:rPr>
                    <w:t>序号</w:t>
                  </w:r>
                </w:p>
              </w:tc>
              <w:tc>
                <w:tcPr>
                  <w:tcW w:w="3082" w:type="dxa"/>
                  <w:vAlign w:val="center"/>
                </w:tcPr>
                <w:p>
                  <w:pPr>
                    <w:adjustRightInd w:val="0"/>
                    <w:snapToGrid w:val="0"/>
                    <w:jc w:val="center"/>
                    <w:rPr>
                      <w:rFonts w:hint="default" w:ascii="Times New Roman" w:hAnsi="Times New Roman" w:cs="Times New Roman"/>
                      <w:b/>
                      <w:bCs/>
                      <w:color w:val="auto"/>
                      <w:szCs w:val="21"/>
                      <w:u w:val="none"/>
                      <w:lang w:val="en-US"/>
                    </w:rPr>
                  </w:pPr>
                  <w:r>
                    <w:rPr>
                      <w:rFonts w:hint="eastAsia" w:cs="Times New Roman"/>
                      <w:b/>
                      <w:bCs/>
                      <w:color w:val="auto"/>
                      <w:kern w:val="0"/>
                      <w:szCs w:val="21"/>
                      <w:u w:val="none"/>
                      <w:lang w:val="en-US" w:eastAsia="zh-CN" w:bidi="ar"/>
                    </w:rPr>
                    <w:t>文件要求</w:t>
                  </w:r>
                </w:p>
              </w:tc>
              <w:tc>
                <w:tcPr>
                  <w:tcW w:w="2606" w:type="dxa"/>
                  <w:vAlign w:val="center"/>
                </w:tcPr>
                <w:p>
                  <w:pPr>
                    <w:adjustRightInd w:val="0"/>
                    <w:snapToGrid w:val="0"/>
                    <w:jc w:val="center"/>
                    <w:rPr>
                      <w:rFonts w:hint="eastAsia" w:ascii="Times New Roman" w:hAnsi="Times New Roman" w:eastAsia="宋体" w:cs="Times New Roman"/>
                      <w:b/>
                      <w:bCs/>
                      <w:color w:val="auto"/>
                      <w:szCs w:val="21"/>
                      <w:u w:val="none"/>
                      <w:lang w:val="en-US" w:eastAsia="zh-CN"/>
                    </w:rPr>
                  </w:pPr>
                  <w:r>
                    <w:rPr>
                      <w:rFonts w:hint="default" w:ascii="Times New Roman" w:hAnsi="Times New Roman" w:cs="Times New Roman"/>
                      <w:b/>
                      <w:bCs/>
                      <w:color w:val="auto"/>
                      <w:szCs w:val="21"/>
                      <w:u w:val="none"/>
                    </w:rPr>
                    <w:t>本项目</w:t>
                  </w:r>
                  <w:r>
                    <w:rPr>
                      <w:rFonts w:hint="eastAsia" w:cs="Times New Roman"/>
                      <w:b/>
                      <w:bCs/>
                      <w:color w:val="auto"/>
                      <w:szCs w:val="21"/>
                      <w:u w:val="none"/>
                      <w:lang w:val="en-US" w:eastAsia="zh-CN"/>
                    </w:rPr>
                    <w:t>内容</w:t>
                  </w:r>
                </w:p>
              </w:tc>
              <w:tc>
                <w:tcPr>
                  <w:tcW w:w="915" w:type="dxa"/>
                  <w:vAlign w:val="center"/>
                </w:tcPr>
                <w:p>
                  <w:pPr>
                    <w:adjustRightInd w:val="0"/>
                    <w:snapToGrid w:val="0"/>
                    <w:jc w:val="center"/>
                    <w:rPr>
                      <w:rFonts w:hint="eastAsia" w:ascii="Times New Roman" w:hAnsi="Times New Roman" w:eastAsia="宋体" w:cs="Times New Roman"/>
                      <w:b/>
                      <w:bCs/>
                      <w:color w:val="auto"/>
                      <w:szCs w:val="21"/>
                      <w:u w:val="none"/>
                      <w:lang w:val="en-US" w:eastAsia="zh-CN"/>
                    </w:rPr>
                  </w:pPr>
                  <w:r>
                    <w:rPr>
                      <w:rFonts w:hint="eastAsia" w:cs="Times New Roman"/>
                      <w:b/>
                      <w:bCs/>
                      <w:color w:val="auto"/>
                      <w:szCs w:val="21"/>
                      <w:u w:val="none"/>
                      <w:lang w:val="en-US" w:eastAsia="zh-CN"/>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0" w:type="auto"/>
                  <w:vAlign w:val="center"/>
                </w:tcPr>
                <w:p>
                  <w:pPr>
                    <w:adjustRightInd w:val="0"/>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1</w:t>
                  </w:r>
                </w:p>
              </w:tc>
              <w:tc>
                <w:tcPr>
                  <w:tcW w:w="0" w:type="auto"/>
                  <w:vMerge w:val="restart"/>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default" w:ascii="Times New Roman" w:hAnsi="Times New Roman" w:cs="Times New Roman"/>
                      <w:color w:val="auto"/>
                      <w:szCs w:val="21"/>
                      <w:u w:val="none"/>
                    </w:rPr>
                    <w:t>燃料</w:t>
                  </w:r>
                  <w:r>
                    <w:rPr>
                      <w:rFonts w:hint="eastAsia" w:cs="Times New Roman"/>
                      <w:color w:val="auto"/>
                      <w:szCs w:val="21"/>
                      <w:u w:val="none"/>
                      <w:lang w:val="en-US" w:eastAsia="zh-CN"/>
                    </w:rPr>
                    <w:t>要求</w:t>
                  </w:r>
                </w:p>
              </w:tc>
              <w:tc>
                <w:tcPr>
                  <w:tcW w:w="3082" w:type="dxa"/>
                  <w:vAlign w:val="center"/>
                </w:tcPr>
                <w:p>
                  <w:pPr>
                    <w:adjustRightInd w:val="0"/>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煤炭及其制品（包括原煤、散煤、煤矸石、煤泥、煤粉、水浆煤、型煤、焦炭、兰炭、油类等常规燃料）</w:t>
                  </w:r>
                </w:p>
              </w:tc>
              <w:tc>
                <w:tcPr>
                  <w:tcW w:w="2606" w:type="dxa"/>
                  <w:vMerge w:val="restart"/>
                  <w:vAlign w:val="center"/>
                </w:tcPr>
                <w:p>
                  <w:pPr>
                    <w:adjustRightInd w:val="0"/>
                    <w:snapToGrid w:val="0"/>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本项目采用生物质气体为燃料</w:t>
                  </w:r>
                </w:p>
              </w:tc>
              <w:tc>
                <w:tcPr>
                  <w:tcW w:w="915" w:type="dxa"/>
                  <w:vMerge w:val="restart"/>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pPr>
                    <w:adjustRightInd w:val="0"/>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2</w:t>
                  </w:r>
                </w:p>
              </w:tc>
              <w:tc>
                <w:tcPr>
                  <w:tcW w:w="0" w:type="auto"/>
                  <w:vMerge w:val="continue"/>
                  <w:vAlign w:val="center"/>
                </w:tcPr>
                <w:p>
                  <w:pPr>
                    <w:adjustRightInd w:val="0"/>
                    <w:snapToGrid w:val="0"/>
                    <w:jc w:val="center"/>
                    <w:rPr>
                      <w:rFonts w:hint="default" w:ascii="Times New Roman" w:hAnsi="Times New Roman" w:eastAsia="宋体" w:cs="Times New Roman"/>
                      <w:color w:val="auto"/>
                      <w:szCs w:val="21"/>
                      <w:u w:val="none"/>
                      <w:lang w:val="en-US" w:eastAsia="zh-CN"/>
                    </w:rPr>
                  </w:pPr>
                </w:p>
              </w:tc>
              <w:tc>
                <w:tcPr>
                  <w:tcW w:w="3082" w:type="dxa"/>
                  <w:vAlign w:val="center"/>
                </w:tcPr>
                <w:p>
                  <w:pPr>
                    <w:adjustRightInd w:val="0"/>
                    <w:snapToGrid w:val="0"/>
                    <w:jc w:val="center"/>
                    <w:rPr>
                      <w:rFonts w:hint="default" w:ascii="Times New Roman" w:hAnsi="Times New Roman" w:eastAsia="宋体" w:cs="Times New Roman"/>
                      <w:color w:val="auto"/>
                      <w:szCs w:val="21"/>
                      <w:u w:val="none"/>
                      <w:lang w:val="en-US" w:eastAsia="zh-CN"/>
                    </w:rPr>
                  </w:pPr>
                  <w:r>
                    <w:rPr>
                      <w:rFonts w:hint="default" w:ascii="Times New Roman" w:hAnsi="Times New Roman" w:eastAsia="宋体" w:cs="Times New Roman"/>
                      <w:color w:val="auto"/>
                      <w:szCs w:val="21"/>
                      <w:u w:val="none"/>
                      <w:lang w:val="en-US" w:eastAsia="zh-CN"/>
                    </w:rPr>
                    <w:t>石油焦、油页岩、原油、重油、渣油、煤焦油。</w:t>
                  </w:r>
                </w:p>
              </w:tc>
              <w:tc>
                <w:tcPr>
                  <w:tcW w:w="2606" w:type="dxa"/>
                  <w:vMerge w:val="continue"/>
                  <w:vAlign w:val="center"/>
                </w:tcPr>
                <w:p>
                  <w:pPr>
                    <w:adjustRightInd w:val="0"/>
                    <w:snapToGrid w:val="0"/>
                    <w:jc w:val="center"/>
                    <w:rPr>
                      <w:rFonts w:hint="default" w:ascii="Times New Roman" w:hAnsi="Times New Roman" w:cs="Times New Roman"/>
                      <w:color w:val="auto"/>
                      <w:szCs w:val="21"/>
                      <w:u w:val="none"/>
                    </w:rPr>
                  </w:pPr>
                </w:p>
              </w:tc>
              <w:tc>
                <w:tcPr>
                  <w:tcW w:w="915" w:type="dxa"/>
                  <w:vMerge w:val="continue"/>
                  <w:vAlign w:val="center"/>
                </w:tcPr>
                <w:p>
                  <w:pPr>
                    <w:adjustRightInd w:val="0"/>
                    <w:snapToGrid w:val="0"/>
                    <w:jc w:val="center"/>
                    <w:rPr>
                      <w:rFonts w:hint="default" w:ascii="Times New Roman" w:hAnsi="Times New Roman" w:cs="Times New Roman"/>
                      <w:color w:val="auto"/>
                      <w:szCs w:val="21"/>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Align w:val="center"/>
                </w:tcPr>
                <w:p>
                  <w:pPr>
                    <w:adjustRightInd w:val="0"/>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3</w:t>
                  </w:r>
                </w:p>
              </w:tc>
              <w:tc>
                <w:tcPr>
                  <w:tcW w:w="0" w:type="auto"/>
                  <w:vMerge w:val="continue"/>
                  <w:vAlign w:val="center"/>
                </w:tcPr>
                <w:p>
                  <w:pPr>
                    <w:adjustRightInd w:val="0"/>
                    <w:snapToGrid w:val="0"/>
                    <w:jc w:val="center"/>
                    <w:rPr>
                      <w:rFonts w:hint="default" w:ascii="Times New Roman" w:hAnsi="Times New Roman" w:cs="Times New Roman"/>
                      <w:color w:val="auto"/>
                      <w:szCs w:val="21"/>
                      <w:u w:val="none"/>
                    </w:rPr>
                  </w:pPr>
                </w:p>
              </w:tc>
              <w:tc>
                <w:tcPr>
                  <w:tcW w:w="3082" w:type="dxa"/>
                  <w:vAlign w:val="center"/>
                </w:tcPr>
                <w:p>
                  <w:pPr>
                    <w:adjustRightInd w:val="0"/>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非专用锅炉或未配置高效除尘设施的专用锅炉燃用的生物质成型燃料。</w:t>
                  </w:r>
                </w:p>
              </w:tc>
              <w:tc>
                <w:tcPr>
                  <w:tcW w:w="2606" w:type="dxa"/>
                  <w:vAlign w:val="center"/>
                </w:tcPr>
                <w:p>
                  <w:pPr>
                    <w:adjustRightInd w:val="0"/>
                    <w:snapToGrid w:val="0"/>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本项目为生物质体锅炉（配套生物质气化炉），且已配置旋风布袋除尘器</w:t>
                  </w:r>
                </w:p>
              </w:tc>
              <w:tc>
                <w:tcPr>
                  <w:tcW w:w="915" w:type="dxa"/>
                  <w:vAlign w:val="center"/>
                </w:tcPr>
                <w:p>
                  <w:pPr>
                    <w:adjustRightInd w:val="0"/>
                    <w:snapToGrid w:val="0"/>
                    <w:jc w:val="center"/>
                    <w:rPr>
                      <w:rFonts w:hint="default" w:ascii="Times New Roman" w:hAnsi="Times New Roman" w:cs="Times New Roman"/>
                      <w:color w:val="auto"/>
                      <w:szCs w:val="21"/>
                      <w:u w:val="none"/>
                    </w:rPr>
                  </w:pPr>
                  <w:r>
                    <w:rPr>
                      <w:rFonts w:hint="eastAsia" w:cs="Times New Roman"/>
                      <w:color w:val="auto"/>
                      <w:szCs w:val="21"/>
                      <w:u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87" w:type="dxa"/>
                  <w:gridSpan w:val="2"/>
                  <w:vAlign w:val="center"/>
                </w:tcPr>
                <w:p>
                  <w:pPr>
                    <w:adjustRightInd w:val="0"/>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4</w:t>
                  </w:r>
                </w:p>
              </w:tc>
              <w:tc>
                <w:tcPr>
                  <w:tcW w:w="3082" w:type="dxa"/>
                  <w:vAlign w:val="center"/>
                </w:tcPr>
                <w:p>
                  <w:pPr>
                    <w:adjustRightInd w:val="0"/>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禁燃区内禁止新建、扩建燃用高污染燃料的锅炉、炉窑、炉灶等燃烧设施（集中供热、电厂锅炉除外）</w:t>
                  </w:r>
                </w:p>
              </w:tc>
              <w:tc>
                <w:tcPr>
                  <w:tcW w:w="2606" w:type="dxa"/>
                  <w:vAlign w:val="center"/>
                </w:tcPr>
                <w:p>
                  <w:pPr>
                    <w:adjustRightInd w:val="0"/>
                    <w:snapToGrid w:val="0"/>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本项目不属于</w:t>
                  </w:r>
                  <w:r>
                    <w:rPr>
                      <w:rFonts w:hint="default" w:ascii="Times New Roman" w:hAnsi="Times New Roman" w:cs="Times New Roman"/>
                      <w:color w:val="auto"/>
                      <w:szCs w:val="21"/>
                      <w:u w:val="none"/>
                    </w:rPr>
                    <w:t>高污染燃料</w:t>
                  </w:r>
                </w:p>
              </w:tc>
              <w:tc>
                <w:tcPr>
                  <w:tcW w:w="915" w:type="dxa"/>
                  <w:vAlign w:val="center"/>
                </w:tcPr>
                <w:p>
                  <w:pPr>
                    <w:adjustRightInd w:val="0"/>
                    <w:snapToGrid w:val="0"/>
                    <w:jc w:val="center"/>
                    <w:rPr>
                      <w:rFonts w:hint="default" w:ascii="Times New Roman" w:hAnsi="Times New Roman" w:cs="Times New Roman"/>
                      <w:color w:val="auto"/>
                      <w:szCs w:val="21"/>
                      <w:u w:val="none"/>
                    </w:rPr>
                  </w:pPr>
                  <w:r>
                    <w:rPr>
                      <w:rFonts w:hint="eastAsia" w:cs="Times New Roman"/>
                      <w:color w:val="auto"/>
                      <w:szCs w:val="21"/>
                      <w:u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32"/>
                <w:u w:val="none"/>
                <w:lang w:val="en-US" w:eastAsia="zh-CN"/>
              </w:rPr>
            </w:pPr>
            <w:r>
              <w:rPr>
                <w:rFonts w:hint="eastAsia" w:cs="Times New Roman"/>
                <w:b w:val="0"/>
                <w:bCs w:val="0"/>
                <w:color w:val="auto"/>
                <w:sz w:val="24"/>
                <w:u w:val="none"/>
                <w:lang w:val="en-US" w:eastAsia="zh-CN"/>
              </w:rPr>
              <w:t>综上，本项目与</w:t>
            </w:r>
            <w:r>
              <w:rPr>
                <w:rFonts w:hint="eastAsia" w:cs="Times New Roman"/>
                <w:b w:val="0"/>
                <w:bCs w:val="0"/>
                <w:color w:val="auto"/>
                <w:sz w:val="24"/>
                <w:szCs w:val="32"/>
                <w:u w:val="none"/>
                <w:lang w:val="en-US" w:eastAsia="zh-CN"/>
              </w:rPr>
              <w:t>《遂宁市人民政府关于调整扩大高污染燃料禁燃区的通告》相符。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val="0"/>
                <w:color w:val="auto"/>
                <w:sz w:val="24"/>
                <w:szCs w:val="32"/>
                <w:u w:val="none"/>
                <w:lang w:val="en-US" w:eastAsia="zh-CN"/>
              </w:rPr>
            </w:pPr>
            <w:r>
              <w:rPr>
                <w:rFonts w:hint="eastAsia" w:cs="Times New Roman"/>
                <w:b/>
                <w:bCs/>
                <w:color w:val="auto"/>
                <w:sz w:val="24"/>
                <w:u w:val="none"/>
                <w:lang w:val="en-US" w:eastAsia="zh-CN"/>
              </w:rPr>
              <w:t>8、</w:t>
            </w:r>
            <w:r>
              <w:rPr>
                <w:rFonts w:hint="default" w:ascii="Times New Roman" w:hAnsi="Times New Roman" w:cs="Times New Roman"/>
                <w:b/>
                <w:bCs/>
                <w:color w:val="auto"/>
                <w:sz w:val="24"/>
                <w:u w:val="none"/>
              </w:rPr>
              <w:t>与</w:t>
            </w:r>
            <w:r>
              <w:rPr>
                <w:rFonts w:hint="eastAsia" w:cs="Times New Roman"/>
                <w:b/>
                <w:bCs/>
                <w:color w:val="auto"/>
                <w:sz w:val="24"/>
                <w:u w:val="none"/>
                <w:lang w:val="en-US" w:eastAsia="zh-CN"/>
              </w:rPr>
              <w:t>能源替代</w:t>
            </w:r>
            <w:r>
              <w:rPr>
                <w:rFonts w:hint="default" w:ascii="Times New Roman" w:hAnsi="Times New Roman" w:cs="Times New Roman"/>
                <w:b/>
                <w:bCs/>
                <w:color w:val="auto"/>
                <w:sz w:val="24"/>
                <w:u w:val="none"/>
              </w:rPr>
              <w:t>相关政策符合性分析</w:t>
            </w:r>
          </w:p>
          <w:p>
            <w:pPr>
              <w:pStyle w:val="2"/>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表1-</w:t>
            </w:r>
            <w:r>
              <w:rPr>
                <w:rFonts w:hint="eastAsia" w:cs="Times New Roman"/>
                <w:b/>
                <w:bCs/>
                <w:color w:val="auto"/>
                <w:sz w:val="21"/>
                <w:szCs w:val="21"/>
                <w:u w:val="none"/>
                <w:lang w:val="en-US" w:eastAsia="zh-CN"/>
              </w:rPr>
              <w:t>10</w:t>
            </w:r>
            <w:r>
              <w:rPr>
                <w:rFonts w:hint="default" w:ascii="Times New Roman" w:hAnsi="Times New Roman" w:cs="Times New Roman"/>
                <w:b/>
                <w:bCs/>
                <w:color w:val="auto"/>
                <w:sz w:val="21"/>
                <w:szCs w:val="21"/>
                <w:u w:val="none"/>
              </w:rPr>
              <w:t xml:space="preserve"> 与能源替代相关政策符合性分析</w:t>
            </w:r>
          </w:p>
          <w:tbl>
            <w:tblPr>
              <w:tblStyle w:val="26"/>
              <w:tblW w:w="753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2865"/>
              <w:gridCol w:w="1950"/>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Cs w:val="21"/>
                      <w:u w:val="none"/>
                    </w:rPr>
                  </w:pPr>
                  <w:r>
                    <w:rPr>
                      <w:rFonts w:hint="default" w:ascii="Times New Roman" w:hAnsi="Times New Roman" w:cs="Times New Roman"/>
                      <w:b/>
                      <w:bCs/>
                      <w:color w:val="auto"/>
                      <w:szCs w:val="21"/>
                      <w:u w:val="none"/>
                    </w:rPr>
                    <w:t>名称</w:t>
                  </w:r>
                </w:p>
              </w:tc>
              <w:tc>
                <w:tcPr>
                  <w:tcW w:w="2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Cs w:val="21"/>
                      <w:u w:val="none"/>
                    </w:rPr>
                  </w:pPr>
                  <w:r>
                    <w:rPr>
                      <w:rFonts w:hint="default" w:ascii="Times New Roman" w:hAnsi="Times New Roman" w:cs="Times New Roman"/>
                      <w:b/>
                      <w:bCs/>
                      <w:color w:val="auto"/>
                      <w:szCs w:val="21"/>
                      <w:u w:val="none"/>
                    </w:rPr>
                    <w:t>相关要求</w:t>
                  </w:r>
                </w:p>
              </w:tc>
              <w:tc>
                <w:tcPr>
                  <w:tcW w:w="19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Cs w:val="21"/>
                      <w:u w:val="none"/>
                    </w:rPr>
                  </w:pPr>
                  <w:r>
                    <w:rPr>
                      <w:rFonts w:hint="default" w:ascii="Times New Roman" w:hAnsi="Times New Roman" w:cs="Times New Roman"/>
                      <w:b/>
                      <w:bCs/>
                      <w:color w:val="auto"/>
                      <w:szCs w:val="21"/>
                      <w:u w:val="none"/>
                    </w:rPr>
                    <w:t>项目情况</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Cs w:val="21"/>
                      <w:u w:val="none"/>
                    </w:rPr>
                  </w:pPr>
                  <w:r>
                    <w:rPr>
                      <w:rFonts w:hint="default" w:ascii="Times New Roman" w:hAnsi="Times New Roman" w:cs="Times New Roman"/>
                      <w:b/>
                      <w:bCs/>
                      <w:color w:val="auto"/>
                      <w:szCs w:val="21"/>
                      <w:u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《中华人民共和国</w:t>
                  </w:r>
                  <w:r>
                    <w:rPr>
                      <w:rFonts w:hint="eastAsia" w:cs="Times New Roman"/>
                      <w:color w:val="auto"/>
                      <w:szCs w:val="21"/>
                      <w:u w:val="none"/>
                      <w:lang w:eastAsia="zh-CN"/>
                    </w:rPr>
                    <w:t>节约</w:t>
                  </w:r>
                  <w:r>
                    <w:rPr>
                      <w:rFonts w:hint="default" w:ascii="Times New Roman" w:hAnsi="Times New Roman" w:cs="Times New Roman"/>
                      <w:color w:val="auto"/>
                      <w:szCs w:val="21"/>
                      <w:u w:val="none"/>
                    </w:rPr>
                    <w:t>能源法（征求意见稿）》</w:t>
                  </w:r>
                </w:p>
              </w:tc>
              <w:tc>
                <w:tcPr>
                  <w:tcW w:w="2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第三十二条 〔优化能源结构〕</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国家鼓励高效清洁开发利用能源资源，支持优先开发可再生能源，合理开发化石能源资源，因地制宜发展分布式能源，推动非化石能源替代化石能源、低碳能源替代高碳能源，支持开发应用替代石油、天然气的新型燃料和工业原料。</w:t>
                  </w:r>
                </w:p>
              </w:tc>
              <w:tc>
                <w:tcPr>
                  <w:tcW w:w="19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本项目属于非化石能源，将替代项目现有的天然气锅炉。</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符合</w:t>
                  </w:r>
                </w:p>
              </w:tc>
            </w:tr>
          </w:tbl>
          <w:p>
            <w:pPr>
              <w:spacing w:line="360" w:lineRule="auto"/>
              <w:rPr>
                <w:rFonts w:hint="default" w:ascii="Times New Roman" w:hAnsi="Times New Roman" w:cs="Times New Roman"/>
                <w:b/>
                <w:bCs/>
                <w:sz w:val="24"/>
              </w:rPr>
            </w:pPr>
            <w:r>
              <w:rPr>
                <w:rFonts w:hint="eastAsia" w:cs="Times New Roman"/>
                <w:b/>
                <w:bCs/>
                <w:sz w:val="24"/>
                <w:lang w:val="en-US" w:eastAsia="zh-CN"/>
              </w:rPr>
              <w:t>9</w:t>
            </w:r>
            <w:r>
              <w:rPr>
                <w:rFonts w:hint="default" w:ascii="Times New Roman" w:hAnsi="Times New Roman" w:cs="Times New Roman"/>
                <w:b/>
                <w:bCs/>
                <w:sz w:val="24"/>
              </w:rPr>
              <w:t>、外环境关系分析</w:t>
            </w:r>
          </w:p>
          <w:p>
            <w:pPr>
              <w:adjustRightInd w:val="0"/>
              <w:snapToGrid w:val="0"/>
              <w:spacing w:line="360" w:lineRule="auto"/>
              <w:ind w:firstLine="480" w:firstLineChars="20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sz w:val="24"/>
                <w:szCs w:val="32"/>
              </w:rPr>
              <w:t>本项目建设地位于</w:t>
            </w:r>
            <w:r>
              <w:rPr>
                <w:rFonts w:hint="default" w:ascii="Times New Roman" w:hAnsi="Times New Roman" w:cs="Times New Roman"/>
                <w:sz w:val="24"/>
                <w:lang w:eastAsia="zh-CN"/>
              </w:rPr>
              <w:t>四川省遂宁市大英县隆盛镇席家沟村，</w:t>
            </w:r>
            <w:r>
              <w:rPr>
                <w:rFonts w:hint="eastAsia" w:cs="Times New Roman"/>
                <w:sz w:val="24"/>
                <w:lang w:val="en-US" w:eastAsia="zh-CN"/>
              </w:rPr>
              <w:t>调查项目500m范围内外环境情况，具体如下：</w:t>
            </w:r>
            <w:r>
              <w:rPr>
                <w:rFonts w:hint="default" w:ascii="Times New Roman" w:hAnsi="Times New Roman" w:cs="Times New Roman"/>
                <w:b w:val="0"/>
                <w:bCs w:val="0"/>
                <w:sz w:val="24"/>
                <w:szCs w:val="32"/>
              </w:rPr>
              <w:t>建设项目北侧为空地；东北侧约447m处为南方凯悦集团有限公司；东侧为</w:t>
            </w:r>
            <w:r>
              <w:rPr>
                <w:rFonts w:hint="default" w:ascii="Times New Roman" w:hAnsi="Times New Roman" w:cs="Times New Roman"/>
                <w:b w:val="0"/>
                <w:bCs w:val="0"/>
                <w:sz w:val="24"/>
                <w:szCs w:val="32"/>
                <w:lang w:val="en-US" w:eastAsia="zh-CN"/>
              </w:rPr>
              <w:t>公司生产厂区</w:t>
            </w:r>
            <w:r>
              <w:rPr>
                <w:rFonts w:hint="default" w:ascii="Times New Roman" w:hAnsi="Times New Roman" w:cs="Times New Roman"/>
                <w:b w:val="0"/>
                <w:bCs w:val="0"/>
                <w:sz w:val="24"/>
                <w:szCs w:val="32"/>
              </w:rPr>
              <w:t>；东南侧约70m为四川屹光新材料制造有限公司，约377m为四川苏博特新材料有限公司；南侧为空地，西南侧约314m为四川永津环保技术有限公司，约533m为在建项目，约522m为四川安旭涂料科技有限公司；西侧约110m为四川中腾能源科技有限公司。</w:t>
            </w:r>
            <w:r>
              <w:rPr>
                <w:rFonts w:hint="default" w:ascii="Times New Roman" w:hAnsi="Times New Roman" w:cs="Times New Roman"/>
                <w:color w:val="000000" w:themeColor="text1"/>
                <w:sz w:val="24"/>
                <w:szCs w:val="32"/>
                <w14:textFill>
                  <w14:solidFill>
                    <w14:schemeClr w14:val="tx1"/>
                  </w14:solidFill>
                </w14:textFill>
              </w:rPr>
              <w:t>外环境简单，详细外环境关系图见附图2。</w:t>
            </w:r>
          </w:p>
          <w:p>
            <w:pPr>
              <w:widowControl/>
              <w:spacing w:line="276" w:lineRule="auto"/>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表1-</w:t>
            </w:r>
            <w:r>
              <w:rPr>
                <w:rFonts w:hint="eastAsia" w:cs="Times New Roman"/>
                <w:b/>
                <w:bCs/>
                <w:color w:val="000000" w:themeColor="text1"/>
                <w:lang w:val="en-US" w:eastAsia="zh-CN"/>
                <w14:textFill>
                  <w14:solidFill>
                    <w14:schemeClr w14:val="tx1"/>
                  </w14:solidFill>
                </w14:textFill>
              </w:rPr>
              <w:t>11</w:t>
            </w:r>
            <w:r>
              <w:rPr>
                <w:rFonts w:hint="default" w:ascii="Times New Roman" w:hAnsi="Times New Roman" w:cs="Times New Roman"/>
                <w:b/>
                <w:bCs/>
                <w:color w:val="000000" w:themeColor="text1"/>
                <w14:textFill>
                  <w14:solidFill>
                    <w14:schemeClr w14:val="tx1"/>
                  </w14:solidFill>
                </w14:textFill>
              </w:rPr>
              <w:t xml:space="preserve"> 周边外环境关系一览表</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3118"/>
              <w:gridCol w:w="764"/>
              <w:gridCol w:w="1020"/>
              <w:gridCol w:w="1107"/>
              <w:gridCol w:w="9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8" w:type="pct"/>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2054" w:type="pct"/>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eastAsia="zh-CN" w:bidi="ar"/>
                      <w14:textFill>
                        <w14:solidFill>
                          <w14:schemeClr w14:val="tx1"/>
                        </w14:solidFill>
                      </w14:textFill>
                    </w:rPr>
                    <w:t>四川鸿鹏新材料有限公司</w:t>
                  </w:r>
                  <w:r>
                    <w:rPr>
                      <w:rFonts w:hint="default" w:ascii="Times New Roman" w:hAnsi="Times New Roman" w:cs="Times New Roman"/>
                      <w:b/>
                      <w:bCs/>
                      <w:color w:val="000000" w:themeColor="text1"/>
                      <w:szCs w:val="21"/>
                      <w14:textFill>
                        <w14:solidFill>
                          <w14:schemeClr w14:val="tx1"/>
                        </w14:solidFill>
                      </w14:textFill>
                    </w:rPr>
                    <w:t>外环境关系情况</w:t>
                  </w:r>
                </w:p>
              </w:tc>
              <w:tc>
                <w:tcPr>
                  <w:tcW w:w="503" w:type="pct"/>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方位</w:t>
                  </w:r>
                </w:p>
              </w:tc>
              <w:tc>
                <w:tcPr>
                  <w:tcW w:w="672" w:type="pct"/>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与本项目距离（米）</w:t>
                  </w:r>
                </w:p>
              </w:tc>
              <w:tc>
                <w:tcPr>
                  <w:tcW w:w="729" w:type="pct"/>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行业</w:t>
                  </w:r>
                </w:p>
              </w:tc>
              <w:tc>
                <w:tcPr>
                  <w:tcW w:w="652" w:type="pct"/>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是否制约本项目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88"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205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南方凯悦集团有限公司</w:t>
                  </w:r>
                </w:p>
              </w:tc>
              <w:tc>
                <w:tcPr>
                  <w:tcW w:w="50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东</w:t>
                  </w:r>
                  <w:r>
                    <w:rPr>
                      <w:rFonts w:hint="default" w:ascii="Times New Roman" w:hAnsi="Times New Roman" w:cs="Times New Roman"/>
                      <w:color w:val="000000" w:themeColor="text1"/>
                      <w:szCs w:val="21"/>
                      <w14:textFill>
                        <w14:solidFill>
                          <w14:schemeClr w14:val="tx1"/>
                        </w14:solidFill>
                      </w14:textFill>
                    </w:rPr>
                    <w:t>北</w:t>
                  </w:r>
                </w:p>
              </w:tc>
              <w:tc>
                <w:tcPr>
                  <w:tcW w:w="672"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447</w:t>
                  </w:r>
                </w:p>
              </w:tc>
              <w:tc>
                <w:tcPr>
                  <w:tcW w:w="72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5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8"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2054"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生产厂区</w:t>
                  </w:r>
                </w:p>
              </w:tc>
              <w:tc>
                <w:tcPr>
                  <w:tcW w:w="50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东</w:t>
                  </w:r>
                </w:p>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672" w:type="pct"/>
                  <w:vAlign w:val="center"/>
                </w:tcPr>
                <w:p>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紧邻</w:t>
                  </w:r>
                </w:p>
              </w:tc>
              <w:tc>
                <w:tcPr>
                  <w:tcW w:w="72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5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88"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205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四川屹光新材料制造有限公司</w:t>
                  </w:r>
                </w:p>
              </w:tc>
              <w:tc>
                <w:tcPr>
                  <w:tcW w:w="503"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东南</w:t>
                  </w:r>
                </w:p>
              </w:tc>
              <w:tc>
                <w:tcPr>
                  <w:tcW w:w="672" w:type="pct"/>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72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5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88"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205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四川苏博特新材料有限公司</w:t>
                  </w:r>
                </w:p>
              </w:tc>
              <w:tc>
                <w:tcPr>
                  <w:tcW w:w="503"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东南</w:t>
                  </w:r>
                </w:p>
              </w:tc>
              <w:tc>
                <w:tcPr>
                  <w:tcW w:w="672"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377</w:t>
                  </w:r>
                </w:p>
              </w:tc>
              <w:tc>
                <w:tcPr>
                  <w:tcW w:w="72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5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88"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205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待建空地</w:t>
                  </w:r>
                </w:p>
              </w:tc>
              <w:tc>
                <w:tcPr>
                  <w:tcW w:w="50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南</w:t>
                  </w:r>
                </w:p>
              </w:tc>
              <w:tc>
                <w:tcPr>
                  <w:tcW w:w="672"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紧邻</w:t>
                  </w:r>
                </w:p>
              </w:tc>
              <w:tc>
                <w:tcPr>
                  <w:tcW w:w="72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5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88"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205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四川永津环保技术有限公司</w:t>
                  </w:r>
                </w:p>
              </w:tc>
              <w:tc>
                <w:tcPr>
                  <w:tcW w:w="50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西</w:t>
                  </w:r>
                  <w:r>
                    <w:rPr>
                      <w:rFonts w:hint="default" w:ascii="Times New Roman" w:hAnsi="Times New Roman" w:cs="Times New Roman"/>
                      <w:color w:val="000000" w:themeColor="text1"/>
                      <w:szCs w:val="21"/>
                      <w14:textFill>
                        <w14:solidFill>
                          <w14:schemeClr w14:val="tx1"/>
                        </w14:solidFill>
                      </w14:textFill>
                    </w:rPr>
                    <w:t>南</w:t>
                  </w:r>
                </w:p>
              </w:tc>
              <w:tc>
                <w:tcPr>
                  <w:tcW w:w="672"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314</w:t>
                  </w:r>
                </w:p>
              </w:tc>
              <w:tc>
                <w:tcPr>
                  <w:tcW w:w="72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5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88"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2054"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在建项目</w:t>
                  </w:r>
                </w:p>
              </w:tc>
              <w:tc>
                <w:tcPr>
                  <w:tcW w:w="50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西</w:t>
                  </w:r>
                  <w:r>
                    <w:rPr>
                      <w:rFonts w:hint="default" w:ascii="Times New Roman" w:hAnsi="Times New Roman" w:cs="Times New Roman"/>
                      <w:color w:val="000000" w:themeColor="text1"/>
                      <w:szCs w:val="21"/>
                      <w14:textFill>
                        <w14:solidFill>
                          <w14:schemeClr w14:val="tx1"/>
                        </w14:solidFill>
                      </w14:textFill>
                    </w:rPr>
                    <w:t>南</w:t>
                  </w:r>
                </w:p>
              </w:tc>
              <w:tc>
                <w:tcPr>
                  <w:tcW w:w="67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533</w:t>
                  </w:r>
                </w:p>
              </w:tc>
              <w:tc>
                <w:tcPr>
                  <w:tcW w:w="729"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5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8"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2054"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四川中腾能源科技有限公司</w:t>
                  </w:r>
                </w:p>
              </w:tc>
              <w:tc>
                <w:tcPr>
                  <w:tcW w:w="503"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西</w:t>
                  </w:r>
                </w:p>
              </w:tc>
              <w:tc>
                <w:tcPr>
                  <w:tcW w:w="672"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110</w:t>
                  </w:r>
                </w:p>
              </w:tc>
              <w:tc>
                <w:tcPr>
                  <w:tcW w:w="729"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652" w:type="pct"/>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否</w:t>
                  </w:r>
                </w:p>
              </w:tc>
            </w:tr>
          </w:tbl>
          <w:p>
            <w:pPr>
              <w:adjustRightInd w:val="0"/>
              <w:snapToGrid w:val="0"/>
              <w:spacing w:before="120" w:beforeLines="50" w:line="360" w:lineRule="auto"/>
              <w:ind w:firstLine="482" w:firstLineChars="200"/>
              <w:jc w:val="left"/>
              <w:rPr>
                <w:rFonts w:hint="default" w:ascii="Times New Roman" w:hAnsi="Times New Roman" w:cs="Times New Roman"/>
                <w:b/>
                <w:bCs/>
                <w:sz w:val="24"/>
                <w:szCs w:val="32"/>
              </w:rPr>
            </w:pPr>
            <w:r>
              <w:rPr>
                <w:rFonts w:hint="default" w:ascii="Times New Roman" w:hAnsi="Times New Roman" w:cs="Times New Roman"/>
                <w:b/>
                <w:bCs/>
                <w:sz w:val="24"/>
                <w:szCs w:val="32"/>
              </w:rPr>
              <w:t>（2）四川鸿鹏新材料有限公司厂房内调查：</w:t>
            </w:r>
          </w:p>
          <w:p>
            <w:pPr>
              <w:adjustRightInd w:val="0"/>
              <w:snapToGrid w:val="0"/>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sz w:val="24"/>
              </w:rPr>
              <w:t>项目目前大部分为空</w:t>
            </w:r>
            <w:r>
              <w:rPr>
                <w:rFonts w:hint="default" w:ascii="Times New Roman" w:hAnsi="Times New Roman" w:cs="Times New Roman"/>
                <w:sz w:val="24"/>
                <w:lang w:val="en-US" w:eastAsia="zh-CN"/>
              </w:rPr>
              <w:t>地，</w:t>
            </w:r>
            <w:r>
              <w:rPr>
                <w:rFonts w:hint="default" w:ascii="Times New Roman" w:hAnsi="Times New Roman" w:cs="Times New Roman"/>
                <w:sz w:val="24"/>
                <w:szCs w:val="32"/>
              </w:rPr>
              <w:t>本项目周边环境现状图如下图所示：</w:t>
            </w:r>
          </w:p>
          <w:tbl>
            <w:tblPr>
              <w:tblStyle w:val="26"/>
              <w:tblW w:w="5000" w:type="pct"/>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7"/>
              <w:gridCol w:w="3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2" w:type="dxa"/>
                  <w:vAlign w:val="center"/>
                </w:tcPr>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jc w:val="center"/>
                    <w:textAlignment w:val="auto"/>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2593975" cy="1800225"/>
                        <wp:effectExtent l="0" t="0" r="12065" b="13335"/>
                        <wp:docPr id="1" name="图片 1" descr="96c398a57dcd38a26543394fe8a5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6c398a57dcd38a26543394fe8a547f"/>
                                <pic:cNvPicPr>
                                  <a:picLocks noChangeAspect="1"/>
                                </pic:cNvPicPr>
                              </pic:nvPicPr>
                              <pic:blipFill>
                                <a:blip r:embed="rId11"/>
                                <a:stretch>
                                  <a:fillRect/>
                                </a:stretch>
                              </pic:blipFill>
                              <pic:spPr>
                                <a:xfrm>
                                  <a:off x="0" y="0"/>
                                  <a:ext cx="2593975" cy="1800225"/>
                                </a:xfrm>
                                <a:prstGeom prst="rect">
                                  <a:avLst/>
                                </a:prstGeom>
                              </pic:spPr>
                            </pic:pic>
                          </a:graphicData>
                        </a:graphic>
                      </wp:inline>
                    </w:drawing>
                  </w:r>
                </w:p>
              </w:tc>
              <w:tc>
                <w:tcPr>
                  <w:tcW w:w="3247" w:type="dxa"/>
                  <w:vAlign w:val="center"/>
                </w:tcPr>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jc w:val="center"/>
                    <w:textAlignment w:val="auto"/>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drawing>
                      <wp:inline distT="0" distB="0" distL="114300" distR="114300">
                        <wp:extent cx="1917065" cy="1800225"/>
                        <wp:effectExtent l="0" t="0" r="3175" b="13335"/>
                        <wp:docPr id="6" name="图片 6" descr="3834b420b43bfbf9cccb6001bd0d6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834b420b43bfbf9cccb6001bd0d6a3"/>
                                <pic:cNvPicPr>
                                  <a:picLocks noChangeAspect="1"/>
                                </pic:cNvPicPr>
                              </pic:nvPicPr>
                              <pic:blipFill>
                                <a:blip r:embed="rId12"/>
                                <a:stretch>
                                  <a:fillRect/>
                                </a:stretch>
                              </pic:blipFill>
                              <pic:spPr>
                                <a:xfrm>
                                  <a:off x="0" y="0"/>
                                  <a:ext cx="1917065" cy="1800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2" w:type="dxa"/>
                  <w:vAlign w:val="center"/>
                </w:tcPr>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jc w:val="center"/>
                    <w:textAlignment w:val="auto"/>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14:textFill>
                        <w14:solidFill>
                          <w14:schemeClr w14:val="tx1"/>
                        </w14:solidFill>
                      </w14:textFill>
                    </w:rPr>
                    <w:t>项目所在地</w:t>
                  </w:r>
                </w:p>
              </w:tc>
              <w:tc>
                <w:tcPr>
                  <w:tcW w:w="3247" w:type="dxa"/>
                  <w:vAlign w:val="center"/>
                </w:tcPr>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14:textFill>
                        <w14:solidFill>
                          <w14:schemeClr w14:val="tx1"/>
                        </w14:solidFill>
                      </w14:textFill>
                    </w:rPr>
                    <w:t>项目东侧</w:t>
                  </w:r>
                </w:p>
              </w:tc>
            </w:tr>
          </w:tbl>
          <w:p>
            <w:pPr>
              <w:adjustRightInd w:val="0"/>
              <w:snapToGrid w:val="0"/>
              <w:spacing w:before="120" w:beforeLines="50"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（3）项目与周边环境相容性分析</w:t>
            </w:r>
          </w:p>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项目对周边环境影响：</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本项目周边以工业企业、待建空地为主，本项目周边企业主要以工业企业为主，周边不涉及自然保护区、风景名胜区、基本农田保护区、重点文物古迹、饮用水水源保护区，无古树名木分布，本项目500m范围内无环境敏感点。本项目所在厂房入驻企业均为工业企业，本项目的建设也不会制约周边企业的发展。故项目在此建设，同周边环境相容，其选址合理。</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项目污染物排放：本项目产生的废气</w:t>
            </w:r>
            <w:r>
              <w:rPr>
                <w:rFonts w:hint="default" w:ascii="Times New Roman" w:hAnsi="Times New Roman" w:cs="Times New Roman"/>
                <w:bCs/>
                <w:color w:val="auto"/>
                <w:sz w:val="24"/>
                <w:lang w:val="en-US" w:eastAsia="zh-CN"/>
              </w:rPr>
              <w:t>通过SCR脱硝+消石灰干法脱硫+旋风布袋除尘器处理后由</w:t>
            </w:r>
            <w:r>
              <w:rPr>
                <w:rFonts w:hint="eastAsia" w:cs="Times New Roman"/>
                <w:bCs/>
                <w:color w:val="auto"/>
                <w:sz w:val="24"/>
                <w:lang w:val="en-US" w:eastAsia="zh-CN"/>
              </w:rPr>
              <w:t>1根40m高</w:t>
            </w:r>
            <w:r>
              <w:rPr>
                <w:rFonts w:hint="default" w:ascii="Times New Roman" w:hAnsi="Times New Roman" w:cs="Times New Roman"/>
                <w:bCs/>
                <w:color w:val="auto"/>
                <w:sz w:val="24"/>
                <w:lang w:val="en-US" w:eastAsia="zh-CN"/>
              </w:rPr>
              <w:t>排气筒排放</w:t>
            </w:r>
            <w:r>
              <w:rPr>
                <w:rFonts w:hint="default" w:ascii="Times New Roman" w:hAnsi="Times New Roman" w:cs="Times New Roman"/>
                <w:bCs/>
                <w:color w:val="auto"/>
                <w:sz w:val="24"/>
              </w:rPr>
              <w:t>，不会影响和污染周围的大气环境；生活废水</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锅炉废水</w:t>
            </w:r>
            <w:r>
              <w:rPr>
                <w:rFonts w:hint="default" w:ascii="Times New Roman" w:hAnsi="Times New Roman" w:cs="Times New Roman"/>
                <w:bCs/>
                <w:color w:val="auto"/>
                <w:sz w:val="24"/>
              </w:rPr>
              <w:t>经</w:t>
            </w:r>
            <w:r>
              <w:rPr>
                <w:rFonts w:hint="default" w:ascii="Times New Roman" w:hAnsi="Times New Roman" w:cs="Times New Roman"/>
                <w:bCs/>
                <w:color w:val="auto"/>
                <w:sz w:val="24"/>
                <w:lang w:eastAsia="zh-CN"/>
              </w:rPr>
              <w:t>四川鸿鹏新材料有限公司</w:t>
            </w:r>
            <w:r>
              <w:rPr>
                <w:rFonts w:hint="default" w:ascii="Times New Roman" w:hAnsi="Times New Roman" w:cs="Times New Roman"/>
                <w:bCs/>
                <w:color w:val="auto"/>
                <w:sz w:val="24"/>
              </w:rPr>
              <w:t>预处理池处理后进入园区污水管网；噪声通过隔声等措施降噪；固体废物分类收集处置，在生产过程中产生的“三废”及噪声均能得到有效的治理达标排放，本项目对周边环境影响较小。</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项目在满足各项污染物达标排放的前提下，不会对周边企业正常生产营运及产品质量造成不良影响，不对周边企业生产造成制约。</w:t>
            </w:r>
          </w:p>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周边环境对项目建设影响：</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本次环评根据临近企业类型分别分析其对本项目的影响，本项目周边企业主要为工业企业。</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根据调查，废水经处理后进入园区污水管网；噪声通过隔声等措施降噪；固体废物。分类收集处置，周边企业在生产过程中产生的“三废”及噪声均能得到有效的治理达标排放，对本项目影响较小。</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周边企业正常生产不对本项目建设、生产造成影响。</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因此，项目的建设与周边环境相容，外环境无重大制约因素，项目选址合理。</w:t>
            </w:r>
          </w:p>
          <w:p>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lang w:val="en-US" w:eastAsia="zh-CN"/>
              </w:rPr>
              <w:t>8</w:t>
            </w:r>
            <w:r>
              <w:rPr>
                <w:rFonts w:hint="default" w:ascii="Times New Roman" w:hAnsi="Times New Roman" w:cs="Times New Roman"/>
                <w:b/>
                <w:bCs/>
                <w:sz w:val="24"/>
              </w:rPr>
              <w:t>、总平面布置合理性分析</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本项目根据“分区合理、工艺流畅、物流</w:t>
            </w:r>
            <w:r>
              <w:rPr>
                <w:rFonts w:hint="eastAsia" w:cs="Times New Roman"/>
                <w:bCs/>
                <w:sz w:val="24"/>
                <w:lang w:eastAsia="zh-CN"/>
              </w:rPr>
              <w:t>便</w:t>
            </w:r>
            <w:r>
              <w:rPr>
                <w:rFonts w:hint="default" w:ascii="Times New Roman" w:hAnsi="Times New Roman" w:cs="Times New Roman"/>
                <w:bCs/>
                <w:sz w:val="24"/>
              </w:rPr>
              <w:t>捷、突出环保”的原则，结合租赁场地的用地条件及生产工艺，综合考虑环保、消防、劳动卫生等要求，对厂区进行了统筹安排，总平面布置见附图。</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本项目厂区设置两个出入口，同时设有消防通道和装置区内的安全通道，以便于消防和人员紧急疏散；各建筑物和设备间距也将严格执行国家现行的防火、防爆、安全、卫生等有关规范规定进行布置。</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在厂区平面布局上，做到了生产区、办公区等区域分隔，在生产设备布置上，总体上按不同生产类型分区布置，减小物料运输距离，工艺流程顺畅。</w:t>
            </w:r>
          </w:p>
          <w:p>
            <w:pPr>
              <w:adjustRightInd w:val="0"/>
              <w:snapToGrid w:val="0"/>
              <w:spacing w:line="360" w:lineRule="auto"/>
              <w:ind w:firstLine="480" w:firstLineChars="200"/>
              <w:rPr>
                <w:rFonts w:hint="default" w:ascii="Times New Roman" w:hAnsi="Times New Roman" w:cs="Times New Roman"/>
                <w:b/>
                <w:bCs/>
                <w:sz w:val="24"/>
                <w:szCs w:val="24"/>
              </w:rPr>
            </w:pPr>
            <w:r>
              <w:rPr>
                <w:rFonts w:hint="default" w:ascii="Times New Roman" w:hAnsi="Times New Roman" w:cs="Times New Roman"/>
                <w:bCs/>
                <w:sz w:val="24"/>
              </w:rPr>
              <w:t>总体而言，项目总平面布置功能分区清晰，污染物能进行有效隔离，工艺流程较顺畅，物流</w:t>
            </w:r>
            <w:r>
              <w:rPr>
                <w:rFonts w:hint="eastAsia" w:cs="Times New Roman"/>
                <w:bCs/>
                <w:sz w:val="24"/>
                <w:lang w:eastAsia="zh-CN"/>
              </w:rPr>
              <w:t>便</w:t>
            </w:r>
            <w:r>
              <w:rPr>
                <w:rFonts w:hint="default" w:ascii="Times New Roman" w:hAnsi="Times New Roman" w:cs="Times New Roman"/>
                <w:bCs/>
                <w:sz w:val="24"/>
              </w:rPr>
              <w:t>捷。</w:t>
            </w:r>
            <w:r>
              <w:rPr>
                <w:rFonts w:hint="default" w:ascii="Times New Roman" w:hAnsi="Times New Roman" w:cs="Times New Roman"/>
                <w:b/>
                <w:sz w:val="24"/>
              </w:rPr>
              <w:t>项目布置从环境保护角度分析是合理的，总平面布置合理。</w:t>
            </w:r>
          </w:p>
        </w:tc>
      </w:tr>
    </w:tbl>
    <w:p>
      <w:pPr>
        <w:spacing w:line="360" w:lineRule="auto"/>
        <w:outlineLvl w:val="0"/>
        <w:rPr>
          <w:rFonts w:hint="default" w:ascii="Times New Roman" w:hAnsi="Times New Roman" w:eastAsia="黑体" w:cs="Times New Roman"/>
          <w:sz w:val="30"/>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1"/>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二、建设项目工程分析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455" w:type="dxa"/>
            <w:vAlign w:val="center"/>
          </w:tcPr>
          <w:p>
            <w:pPr>
              <w:pStyle w:val="21"/>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Cs w:val="24"/>
              </w:rPr>
              <w:t>建设内容</w:t>
            </w:r>
          </w:p>
        </w:tc>
        <w:tc>
          <w:tcPr>
            <w:tcW w:w="8605" w:type="dxa"/>
          </w:tcPr>
          <w:p>
            <w:pPr>
              <w:pStyle w:val="7"/>
              <w:widowControl/>
              <w:spacing w:line="360" w:lineRule="auto"/>
              <w:ind w:firstLine="482" w:firstLineChars="200"/>
              <w:jc w:val="left"/>
              <w:rPr>
                <w:rFonts w:hint="default" w:ascii="Times New Roman" w:hAnsi="Times New Roman" w:cs="Times New Roman"/>
                <w:b/>
                <w:bCs/>
                <w:sz w:val="24"/>
                <w:szCs w:val="22"/>
              </w:rPr>
            </w:pPr>
            <w:r>
              <w:rPr>
                <w:rFonts w:hint="default" w:ascii="Times New Roman" w:hAnsi="Times New Roman" w:cs="Times New Roman"/>
                <w:b/>
                <w:bCs/>
                <w:sz w:val="24"/>
                <w:szCs w:val="22"/>
              </w:rPr>
              <w:t>1、项目概况</w:t>
            </w:r>
          </w:p>
          <w:p>
            <w:pPr>
              <w:pStyle w:val="2"/>
              <w:ind w:firstLine="480" w:firstLineChars="200"/>
              <w:rPr>
                <w:rFonts w:hint="default" w:ascii="Times New Roman" w:hAnsi="Times New Roman" w:cs="Times New Roman"/>
                <w:sz w:val="24"/>
              </w:rPr>
            </w:pPr>
            <w:r>
              <w:rPr>
                <w:rFonts w:hint="default" w:ascii="Times New Roman" w:hAnsi="Times New Roman" w:cs="Times New Roman"/>
                <w:sz w:val="24"/>
              </w:rPr>
              <w:t>①项目背景</w:t>
            </w:r>
          </w:p>
          <w:p>
            <w:pPr>
              <w:spacing w:line="360" w:lineRule="auto"/>
              <w:ind w:firstLine="480" w:firstLineChars="200"/>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rPr>
              <w:t>四川鸿鹏新材料有限公司（原名“四川鸿鹏化工有限公司”，以下简称“鸿鹏公司”）成立于2015年11月，注册资金叁仟陆佰万元，是一家以中石油四川石化生产的环氧乙烷为原料进行深加工的综合性化工企业，主要从事高分子材料的生产、销售，批发，仓储环氧乙烷，建材及化工用品销售。</w:t>
            </w:r>
            <w:r>
              <w:rPr>
                <w:rFonts w:hint="eastAsia" w:cs="Times New Roman"/>
                <w:kern w:val="0"/>
                <w:sz w:val="24"/>
                <w:lang w:val="en-US" w:eastAsia="zh-CN"/>
              </w:rPr>
              <w:t>为节能减排。</w:t>
            </w:r>
            <w:r>
              <w:rPr>
                <w:rFonts w:hint="default" w:ascii="Times New Roman" w:hAnsi="Times New Roman" w:cs="Times New Roman"/>
                <w:kern w:val="0"/>
                <w:sz w:val="24"/>
              </w:rPr>
              <w:t>四川鸿鹏新材料有限公司拟投资1000万元，新建“</w:t>
            </w:r>
            <w:r>
              <w:rPr>
                <w:rFonts w:hint="eastAsia" w:cs="Times New Roman"/>
                <w:kern w:val="0"/>
                <w:sz w:val="24"/>
                <w:lang w:eastAsia="zh-CN"/>
              </w:rPr>
              <w:t>四川鸿鹏新材料有限公司生物质气化炉集中供热项目</w:t>
            </w:r>
            <w:r>
              <w:rPr>
                <w:rFonts w:hint="default" w:ascii="Times New Roman" w:hAnsi="Times New Roman" w:cs="Times New Roman"/>
                <w:kern w:val="0"/>
                <w:sz w:val="24"/>
              </w:rPr>
              <w:t>”（以下简称“建设项目”），</w:t>
            </w:r>
            <w:r>
              <w:rPr>
                <w:rFonts w:hint="default" w:ascii="Times New Roman" w:hAnsi="Times New Roman" w:cs="Times New Roman"/>
                <w:kern w:val="0"/>
                <w:sz w:val="24"/>
                <w:lang w:val="en-US" w:eastAsia="zh-CN"/>
              </w:rPr>
              <w:t>利用厂区内现有空地，</w:t>
            </w:r>
            <w:r>
              <w:rPr>
                <w:rFonts w:hint="default" w:ascii="Times New Roman" w:hAnsi="Times New Roman" w:cs="Times New Roman"/>
                <w:kern w:val="0"/>
                <w:sz w:val="24"/>
              </w:rPr>
              <w:t>建设项目占地面积约7000</w:t>
            </w:r>
            <w:r>
              <w:rPr>
                <w:rFonts w:hint="default" w:ascii="Times New Roman" w:hAnsi="Times New Roman" w:cs="Times New Roman"/>
                <w:kern w:val="0"/>
                <w:sz w:val="24"/>
                <w:lang w:val="en-US" w:eastAsia="zh-CN"/>
              </w:rPr>
              <w:t>m</w:t>
            </w:r>
            <w:r>
              <w:rPr>
                <w:rFonts w:hint="default" w:ascii="Times New Roman" w:hAnsi="Times New Roman" w:cs="Times New Roman"/>
                <w:kern w:val="0"/>
                <w:sz w:val="24"/>
                <w:vertAlign w:val="superscript"/>
                <w:lang w:val="en-US" w:eastAsia="zh-CN"/>
              </w:rPr>
              <w:t>2</w:t>
            </w:r>
            <w:r>
              <w:rPr>
                <w:rFonts w:hint="default" w:ascii="Times New Roman" w:hAnsi="Times New Roman" w:cs="Times New Roman"/>
                <w:kern w:val="0"/>
                <w:sz w:val="24"/>
              </w:rPr>
              <w:t>，建筑面积约2500</w:t>
            </w:r>
            <w:r>
              <w:rPr>
                <w:rFonts w:hint="default" w:ascii="Times New Roman" w:hAnsi="Times New Roman" w:cs="Times New Roman"/>
                <w:kern w:val="0"/>
                <w:sz w:val="24"/>
                <w:lang w:val="en-US" w:eastAsia="zh-CN"/>
              </w:rPr>
              <w:t>m</w:t>
            </w:r>
            <w:r>
              <w:rPr>
                <w:rFonts w:hint="default" w:ascii="Times New Roman" w:hAnsi="Times New Roman" w:cs="Times New Roman"/>
                <w:kern w:val="0"/>
                <w:sz w:val="24"/>
                <w:vertAlign w:val="superscript"/>
                <w:lang w:val="en-US" w:eastAsia="zh-CN"/>
              </w:rPr>
              <w:t>2</w:t>
            </w:r>
            <w:r>
              <w:rPr>
                <w:rFonts w:hint="default" w:ascii="Times New Roman" w:hAnsi="Times New Roman" w:cs="Times New Roman"/>
                <w:kern w:val="0"/>
                <w:sz w:val="24"/>
              </w:rPr>
              <w:t>，建设12蒸吨/小时生物质锅炉一台，</w:t>
            </w:r>
            <w:r>
              <w:rPr>
                <w:rFonts w:hint="eastAsia" w:cs="Times New Roman"/>
                <w:kern w:val="0"/>
                <w:sz w:val="24"/>
                <w:lang w:val="en-US" w:eastAsia="zh-CN"/>
              </w:rPr>
              <w:t>配套</w:t>
            </w:r>
            <w:r>
              <w:rPr>
                <w:rFonts w:hint="default" w:ascii="Times New Roman" w:hAnsi="Times New Roman" w:cs="Times New Roman"/>
                <w:kern w:val="0"/>
                <w:sz w:val="24"/>
              </w:rPr>
              <w:t>气化炉1台，锅炉房1间、操作间1间及其配套建筑。</w:t>
            </w:r>
            <w:r>
              <w:rPr>
                <w:rFonts w:hint="eastAsia" w:cs="Times New Roman"/>
                <w:kern w:val="0"/>
                <w:sz w:val="24"/>
                <w:lang w:val="en-US" w:eastAsia="zh-CN"/>
              </w:rPr>
              <w:t>项目建成后，将为四川鸿鹏新材料有限公司和四川屹光新材料制造有限公司（项目东南侧约70m）集中供热。</w:t>
            </w:r>
          </w:p>
          <w:p>
            <w:pPr>
              <w:spacing w:line="360" w:lineRule="auto"/>
              <w:ind w:firstLine="480" w:firstLineChars="200"/>
              <w:rPr>
                <w:rFonts w:hint="default" w:ascii="Times New Roman" w:hAnsi="Times New Roman" w:eastAsia="宋体" w:cs="Times New Roman"/>
                <w:color w:val="auto"/>
                <w:kern w:val="0"/>
                <w:sz w:val="24"/>
                <w:u w:val="none"/>
                <w:lang w:val="en-US" w:eastAsia="zh-CN"/>
              </w:rPr>
            </w:pPr>
            <w:r>
              <w:rPr>
                <w:rFonts w:hint="eastAsia" w:cs="Times New Roman"/>
                <w:color w:val="auto"/>
                <w:kern w:val="0"/>
                <w:sz w:val="24"/>
                <w:u w:val="none"/>
                <w:lang w:val="en-US" w:eastAsia="zh-CN"/>
              </w:rPr>
              <w:t>②项目建设的必要性：</w:t>
            </w:r>
          </w:p>
          <w:p>
            <w:pPr>
              <w:spacing w:line="360" w:lineRule="auto"/>
              <w:ind w:firstLine="480" w:firstLineChars="200"/>
              <w:rPr>
                <w:rFonts w:hint="default" w:cs="Times New Roman"/>
                <w:color w:val="auto"/>
                <w:kern w:val="0"/>
                <w:sz w:val="24"/>
                <w:u w:val="none"/>
                <w:lang w:val="en-US" w:eastAsia="zh-CN"/>
              </w:rPr>
            </w:pPr>
            <w:r>
              <w:rPr>
                <w:rFonts w:hint="eastAsia" w:cs="Times New Roman"/>
                <w:color w:val="auto"/>
                <w:kern w:val="0"/>
                <w:sz w:val="24"/>
                <w:u w:val="none"/>
                <w:lang w:val="en-US" w:eastAsia="zh-CN"/>
              </w:rPr>
              <w:t>1、集中供热。集中供热与分散供热相比，由于用能合理，提高了热能的利用效率，从而节约了大量燃料；减少了国家一次能源的开采及运输费用，能缓解城市交通运输紧张状况；减少分散小锅炉房所占用的土地；减少分散小锅炉房的维修、更换设备的劳动力和资金，改善劳动条件；减轻对环境的污染；供热质量得到改善，为工业园的健康发展创造了条件。</w:t>
            </w:r>
          </w:p>
          <w:p>
            <w:pPr>
              <w:spacing w:line="360" w:lineRule="auto"/>
              <w:ind w:firstLine="480" w:firstLineChars="200"/>
              <w:rPr>
                <w:rFonts w:hint="default" w:ascii="Times New Roman" w:hAnsi="Times New Roman" w:eastAsia="宋体" w:cs="Times New Roman"/>
                <w:color w:val="auto"/>
                <w:kern w:val="0"/>
                <w:sz w:val="24"/>
                <w:u w:val="none"/>
                <w:lang w:val="en-US" w:eastAsia="zh-CN"/>
              </w:rPr>
            </w:pPr>
            <w:r>
              <w:rPr>
                <w:rFonts w:hint="eastAsia" w:cs="Times New Roman"/>
                <w:color w:val="auto"/>
                <w:kern w:val="0"/>
                <w:sz w:val="24"/>
                <w:u w:val="none"/>
                <w:lang w:val="en-US" w:eastAsia="zh-CN"/>
              </w:rPr>
              <w:t>2、能源替代。项目将对两个厂区集中供热。项目建成后，将替代四川鸿鹏新材料有限公司现有1台3t/h、1台6t/h的燃气锅炉和四川屹光新材料制造有限公司的1台10t/h的燃气锅炉。</w:t>
            </w:r>
            <w:r>
              <w:rPr>
                <w:rFonts w:hint="default" w:ascii="Times New Roman" w:hAnsi="Times New Roman" w:cs="Times New Roman"/>
                <w:color w:val="auto"/>
                <w:kern w:val="0"/>
                <w:sz w:val="24"/>
                <w:u w:val="none"/>
              </w:rPr>
              <w:t>四川鸿鹏新材料有限公司节能约</w:t>
            </w:r>
            <w:r>
              <w:rPr>
                <w:rFonts w:hint="eastAsia" w:cs="Times New Roman"/>
                <w:color w:val="auto"/>
                <w:kern w:val="0"/>
                <w:sz w:val="24"/>
                <w:u w:val="none"/>
                <w:lang w:val="en-US" w:eastAsia="zh-CN"/>
              </w:rPr>
              <w:t>240万立方天然气</w:t>
            </w:r>
            <w:r>
              <w:rPr>
                <w:rFonts w:hint="default" w:ascii="Times New Roman" w:hAnsi="Times New Roman" w:cs="Times New Roman"/>
                <w:color w:val="auto"/>
                <w:kern w:val="0"/>
                <w:sz w:val="24"/>
                <w:u w:val="none"/>
              </w:rPr>
              <w:t>；四川屹光新材料制造有限公司节能约</w:t>
            </w:r>
            <w:r>
              <w:rPr>
                <w:rFonts w:hint="eastAsia" w:cs="Times New Roman"/>
                <w:color w:val="auto"/>
                <w:kern w:val="0"/>
                <w:sz w:val="24"/>
                <w:u w:val="none"/>
                <w:lang w:val="en-US" w:eastAsia="zh-CN"/>
              </w:rPr>
              <w:t>267万立方天然气。</w:t>
            </w:r>
          </w:p>
          <w:p>
            <w:pPr>
              <w:spacing w:line="360" w:lineRule="auto"/>
              <w:ind w:firstLine="480" w:firstLineChars="200"/>
              <w:rPr>
                <w:rFonts w:hint="default" w:ascii="Times New Roman" w:hAnsi="Times New Roman" w:cs="Times New Roman"/>
                <w:color w:val="auto"/>
                <w:kern w:val="0"/>
                <w:sz w:val="24"/>
                <w:u w:val="none"/>
              </w:rPr>
            </w:pPr>
            <w:r>
              <w:rPr>
                <w:rFonts w:hint="eastAsia" w:cs="Times New Roman"/>
                <w:color w:val="auto"/>
                <w:kern w:val="0"/>
                <w:sz w:val="24"/>
                <w:u w:val="none"/>
                <w:lang w:val="en-US" w:eastAsia="zh-CN"/>
              </w:rPr>
              <w:t>3、成本减少。</w:t>
            </w:r>
            <w:r>
              <w:rPr>
                <w:rFonts w:hint="default" w:ascii="Times New Roman" w:hAnsi="Times New Roman" w:cs="Times New Roman"/>
                <w:color w:val="auto"/>
                <w:kern w:val="0"/>
                <w:sz w:val="24"/>
                <w:u w:val="none"/>
              </w:rPr>
              <w:t>项目实施后，四川鸿鹏新材料有限公司节能约2950吨标准煤/年，节约成本约486万元/年；四川屹光新材料制造有限公司节能约3280吨标准煤/年，节约成本约540万元/年。</w:t>
            </w:r>
          </w:p>
          <w:p>
            <w:pPr>
              <w:spacing w:line="360" w:lineRule="auto"/>
              <w:ind w:firstLine="480" w:firstLineChars="200"/>
              <w:rPr>
                <w:rFonts w:hint="eastAsia" w:cs="Times New Roman"/>
                <w:color w:val="auto"/>
                <w:sz w:val="24"/>
                <w:szCs w:val="24"/>
                <w:u w:val="none"/>
                <w:lang w:val="en-US" w:eastAsia="zh-CN"/>
              </w:rPr>
            </w:pPr>
            <w:r>
              <w:rPr>
                <w:rFonts w:hint="eastAsia" w:cs="Times New Roman"/>
                <w:color w:val="auto"/>
                <w:kern w:val="0"/>
                <w:sz w:val="24"/>
                <w:szCs w:val="24"/>
                <w:u w:val="none"/>
                <w:lang w:val="en-US" w:eastAsia="zh-CN"/>
              </w:rPr>
              <w:t>4、排污总量减少。本项目核算</w:t>
            </w:r>
            <w:r>
              <w:rPr>
                <w:rFonts w:hint="eastAsia" w:cs="Times New Roman"/>
                <w:color w:val="auto"/>
                <w:sz w:val="24"/>
                <w:szCs w:val="24"/>
                <w:u w:val="none"/>
                <w:lang w:val="en-US" w:eastAsia="zh-CN"/>
              </w:rPr>
              <w:t>氮氧化物总量为1.013</w:t>
            </w:r>
            <w:r>
              <w:rPr>
                <w:rFonts w:hint="default" w:ascii="Times New Roman" w:hAnsi="Times New Roman" w:cs="Times New Roman"/>
                <w:color w:val="auto"/>
                <w:sz w:val="24"/>
                <w:szCs w:val="24"/>
                <w:u w:val="none"/>
              </w:rPr>
              <w:t>t/a</w:t>
            </w:r>
            <w:r>
              <w:rPr>
                <w:rFonts w:hint="eastAsia" w:cs="Times New Roman"/>
                <w:color w:val="auto"/>
                <w:sz w:val="24"/>
                <w:szCs w:val="24"/>
                <w:u w:val="none"/>
                <w:lang w:eastAsia="zh-CN"/>
              </w:rPr>
              <w:t>。</w:t>
            </w:r>
            <w:r>
              <w:rPr>
                <w:rFonts w:hint="default" w:ascii="Times New Roman" w:hAnsi="Times New Roman" w:cs="Times New Roman"/>
                <w:color w:val="auto"/>
                <w:kern w:val="0"/>
                <w:sz w:val="24"/>
                <w:szCs w:val="24"/>
                <w:u w:val="none"/>
              </w:rPr>
              <w:t>四川鸿鹏新材料有限公司</w:t>
            </w:r>
            <w:r>
              <w:rPr>
                <w:rFonts w:hint="eastAsia" w:cs="Times New Roman"/>
                <w:color w:val="auto"/>
                <w:kern w:val="0"/>
                <w:sz w:val="24"/>
                <w:szCs w:val="24"/>
                <w:u w:val="none"/>
                <w:lang w:val="en-US" w:eastAsia="zh-CN"/>
              </w:rPr>
              <w:t>现有氮氧化物排放总量为0.978t/a</w:t>
            </w:r>
            <w:r>
              <w:rPr>
                <w:rFonts w:hint="default" w:ascii="Times New Roman" w:hAnsi="Times New Roman" w:cs="Times New Roman"/>
                <w:color w:val="auto"/>
                <w:kern w:val="0"/>
                <w:sz w:val="24"/>
                <w:szCs w:val="24"/>
                <w:u w:val="none"/>
              </w:rPr>
              <w:t>；四川屹光新材料制造有限公司</w:t>
            </w:r>
            <w:r>
              <w:rPr>
                <w:rFonts w:hint="eastAsia" w:cs="Times New Roman"/>
                <w:color w:val="auto"/>
                <w:kern w:val="0"/>
                <w:sz w:val="24"/>
                <w:szCs w:val="24"/>
                <w:u w:val="none"/>
                <w:lang w:val="en-US" w:eastAsia="zh-CN"/>
              </w:rPr>
              <w:t>现有氮氧化物排放总量为0.32t/a。</w:t>
            </w:r>
            <w:r>
              <w:rPr>
                <w:rFonts w:hint="default" w:ascii="Times New Roman" w:hAnsi="Times New Roman" w:cs="Times New Roman"/>
                <w:color w:val="auto"/>
                <w:kern w:val="0"/>
                <w:sz w:val="24"/>
                <w:u w:val="none"/>
              </w:rPr>
              <w:t>项目实施后，</w:t>
            </w:r>
            <w:r>
              <w:rPr>
                <w:rFonts w:hint="eastAsia" w:cs="Times New Roman"/>
                <w:color w:val="auto"/>
                <w:sz w:val="24"/>
                <w:szCs w:val="24"/>
                <w:u w:val="none"/>
                <w:lang w:val="en-US" w:eastAsia="zh-CN"/>
              </w:rPr>
              <w:t>氮氧化物总量排放将减少0.285t/a</w:t>
            </w:r>
          </w:p>
          <w:p>
            <w:pPr>
              <w:spacing w:line="360" w:lineRule="auto"/>
              <w:ind w:firstLine="480" w:firstLineChars="200"/>
              <w:rPr>
                <w:rFonts w:hint="default" w:ascii="Times New Roman" w:hAnsi="Times New Roman" w:eastAsia="宋体" w:cs="Times New Roman"/>
                <w:color w:val="auto"/>
                <w:kern w:val="0"/>
                <w:sz w:val="24"/>
                <w:szCs w:val="24"/>
                <w:u w:val="none"/>
                <w:lang w:val="en-US" w:eastAsia="zh-CN"/>
              </w:rPr>
            </w:pPr>
            <w:r>
              <w:rPr>
                <w:rFonts w:hint="eastAsia" w:cs="Times New Roman"/>
                <w:color w:val="auto"/>
                <w:sz w:val="24"/>
                <w:szCs w:val="24"/>
                <w:u w:val="none"/>
                <w:lang w:val="en-US" w:eastAsia="zh-CN"/>
              </w:rPr>
              <w:t>5、根据设计单位提供资料，四川鸿鹏新材料有限公司年使用蒸汽量约为37000t/a，</w:t>
            </w:r>
            <w:r>
              <w:rPr>
                <w:rFonts w:hint="default" w:ascii="Times New Roman" w:hAnsi="Times New Roman" w:cs="Times New Roman"/>
                <w:color w:val="auto"/>
                <w:kern w:val="0"/>
                <w:sz w:val="24"/>
                <w:u w:val="none"/>
              </w:rPr>
              <w:t>四川屹光新材料制造有限公司</w:t>
            </w:r>
            <w:r>
              <w:rPr>
                <w:rFonts w:hint="eastAsia" w:cs="Times New Roman"/>
                <w:color w:val="auto"/>
                <w:sz w:val="24"/>
                <w:szCs w:val="24"/>
                <w:u w:val="none"/>
                <w:lang w:val="en-US" w:eastAsia="zh-CN"/>
              </w:rPr>
              <w:t>年使用蒸汽量约为40000t/a，本项目建成后，年产蒸汽量为9.504万t/a</w:t>
            </w:r>
            <w:r>
              <w:rPr>
                <w:rFonts w:hint="default" w:ascii="Times New Roman" w:hAnsi="Times New Roman" w:cs="Times New Roman"/>
                <w:color w:val="auto"/>
                <w:kern w:val="0"/>
                <w:sz w:val="24"/>
                <w:szCs w:val="24"/>
                <w:u w:val="none"/>
              </w:rPr>
              <w:t>。</w:t>
            </w:r>
            <w:r>
              <w:rPr>
                <w:rFonts w:hint="eastAsia" w:cs="Times New Roman"/>
                <w:color w:val="auto"/>
                <w:kern w:val="0"/>
                <w:sz w:val="24"/>
                <w:szCs w:val="24"/>
                <w:u w:val="none"/>
                <w:lang w:val="en-US" w:eastAsia="zh-CN"/>
              </w:rPr>
              <w:t>完全能满足两公司的蒸汽使用要求。</w:t>
            </w:r>
          </w:p>
          <w:p>
            <w:pPr>
              <w:spacing w:line="360" w:lineRule="auto"/>
              <w:ind w:firstLine="480" w:firstLineChars="200"/>
              <w:rPr>
                <w:rFonts w:hint="default" w:ascii="Times New Roman" w:hAnsi="Times New Roman" w:cs="Times New Roman"/>
                <w:sz w:val="24"/>
              </w:rPr>
            </w:pPr>
            <w:r>
              <w:rPr>
                <w:rFonts w:hint="eastAsia" w:cs="Times New Roman"/>
                <w:sz w:val="24"/>
                <w:lang w:val="en-US" w:eastAsia="zh-CN"/>
              </w:rPr>
              <w:t>③</w:t>
            </w:r>
            <w:r>
              <w:rPr>
                <w:rFonts w:hint="default" w:ascii="Times New Roman" w:hAnsi="Times New Roman" w:cs="Times New Roman"/>
                <w:sz w:val="24"/>
              </w:rPr>
              <w:t>基本情况</w:t>
            </w:r>
          </w:p>
          <w:p>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cs="Times New Roman"/>
                <w:sz w:val="24"/>
              </w:rPr>
              <w:t>项目名称：</w:t>
            </w:r>
            <w:r>
              <w:rPr>
                <w:rFonts w:hint="eastAsia" w:cs="Times New Roman"/>
                <w:kern w:val="0"/>
                <w:sz w:val="24"/>
                <w:lang w:eastAsia="zh-CN"/>
              </w:rPr>
              <w:t>四川鸿鹏新材料有限公司生物质气化炉集中供热项目</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建设性质：</w:t>
            </w:r>
            <w:r>
              <w:rPr>
                <w:rFonts w:hint="eastAsia" w:cs="Times New Roman"/>
                <w:sz w:val="24"/>
                <w:lang w:val="en-US" w:eastAsia="zh-CN"/>
              </w:rPr>
              <w:t>新建</w:t>
            </w:r>
            <w:r>
              <w:rPr>
                <w:rFonts w:hint="default" w:ascii="Times New Roman" w:hAnsi="Times New Roman" w:cs="Times New Roman"/>
                <w:sz w:val="24"/>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建设单位：</w:t>
            </w:r>
            <w:r>
              <w:rPr>
                <w:rFonts w:hint="default" w:ascii="Times New Roman" w:hAnsi="Times New Roman" w:cs="Times New Roman"/>
                <w:sz w:val="24"/>
                <w:lang w:eastAsia="zh-CN"/>
              </w:rPr>
              <w:t>四川鸿鹏新材料有限公司</w:t>
            </w:r>
            <w:r>
              <w:rPr>
                <w:rFonts w:hint="default" w:ascii="Times New Roman" w:hAnsi="Times New Roman" w:cs="Times New Roman"/>
                <w:sz w:val="24"/>
              </w:rPr>
              <w:t>；</w:t>
            </w:r>
          </w:p>
          <w:p>
            <w:pPr>
              <w:spacing w:line="360" w:lineRule="auto"/>
              <w:ind w:firstLine="480" w:firstLineChars="200"/>
              <w:rPr>
                <w:rFonts w:hint="default" w:ascii="Times New Roman" w:hAnsi="Times New Roman" w:cs="Times New Roman"/>
                <w:color w:val="FF0000"/>
                <w:sz w:val="24"/>
              </w:rPr>
            </w:pPr>
            <w:r>
              <w:rPr>
                <w:rFonts w:hint="default" w:ascii="Times New Roman" w:hAnsi="Times New Roman" w:cs="Times New Roman"/>
                <w:sz w:val="24"/>
              </w:rPr>
              <w:t>建设地点：</w:t>
            </w:r>
            <w:r>
              <w:rPr>
                <w:rFonts w:hint="default" w:ascii="Times New Roman" w:hAnsi="Times New Roman" w:cs="Times New Roman"/>
                <w:sz w:val="24"/>
                <w:lang w:eastAsia="zh-CN"/>
              </w:rPr>
              <w:t>四川省遂宁市大英县隆盛镇席家沟村</w:t>
            </w:r>
            <w:r>
              <w:rPr>
                <w:rFonts w:hint="default" w:ascii="Times New Roman" w:hAnsi="Times New Roman" w:cs="Times New Roman"/>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项目投资：本项目总投资</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000万元，环保投资总投资为</w:t>
            </w:r>
            <w:r>
              <w:rPr>
                <w:rFonts w:hint="eastAsia" w:ascii="Times New Roman" w:hAnsi="Times New Roman" w:cs="Times New Roman"/>
                <w:color w:val="auto"/>
                <w:sz w:val="24"/>
                <w:lang w:val="en-US" w:eastAsia="zh-CN"/>
              </w:rPr>
              <w:t>109</w:t>
            </w:r>
            <w:r>
              <w:rPr>
                <w:rFonts w:hint="default" w:ascii="Times New Roman" w:hAnsi="Times New Roman" w:cs="Times New Roman"/>
                <w:color w:val="auto"/>
                <w:sz w:val="24"/>
              </w:rPr>
              <w:t>万元，环保投资占总投资比例为</w:t>
            </w:r>
            <w:r>
              <w:rPr>
                <w:rFonts w:hint="eastAsia" w:ascii="Times New Roman" w:hAnsi="Times New Roman" w:cs="Times New Roman"/>
                <w:color w:val="auto"/>
                <w:sz w:val="24"/>
                <w:lang w:val="en-US" w:eastAsia="zh-CN"/>
              </w:rPr>
              <w:t>10.9</w:t>
            </w:r>
            <w:r>
              <w:rPr>
                <w:rFonts w:hint="default" w:ascii="Times New Roman" w:hAnsi="Times New Roman" w:cs="Times New Roman"/>
                <w:color w:val="auto"/>
                <w:sz w:val="24"/>
              </w:rPr>
              <w:t>%。</w:t>
            </w:r>
          </w:p>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2、建设内容及生产规模</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fldChar w:fldCharType="begin"/>
            </w:r>
            <w:r>
              <w:rPr>
                <w:rFonts w:hint="default" w:ascii="Times New Roman" w:hAnsi="Times New Roman" w:cs="Times New Roman"/>
                <w:bCs/>
                <w:sz w:val="24"/>
              </w:rPr>
              <w:instrText xml:space="preserve"> = 1 \* GB3 </w:instrText>
            </w:r>
            <w:r>
              <w:rPr>
                <w:rFonts w:hint="default" w:ascii="Times New Roman" w:hAnsi="Times New Roman" w:cs="Times New Roman"/>
                <w:bCs/>
                <w:sz w:val="24"/>
              </w:rPr>
              <w:fldChar w:fldCharType="separate"/>
            </w:r>
            <w:r>
              <w:rPr>
                <w:rFonts w:hint="default" w:ascii="Times New Roman" w:hAnsi="Times New Roman" w:cs="Times New Roman"/>
                <w:bCs/>
                <w:sz w:val="24"/>
              </w:rPr>
              <w:t>①</w:t>
            </w:r>
            <w:r>
              <w:rPr>
                <w:rFonts w:hint="default" w:ascii="Times New Roman" w:hAnsi="Times New Roman" w:cs="Times New Roman"/>
                <w:bCs/>
                <w:sz w:val="24"/>
              </w:rPr>
              <w:fldChar w:fldCharType="end"/>
            </w:r>
            <w:r>
              <w:rPr>
                <w:rFonts w:hint="default" w:ascii="Times New Roman" w:hAnsi="Times New Roman" w:cs="Times New Roman"/>
                <w:bCs/>
                <w:sz w:val="24"/>
              </w:rPr>
              <w:t>建设内容</w:t>
            </w:r>
          </w:p>
          <w:p>
            <w:pPr>
              <w:pStyle w:val="4"/>
              <w:spacing w:before="0" w:after="0" w:line="360" w:lineRule="auto"/>
              <w:ind w:firstLine="480"/>
              <w:jc w:val="left"/>
              <w:rPr>
                <w:rFonts w:hint="default" w:ascii="Times New Roman" w:hAnsi="Times New Roman" w:eastAsia="宋体" w:cs="Times New Roman"/>
                <w:b w:val="0"/>
                <w:bCs w:val="0"/>
                <w:sz w:val="24"/>
                <w:szCs w:val="24"/>
              </w:rPr>
            </w:pPr>
            <w:bookmarkStart w:id="4" w:name="_Toc14654"/>
            <w:r>
              <w:rPr>
                <w:rFonts w:hint="default" w:ascii="Times New Roman" w:hAnsi="Times New Roman" w:eastAsia="宋体" w:cs="Times New Roman"/>
                <w:b w:val="0"/>
                <w:bCs w:val="0"/>
                <w:kern w:val="0"/>
                <w:sz w:val="24"/>
                <w:szCs w:val="24"/>
              </w:rPr>
              <w:t>项目占地面积约7000平方米，建筑面积约2500平方米，建设</w:t>
            </w:r>
            <w:r>
              <w:rPr>
                <w:rFonts w:hint="eastAsia" w:ascii="Times New Roman" w:hAnsi="Times New Roman" w:eastAsia="宋体" w:cs="Times New Roman"/>
                <w:b w:val="0"/>
                <w:bCs w:val="0"/>
                <w:kern w:val="0"/>
                <w:sz w:val="24"/>
                <w:szCs w:val="24"/>
                <w:lang w:val="en-US" w:eastAsia="zh-CN"/>
              </w:rPr>
              <w:t>12t/h</w:t>
            </w:r>
            <w:r>
              <w:rPr>
                <w:rFonts w:hint="default" w:ascii="Times New Roman" w:hAnsi="Times New Roman" w:eastAsia="宋体" w:cs="Times New Roman"/>
                <w:b w:val="0"/>
                <w:bCs w:val="0"/>
                <w:kern w:val="0"/>
                <w:sz w:val="24"/>
                <w:szCs w:val="24"/>
              </w:rPr>
              <w:t>生物质燃气锅炉</w:t>
            </w:r>
            <w:r>
              <w:rPr>
                <w:rFonts w:hint="eastAsia" w:ascii="Times New Roman" w:hAnsi="Times New Roman" w:eastAsia="宋体" w:cs="Times New Roman"/>
                <w:b w:val="0"/>
                <w:bCs w:val="0"/>
                <w:kern w:val="0"/>
                <w:sz w:val="24"/>
                <w:szCs w:val="24"/>
                <w:lang w:val="en-US" w:eastAsia="zh-CN"/>
              </w:rPr>
              <w:t>1</w:t>
            </w:r>
            <w:r>
              <w:rPr>
                <w:rFonts w:hint="default" w:ascii="Times New Roman" w:hAnsi="Times New Roman" w:eastAsia="宋体" w:cs="Times New Roman"/>
                <w:b w:val="0"/>
                <w:bCs w:val="0"/>
                <w:kern w:val="0"/>
                <w:sz w:val="24"/>
                <w:szCs w:val="24"/>
              </w:rPr>
              <w:t>台，</w:t>
            </w:r>
            <w:r>
              <w:rPr>
                <w:rFonts w:hint="eastAsia" w:ascii="Times New Roman" w:hAnsi="Times New Roman" w:eastAsia="宋体" w:cs="Times New Roman"/>
                <w:b w:val="0"/>
                <w:bCs w:val="0"/>
                <w:kern w:val="0"/>
                <w:sz w:val="24"/>
                <w:szCs w:val="24"/>
                <w:lang w:val="en-US" w:eastAsia="zh-CN"/>
              </w:rPr>
              <w:t>配套</w:t>
            </w:r>
            <w:r>
              <w:rPr>
                <w:rFonts w:hint="default" w:ascii="Times New Roman" w:hAnsi="Times New Roman" w:eastAsia="宋体" w:cs="Times New Roman"/>
                <w:b w:val="0"/>
                <w:bCs w:val="0"/>
                <w:kern w:val="0"/>
                <w:sz w:val="24"/>
                <w:szCs w:val="24"/>
              </w:rPr>
              <w:t>汽化炉1台，锅炉房1间、操作间1间及其他配套建筑</w:t>
            </w:r>
            <w:r>
              <w:rPr>
                <w:rFonts w:hint="default" w:ascii="Times New Roman" w:hAnsi="Times New Roman" w:eastAsia="宋体" w:cs="Times New Roman"/>
                <w:b w:val="0"/>
                <w:bCs w:val="0"/>
                <w:kern w:val="0"/>
                <w:sz w:val="24"/>
                <w:szCs w:val="24"/>
                <w:lang w:eastAsia="zh-CN"/>
              </w:rPr>
              <w:t>。</w:t>
            </w:r>
            <w:r>
              <w:rPr>
                <w:rFonts w:hint="default" w:ascii="Times New Roman" w:hAnsi="Times New Roman" w:eastAsia="宋体" w:cs="Times New Roman"/>
                <w:b w:val="0"/>
                <w:bCs w:val="0"/>
                <w:kern w:val="0"/>
                <w:sz w:val="24"/>
                <w:szCs w:val="24"/>
              </w:rPr>
              <w:t>主要通过热网系统向四川鸿鹏新材料有限公司</w:t>
            </w:r>
            <w:r>
              <w:rPr>
                <w:rFonts w:hint="eastAsia" w:ascii="Times New Roman" w:hAnsi="Times New Roman" w:eastAsia="宋体" w:cs="Times New Roman"/>
                <w:b w:val="0"/>
                <w:bCs w:val="0"/>
                <w:kern w:val="0"/>
                <w:sz w:val="24"/>
                <w:szCs w:val="24"/>
                <w:lang w:val="en-US" w:eastAsia="zh-CN"/>
              </w:rPr>
              <w:t>和四川屹光新材料制造有限公司</w:t>
            </w:r>
            <w:r>
              <w:rPr>
                <w:rFonts w:hint="default" w:ascii="Times New Roman" w:hAnsi="Times New Roman" w:eastAsia="宋体" w:cs="Times New Roman"/>
                <w:b w:val="0"/>
                <w:bCs w:val="0"/>
                <w:kern w:val="0"/>
                <w:sz w:val="24"/>
                <w:szCs w:val="24"/>
              </w:rPr>
              <w:t>进行能源供应。</w:t>
            </w:r>
            <w:bookmarkEnd w:id="4"/>
          </w:p>
          <w:p>
            <w:pPr>
              <w:pStyle w:val="2"/>
              <w:ind w:firstLine="480" w:firstLineChars="200"/>
              <w:rPr>
                <w:rFonts w:hint="default" w:ascii="Times New Roman" w:hAnsi="Times New Roman" w:cs="Times New Roman"/>
                <w:bCs/>
                <w:sz w:val="24"/>
              </w:rPr>
            </w:pPr>
            <w:r>
              <w:rPr>
                <w:rFonts w:hint="default" w:ascii="Times New Roman" w:hAnsi="Times New Roman" w:cs="Times New Roman"/>
                <w:bCs/>
                <w:sz w:val="24"/>
              </w:rPr>
              <w:fldChar w:fldCharType="begin"/>
            </w:r>
            <w:r>
              <w:rPr>
                <w:rFonts w:hint="default" w:ascii="Times New Roman" w:hAnsi="Times New Roman" w:cs="Times New Roman"/>
                <w:bCs/>
                <w:sz w:val="24"/>
              </w:rPr>
              <w:instrText xml:space="preserve"> = 2 \* GB3 </w:instrText>
            </w:r>
            <w:r>
              <w:rPr>
                <w:rFonts w:hint="default" w:ascii="Times New Roman" w:hAnsi="Times New Roman" w:cs="Times New Roman"/>
                <w:bCs/>
                <w:sz w:val="24"/>
              </w:rPr>
              <w:fldChar w:fldCharType="separate"/>
            </w:r>
            <w:r>
              <w:rPr>
                <w:rFonts w:hint="default" w:ascii="Times New Roman" w:hAnsi="Times New Roman" w:cs="Times New Roman"/>
                <w:bCs/>
                <w:sz w:val="24"/>
              </w:rPr>
              <w:t>②</w:t>
            </w:r>
            <w:r>
              <w:rPr>
                <w:rFonts w:hint="default" w:ascii="Times New Roman" w:hAnsi="Times New Roman" w:cs="Times New Roman"/>
                <w:bCs/>
                <w:sz w:val="24"/>
              </w:rPr>
              <w:fldChar w:fldCharType="end"/>
            </w:r>
            <w:r>
              <w:rPr>
                <w:rFonts w:hint="default" w:ascii="Times New Roman" w:hAnsi="Times New Roman" w:cs="Times New Roman"/>
                <w:bCs/>
                <w:sz w:val="24"/>
              </w:rPr>
              <w:t>产品方案</w:t>
            </w:r>
          </w:p>
          <w:p>
            <w:pPr>
              <w:pStyle w:val="20"/>
              <w:adjustRightInd w:val="0"/>
              <w:snapToGrid w:val="0"/>
              <w:spacing w:after="0"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cs="Times New Roman"/>
                <w:sz w:val="24"/>
              </w:rPr>
              <w:t>本项目锅炉生产蒸汽压为</w:t>
            </w:r>
            <w:r>
              <w:rPr>
                <w:rFonts w:hint="default" w:ascii="Times New Roman" w:hAnsi="Times New Roman" w:cs="Times New Roman"/>
                <w:sz w:val="24"/>
                <w:lang w:val="en-US" w:eastAsia="zh-CN"/>
              </w:rPr>
              <w:t>2.4</w:t>
            </w:r>
            <w:r>
              <w:rPr>
                <w:rFonts w:hint="eastAsia" w:cs="Times New Roman"/>
                <w:sz w:val="24"/>
                <w:lang w:val="en-US" w:eastAsia="zh-CN"/>
              </w:rPr>
              <w:t>5</w:t>
            </w:r>
            <w:r>
              <w:rPr>
                <w:rFonts w:hint="default" w:ascii="Times New Roman" w:hAnsi="Times New Roman" w:cs="Times New Roman"/>
                <w:sz w:val="24"/>
              </w:rPr>
              <w:t>MPa、2</w:t>
            </w:r>
            <w:r>
              <w:rPr>
                <w:rFonts w:hint="default" w:ascii="Times New Roman" w:hAnsi="Times New Roman" w:cs="Times New Roman"/>
                <w:sz w:val="24"/>
                <w:lang w:val="en-US" w:eastAsia="zh-CN"/>
              </w:rPr>
              <w:t>2</w:t>
            </w:r>
            <w:r>
              <w:rPr>
                <w:rFonts w:hint="eastAsia" w:cs="Times New Roman"/>
                <w:sz w:val="24"/>
                <w:lang w:val="en-US" w:eastAsia="zh-CN"/>
              </w:rPr>
              <w:t>4</w:t>
            </w:r>
            <w:r>
              <w:rPr>
                <w:rFonts w:hint="default" w:ascii="Times New Roman" w:hAnsi="Times New Roman" w:cs="Times New Roman"/>
                <w:sz w:val="24"/>
              </w:rPr>
              <w:t>℃饱和蒸汽，产量为1</w:t>
            </w:r>
            <w:r>
              <w:rPr>
                <w:rFonts w:hint="default" w:ascii="Times New Roman" w:hAnsi="Times New Roman" w:cs="Times New Roman"/>
                <w:sz w:val="24"/>
                <w:lang w:val="en-US" w:eastAsia="zh-CN"/>
              </w:rPr>
              <w:t>2</w:t>
            </w:r>
            <w:r>
              <w:rPr>
                <w:rFonts w:hint="default" w:ascii="Times New Roman" w:hAnsi="Times New Roman" w:cs="Times New Roman"/>
                <w:sz w:val="24"/>
              </w:rPr>
              <w:t>t/h，年运行时间为3</w:t>
            </w:r>
            <w:r>
              <w:rPr>
                <w:rFonts w:hint="default" w:ascii="Times New Roman" w:hAnsi="Times New Roman" w:cs="Times New Roman"/>
                <w:sz w:val="24"/>
                <w:lang w:val="en-US" w:eastAsia="zh-CN"/>
              </w:rPr>
              <w:t>30</w:t>
            </w:r>
            <w:r>
              <w:rPr>
                <w:rFonts w:hint="default" w:ascii="Times New Roman" w:hAnsi="Times New Roman" w:cs="Times New Roman"/>
                <w:sz w:val="24"/>
              </w:rPr>
              <w:t>天，年产蒸汽量为</w:t>
            </w:r>
            <w:r>
              <w:rPr>
                <w:rFonts w:hint="default" w:ascii="Times New Roman" w:hAnsi="Times New Roman" w:cs="Times New Roman"/>
                <w:sz w:val="24"/>
                <w:lang w:val="en-US" w:eastAsia="zh-CN"/>
              </w:rPr>
              <w:t>9</w:t>
            </w:r>
            <w:r>
              <w:rPr>
                <w:rFonts w:hint="eastAsia" w:cs="Times New Roman"/>
                <w:sz w:val="24"/>
                <w:lang w:val="en-US" w:eastAsia="zh-CN"/>
              </w:rPr>
              <w:t>.</w:t>
            </w:r>
            <w:r>
              <w:rPr>
                <w:rFonts w:hint="default" w:ascii="Times New Roman" w:hAnsi="Times New Roman" w:cs="Times New Roman"/>
                <w:sz w:val="24"/>
                <w:lang w:val="en-US" w:eastAsia="zh-CN"/>
              </w:rPr>
              <w:t>504</w:t>
            </w:r>
            <w:r>
              <w:rPr>
                <w:rFonts w:hint="default" w:ascii="Times New Roman" w:hAnsi="Times New Roman" w:cs="Times New Roman"/>
                <w:sz w:val="24"/>
              </w:rPr>
              <w:t>万t/a。</w:t>
            </w:r>
          </w:p>
          <w:p>
            <w:pPr>
              <w:pStyle w:val="20"/>
              <w:adjustRightInd w:val="0"/>
              <w:snapToGrid w:val="0"/>
              <w:spacing w:after="0"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项目供热规模合理性（本项目仅供</w:t>
            </w:r>
            <w:r>
              <w:rPr>
                <w:rFonts w:hint="default" w:ascii="Times New Roman" w:hAnsi="Times New Roman" w:cs="Times New Roman"/>
                <w:b/>
                <w:bCs/>
                <w:sz w:val="24"/>
                <w:lang w:eastAsia="zh-CN"/>
              </w:rPr>
              <w:t>四川鸿鹏新材料有限公司和四川屹光新材料制造有限公司</w:t>
            </w:r>
            <w:r>
              <w:rPr>
                <w:rFonts w:hint="default" w:ascii="Times New Roman" w:hAnsi="Times New Roman" w:cs="Times New Roman"/>
                <w:b/>
                <w:bCs/>
                <w:sz w:val="24"/>
              </w:rPr>
              <w:t>使用）：</w:t>
            </w:r>
          </w:p>
          <w:p>
            <w:pPr>
              <w:pStyle w:val="2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表2-1 企业蒸汽需求情况统计表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807"/>
              <w:gridCol w:w="1396"/>
              <w:gridCol w:w="1397"/>
              <w:gridCol w:w="1397"/>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Borders>
                    <w:top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szCs w:val="21"/>
                      <w:vertAlign w:val="baseline"/>
                    </w:rPr>
                  </w:pPr>
                  <w:r>
                    <w:rPr>
                      <w:rFonts w:hint="default" w:ascii="Times New Roman" w:hAnsi="Times New Roman" w:cs="Times New Roman"/>
                      <w:b/>
                      <w:bCs/>
                      <w:szCs w:val="21"/>
                    </w:rPr>
                    <w:t>序号</w:t>
                  </w:r>
                </w:p>
              </w:tc>
              <w:tc>
                <w:tcPr>
                  <w:tcW w:w="1807" w:type="dxa"/>
                  <w:tcBorders>
                    <w:top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szCs w:val="21"/>
                      <w:vertAlign w:val="baseline"/>
                    </w:rPr>
                  </w:pPr>
                  <w:r>
                    <w:rPr>
                      <w:rFonts w:hint="default" w:ascii="Times New Roman" w:hAnsi="Times New Roman" w:cs="Times New Roman"/>
                      <w:b/>
                      <w:bCs/>
                      <w:szCs w:val="21"/>
                    </w:rPr>
                    <w:t>企业名称</w:t>
                  </w:r>
                </w:p>
              </w:tc>
              <w:tc>
                <w:tcPr>
                  <w:tcW w:w="1396" w:type="dxa"/>
                  <w:tcBorders>
                    <w:top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szCs w:val="21"/>
                      <w:vertAlign w:val="baseline"/>
                    </w:rPr>
                  </w:pPr>
                  <w:r>
                    <w:rPr>
                      <w:rFonts w:hint="default" w:ascii="Times New Roman" w:hAnsi="Times New Roman" w:cs="Times New Roman"/>
                      <w:b/>
                      <w:bCs/>
                      <w:szCs w:val="21"/>
                    </w:rPr>
                    <w:t>最大蒸汽需求量</w:t>
                  </w:r>
                </w:p>
              </w:tc>
              <w:tc>
                <w:tcPr>
                  <w:tcW w:w="1397" w:type="dxa"/>
                  <w:tcBorders>
                    <w:top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szCs w:val="21"/>
                      <w:vertAlign w:val="baseline"/>
                    </w:rPr>
                  </w:pPr>
                  <w:r>
                    <w:rPr>
                      <w:rFonts w:hint="default" w:ascii="Times New Roman" w:hAnsi="Times New Roman" w:cs="Times New Roman"/>
                      <w:b/>
                      <w:bCs/>
                      <w:szCs w:val="21"/>
                    </w:rPr>
                    <w:t>蒸汽压力</w:t>
                  </w:r>
                </w:p>
              </w:tc>
              <w:tc>
                <w:tcPr>
                  <w:tcW w:w="1397" w:type="dxa"/>
                  <w:tcBorders>
                    <w:top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szCs w:val="21"/>
                      <w:vertAlign w:val="baseline"/>
                    </w:rPr>
                  </w:pPr>
                  <w:r>
                    <w:rPr>
                      <w:rFonts w:hint="default" w:ascii="Times New Roman" w:hAnsi="Times New Roman" w:cs="Times New Roman"/>
                      <w:b/>
                      <w:bCs/>
                      <w:szCs w:val="21"/>
                    </w:rPr>
                    <w:t>蒸汽温度</w:t>
                  </w:r>
                </w:p>
              </w:tc>
              <w:tc>
                <w:tcPr>
                  <w:tcW w:w="1397" w:type="dxa"/>
                  <w:tcBorders>
                    <w:top w:val="single" w:color="auto" w:sz="12" w:space="0"/>
                    <w:right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szCs w:val="21"/>
                      <w:vertAlign w:val="baseline"/>
                    </w:rPr>
                  </w:pPr>
                  <w:r>
                    <w:rPr>
                      <w:rFonts w:hint="default" w:ascii="Times New Roman" w:hAnsi="Times New Roman" w:cs="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Borders>
                    <w:left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szCs w:val="21"/>
                      <w:vertAlign w:val="baseline"/>
                    </w:rPr>
                  </w:pPr>
                  <w:r>
                    <w:rPr>
                      <w:rFonts w:hint="default" w:ascii="Times New Roman" w:hAnsi="Times New Roman" w:cs="Times New Roman"/>
                      <w:szCs w:val="21"/>
                    </w:rPr>
                    <w:t>1</w:t>
                  </w:r>
                </w:p>
              </w:tc>
              <w:tc>
                <w:tcPr>
                  <w:tcW w:w="180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szCs w:val="21"/>
                      <w:vertAlign w:val="baseline"/>
                    </w:rPr>
                  </w:pPr>
                  <w:r>
                    <w:rPr>
                      <w:rFonts w:hint="default" w:ascii="Times New Roman" w:hAnsi="Times New Roman" w:cs="Times New Roman"/>
                      <w:szCs w:val="21"/>
                    </w:rPr>
                    <w:t>四川鸿鹏新材料有限公司</w:t>
                  </w:r>
                </w:p>
              </w:tc>
              <w:tc>
                <w:tcPr>
                  <w:tcW w:w="139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szCs w:val="21"/>
                      <w:vertAlign w:val="baseline"/>
                    </w:rPr>
                  </w:pPr>
                  <w:r>
                    <w:rPr>
                      <w:rFonts w:hint="default" w:ascii="Times New Roman" w:hAnsi="Times New Roman" w:cs="Times New Roman"/>
                      <w:szCs w:val="21"/>
                    </w:rPr>
                    <w:t>37000t/a</w:t>
                  </w:r>
                </w:p>
              </w:tc>
              <w:tc>
                <w:tcPr>
                  <w:tcW w:w="139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szCs w:val="21"/>
                      <w:vertAlign w:val="baseline"/>
                    </w:rPr>
                  </w:pPr>
                  <w:r>
                    <w:rPr>
                      <w:rFonts w:hint="default" w:ascii="Times New Roman" w:hAnsi="Times New Roman" w:cs="Times New Roman"/>
                      <w:szCs w:val="21"/>
                      <w:lang w:val="en-US" w:eastAsia="zh-CN"/>
                    </w:rPr>
                    <w:t>2.4</w:t>
                  </w:r>
                  <w:r>
                    <w:rPr>
                      <w:rFonts w:hint="eastAsia" w:cs="Times New Roman"/>
                      <w:szCs w:val="21"/>
                      <w:lang w:val="en-US" w:eastAsia="zh-CN"/>
                    </w:rPr>
                    <w:t>5</w:t>
                  </w:r>
                  <w:r>
                    <w:rPr>
                      <w:rFonts w:hint="default" w:ascii="Times New Roman" w:hAnsi="Times New Roman" w:cs="Times New Roman"/>
                      <w:szCs w:val="21"/>
                    </w:rPr>
                    <w:t>MPa</w:t>
                  </w:r>
                </w:p>
              </w:tc>
              <w:tc>
                <w:tcPr>
                  <w:tcW w:w="139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szCs w:val="21"/>
                      <w:vertAlign w:val="baseline"/>
                    </w:rPr>
                  </w:pPr>
                  <w:r>
                    <w:rPr>
                      <w:rFonts w:hint="default" w:ascii="Times New Roman" w:hAnsi="Times New Roman" w:cs="Times New Roman"/>
                      <w:szCs w:val="21"/>
                    </w:rPr>
                    <w:t>2</w:t>
                  </w:r>
                  <w:r>
                    <w:rPr>
                      <w:rFonts w:hint="eastAsia" w:cs="Times New Roman"/>
                      <w:szCs w:val="21"/>
                      <w:lang w:val="en-US" w:eastAsia="zh-CN"/>
                    </w:rPr>
                    <w:t>24</w:t>
                  </w:r>
                  <w:r>
                    <w:rPr>
                      <w:rFonts w:hint="default" w:ascii="Times New Roman" w:hAnsi="Times New Roman" w:cs="Times New Roman"/>
                      <w:szCs w:val="21"/>
                    </w:rPr>
                    <w:t>℃</w:t>
                  </w:r>
                </w:p>
              </w:tc>
              <w:tc>
                <w:tcPr>
                  <w:tcW w:w="1397" w:type="dxa"/>
                  <w:tcBorders>
                    <w:right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szCs w:val="21"/>
                      <w:vertAlign w:val="baseline"/>
                    </w:rPr>
                  </w:pPr>
                  <w:r>
                    <w:rPr>
                      <w:rFonts w:hint="default"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Borders>
                    <w:left w:val="nil"/>
                    <w:bottom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2</w:t>
                  </w:r>
                </w:p>
              </w:tc>
              <w:tc>
                <w:tcPr>
                  <w:tcW w:w="1807" w:type="dxa"/>
                  <w:tcBorders>
                    <w:bottom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四川屹光新材料制造有限公司</w:t>
                  </w:r>
                </w:p>
              </w:tc>
              <w:tc>
                <w:tcPr>
                  <w:tcW w:w="1396" w:type="dxa"/>
                  <w:tcBorders>
                    <w:bottom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40000t/a</w:t>
                  </w:r>
                </w:p>
              </w:tc>
              <w:tc>
                <w:tcPr>
                  <w:tcW w:w="1397" w:type="dxa"/>
                  <w:tcBorders>
                    <w:bottom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zCs w:val="21"/>
                      <w:lang w:val="en-US" w:eastAsia="zh-CN"/>
                    </w:rPr>
                  </w:pPr>
                  <w:r>
                    <w:rPr>
                      <w:rFonts w:hint="eastAsia" w:cs="Times New Roman"/>
                      <w:szCs w:val="21"/>
                      <w:lang w:val="en-US" w:eastAsia="zh-CN"/>
                    </w:rPr>
                    <w:t>1.55</w:t>
                  </w:r>
                  <w:r>
                    <w:rPr>
                      <w:rFonts w:hint="default" w:ascii="Times New Roman" w:hAnsi="Times New Roman" w:cs="Times New Roman"/>
                      <w:szCs w:val="21"/>
                    </w:rPr>
                    <w:t>MPa</w:t>
                  </w:r>
                </w:p>
              </w:tc>
              <w:tc>
                <w:tcPr>
                  <w:tcW w:w="1397" w:type="dxa"/>
                  <w:tcBorders>
                    <w:bottom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115℃</w:t>
                  </w:r>
                </w:p>
              </w:tc>
              <w:tc>
                <w:tcPr>
                  <w:tcW w:w="1397" w:type="dxa"/>
                  <w:tcBorders>
                    <w:bottom w:val="single" w:color="auto" w:sz="12" w:space="0"/>
                    <w:right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zCs w:val="21"/>
                      <w:lang w:val="en-US" w:eastAsia="zh-CN"/>
                    </w:rPr>
                  </w:pPr>
                  <w:r>
                    <w:rPr>
                      <w:rFonts w:hint="eastAsia" w:cs="Times New Roman"/>
                      <w:szCs w:val="21"/>
                      <w:lang w:val="en-US" w:eastAsia="zh-CN"/>
                    </w:rPr>
                    <w:t>/</w:t>
                  </w:r>
                </w:p>
              </w:tc>
            </w:tr>
          </w:tbl>
          <w:p>
            <w:pPr>
              <w:pStyle w:val="20"/>
              <w:adjustRightInd w:val="0"/>
              <w:snapToGrid w:val="0"/>
              <w:spacing w:after="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③气</w:t>
            </w:r>
            <w:r>
              <w:rPr>
                <w:rFonts w:hint="eastAsia" w:ascii="Times New Roman" w:hAnsi="Times New Roman" w:cs="Times New Roman"/>
                <w:color w:val="auto"/>
                <w:sz w:val="24"/>
                <w:lang w:val="en-US" w:eastAsia="zh-CN"/>
              </w:rPr>
              <w:t>提</w:t>
            </w:r>
            <w:r>
              <w:rPr>
                <w:rFonts w:hint="default" w:ascii="Times New Roman" w:hAnsi="Times New Roman" w:cs="Times New Roman"/>
                <w:color w:val="auto"/>
                <w:sz w:val="24"/>
              </w:rPr>
              <w:t>管道</w:t>
            </w:r>
          </w:p>
          <w:p>
            <w:pPr>
              <w:pStyle w:val="20"/>
              <w:adjustRightInd w:val="0"/>
              <w:snapToGrid w:val="0"/>
              <w:spacing w:after="0" w:line="360" w:lineRule="auto"/>
              <w:ind w:firstLine="480" w:firstLineChars="200"/>
              <w:rPr>
                <w:rFonts w:hint="default" w:ascii="Times New Roman" w:hAnsi="Times New Roman" w:cs="Times New Roman"/>
                <w:b w:val="0"/>
                <w:bCs w:val="0"/>
                <w:color w:val="auto"/>
                <w:kern w:val="0"/>
                <w:sz w:val="24"/>
              </w:rPr>
            </w:pPr>
            <w:r>
              <w:rPr>
                <w:rFonts w:hint="default" w:ascii="Times New Roman" w:hAnsi="Times New Roman" w:cs="Times New Roman"/>
                <w:color w:val="auto"/>
                <w:kern w:val="0"/>
                <w:sz w:val="24"/>
              </w:rPr>
              <w:t>配套的燃气管道约150m，本项目</w:t>
            </w:r>
            <w:r>
              <w:rPr>
                <w:rFonts w:hint="eastAsia" w:ascii="Times New Roman" w:hAnsi="Times New Roman" w:cs="Times New Roman"/>
                <w:color w:val="auto"/>
                <w:kern w:val="0"/>
                <w:sz w:val="24"/>
                <w:lang w:val="en-US" w:eastAsia="zh-CN"/>
              </w:rPr>
              <w:t>气化炉</w:t>
            </w:r>
            <w:r>
              <w:rPr>
                <w:rFonts w:hint="default" w:ascii="Times New Roman" w:hAnsi="Times New Roman" w:cs="Times New Roman"/>
                <w:color w:val="auto"/>
                <w:kern w:val="0"/>
                <w:sz w:val="24"/>
              </w:rPr>
              <w:t>至锅炉房的燃气管道</w:t>
            </w:r>
            <w:r>
              <w:rPr>
                <w:rFonts w:hint="eastAsia" w:ascii="Times New Roman" w:hAnsi="Times New Roman" w:cs="Times New Roman"/>
                <w:color w:val="auto"/>
                <w:kern w:val="0"/>
                <w:sz w:val="24"/>
                <w:lang w:val="en-US" w:eastAsia="zh-CN"/>
              </w:rPr>
              <w:t>15</w:t>
            </w:r>
            <w:r>
              <w:rPr>
                <w:rFonts w:hint="default" w:ascii="Times New Roman" w:hAnsi="Times New Roman" w:cs="Times New Roman"/>
                <w:color w:val="auto"/>
                <w:kern w:val="0"/>
                <w:sz w:val="24"/>
              </w:rPr>
              <w:t>m</w:t>
            </w:r>
            <w:r>
              <w:rPr>
                <w:rFonts w:hint="default" w:ascii="Times New Roman" w:hAnsi="Times New Roman" w:cs="Times New Roman"/>
                <w:b w:val="0"/>
                <w:bCs w:val="0"/>
                <w:color w:val="auto"/>
                <w:kern w:val="0"/>
                <w:sz w:val="24"/>
              </w:rPr>
              <w:t>。</w:t>
            </w:r>
          </w:p>
          <w:p>
            <w:pPr>
              <w:pStyle w:val="20"/>
              <w:adjustRightInd w:val="0"/>
              <w:snapToGrid w:val="0"/>
              <w:spacing w:after="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④蒸汽、冷凝水管道</w:t>
            </w:r>
          </w:p>
          <w:p>
            <w:pPr>
              <w:pStyle w:val="20"/>
              <w:adjustRightInd w:val="0"/>
              <w:snapToGrid w:val="0"/>
              <w:spacing w:after="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本项目蒸汽、冷凝水管道仅</w:t>
            </w:r>
            <w:bookmarkStart w:id="5" w:name="_Hlk87820109"/>
            <w:r>
              <w:rPr>
                <w:rFonts w:hint="default" w:ascii="Times New Roman" w:hAnsi="Times New Roman" w:cs="Times New Roman"/>
                <w:color w:val="auto"/>
                <w:sz w:val="24"/>
              </w:rPr>
              <w:t>沿四川鸿鹏新材料有限公司</w:t>
            </w:r>
            <w:r>
              <w:rPr>
                <w:rFonts w:hint="default" w:ascii="Times New Roman" w:hAnsi="Times New Roman" w:cs="Times New Roman"/>
                <w:color w:val="auto"/>
                <w:sz w:val="24"/>
                <w:lang w:val="en-US" w:eastAsia="zh-CN"/>
              </w:rPr>
              <w:t>西</w:t>
            </w:r>
            <w:r>
              <w:rPr>
                <w:rFonts w:hint="default" w:ascii="Times New Roman" w:hAnsi="Times New Roman" w:cs="Times New Roman"/>
                <w:color w:val="auto"/>
                <w:sz w:val="24"/>
              </w:rPr>
              <w:t>北侧厂房边界敷设</w:t>
            </w:r>
            <w:bookmarkEnd w:id="5"/>
            <w:r>
              <w:rPr>
                <w:rFonts w:hint="default" w:ascii="Times New Roman" w:hAnsi="Times New Roman" w:cs="Times New Roman"/>
                <w:color w:val="auto"/>
                <w:sz w:val="24"/>
              </w:rPr>
              <w:t>，</w:t>
            </w:r>
            <w:bookmarkStart w:id="6" w:name="_Hlk87820150"/>
            <w:r>
              <w:rPr>
                <w:rFonts w:hint="default" w:ascii="Times New Roman" w:hAnsi="Times New Roman" w:cs="Times New Roman"/>
                <w:color w:val="auto"/>
                <w:sz w:val="24"/>
              </w:rPr>
              <w:t xml:space="preserve">一根蒸汽管道（361.4m） </w:t>
            </w:r>
            <w:r>
              <w:rPr>
                <w:rFonts w:hint="eastAsia" w:cs="Times New Roman"/>
                <w:color w:val="auto"/>
                <w:sz w:val="24"/>
                <w:lang w:eastAsia="zh-CN"/>
              </w:rPr>
              <w:t>（</w:t>
            </w:r>
            <w:r>
              <w:rPr>
                <w:rFonts w:hint="default" w:ascii="Times New Roman" w:hAnsi="Times New Roman" w:cs="Times New Roman"/>
                <w:color w:val="auto"/>
                <w:sz w:val="24"/>
              </w:rPr>
              <w:t>DN200，PN25</w:t>
            </w:r>
            <w:r>
              <w:rPr>
                <w:rFonts w:hint="eastAsia" w:cs="Times New Roman"/>
                <w:color w:val="auto"/>
                <w:sz w:val="24"/>
                <w:lang w:eastAsia="zh-CN"/>
              </w:rPr>
              <w:t>）</w:t>
            </w:r>
            <w:r>
              <w:rPr>
                <w:rFonts w:hint="default" w:ascii="Times New Roman" w:hAnsi="Times New Roman" w:cs="Times New Roman"/>
                <w:color w:val="auto"/>
                <w:sz w:val="24"/>
              </w:rPr>
              <w:t>及一根蒸汽冷凝水管道（361.4m）（DN100，PN10）</w:t>
            </w:r>
            <w:bookmarkEnd w:id="6"/>
            <w:r>
              <w:rPr>
                <w:rFonts w:hint="default" w:ascii="Times New Roman" w:hAnsi="Times New Roman" w:cs="Times New Roman"/>
                <w:color w:val="auto"/>
                <w:sz w:val="24"/>
              </w:rPr>
              <w:t>，均使用无缝钢管，保护层采用铝合金薄板，保温（冷）层采用玻璃棉毡，管道采用无机富锌底漆防腐。本项目新布置厂区外管及管沟，蒸汽管道从</w:t>
            </w:r>
            <w:r>
              <w:rPr>
                <w:rFonts w:hint="eastAsia" w:ascii="Times New Roman" w:hAnsi="Times New Roman" w:cs="Times New Roman"/>
                <w:color w:val="auto"/>
                <w:sz w:val="24"/>
                <w:lang w:val="en-US" w:eastAsia="zh-CN"/>
              </w:rPr>
              <w:t>锅炉</w:t>
            </w:r>
            <w:r>
              <w:rPr>
                <w:rFonts w:hint="default" w:ascii="Times New Roman" w:hAnsi="Times New Roman" w:cs="Times New Roman"/>
                <w:color w:val="auto"/>
                <w:sz w:val="24"/>
              </w:rPr>
              <w:t>房出来后，进入管沟（42m）、沿墙边敷设（外围229.4m）到达</w:t>
            </w:r>
            <w:r>
              <w:rPr>
                <w:rFonts w:hint="eastAsia" w:ascii="Times New Roman" w:hAnsi="Times New Roman" w:cs="Times New Roman"/>
                <w:color w:val="auto"/>
                <w:sz w:val="24"/>
                <w:lang w:val="en-US" w:eastAsia="zh-CN"/>
              </w:rPr>
              <w:t>厂区</w:t>
            </w:r>
            <w:r>
              <w:rPr>
                <w:rFonts w:hint="default" w:ascii="Times New Roman" w:hAnsi="Times New Roman" w:cs="Times New Roman"/>
                <w:color w:val="auto"/>
                <w:sz w:val="24"/>
              </w:rPr>
              <w:t>区（90m），而蒸汽冷凝水沿原路返回，本项目管道不穿越道路。</w:t>
            </w:r>
          </w:p>
          <w:p>
            <w:pPr>
              <w:pStyle w:val="22"/>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rPr>
              <w:t>3、项目组成</w:t>
            </w:r>
          </w:p>
          <w:p>
            <w:pPr>
              <w:pStyle w:val="7"/>
              <w:widowControl/>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本项目</w:t>
            </w:r>
            <w:r>
              <w:rPr>
                <w:rFonts w:hint="eastAsia" w:ascii="Times New Roman" w:hAnsi="Times New Roman" w:cs="Times New Roman"/>
                <w:sz w:val="24"/>
                <w:szCs w:val="24"/>
                <w:lang w:val="en-US" w:eastAsia="zh-CN"/>
              </w:rPr>
              <w:t>新建</w:t>
            </w:r>
            <w:r>
              <w:rPr>
                <w:rFonts w:hint="default" w:ascii="Times New Roman" w:hAnsi="Times New Roman" w:cs="Times New Roman"/>
                <w:sz w:val="24"/>
                <w:szCs w:val="24"/>
              </w:rPr>
              <w:t>厂房</w:t>
            </w:r>
            <w:r>
              <w:rPr>
                <w:rFonts w:hint="eastAsia" w:ascii="Times New Roman" w:hAnsi="Times New Roman" w:cs="Times New Roman"/>
                <w:sz w:val="24"/>
                <w:szCs w:val="24"/>
                <w:lang w:val="en-US" w:eastAsia="zh-CN"/>
              </w:rPr>
              <w:t>面积</w:t>
            </w:r>
            <w:r>
              <w:rPr>
                <w:rFonts w:hint="default" w:ascii="Times New Roman" w:hAnsi="Times New Roman" w:cs="Times New Roman"/>
                <w:sz w:val="24"/>
                <w:szCs w:val="24"/>
                <w:highlight w:val="none"/>
              </w:rPr>
              <w:t>约</w:t>
            </w:r>
            <w:r>
              <w:rPr>
                <w:rFonts w:hint="eastAsia" w:ascii="Times New Roman" w:hAnsi="Times New Roman" w:cs="Times New Roman"/>
                <w:sz w:val="24"/>
                <w:szCs w:val="24"/>
                <w:highlight w:val="none"/>
                <w:lang w:val="en-US" w:eastAsia="zh-CN"/>
              </w:rPr>
              <w:t>2286m</w:t>
            </w:r>
            <w:r>
              <w:rPr>
                <w:rFonts w:hint="default" w:ascii="Times New Roman" w:hAnsi="Times New Roman" w:cs="Times New Roman"/>
                <w:sz w:val="24"/>
                <w:szCs w:val="24"/>
              </w:rPr>
              <w:t>，设置</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台额定蒸发量为1</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t/h的</w:t>
            </w:r>
            <w:r>
              <w:rPr>
                <w:rFonts w:hint="eastAsia" w:ascii="Times New Roman" w:hAnsi="Times New Roman" w:cs="Times New Roman"/>
                <w:sz w:val="24"/>
                <w:szCs w:val="24"/>
                <w:lang w:val="en-US" w:eastAsia="zh-CN"/>
              </w:rPr>
              <w:t>生物质燃气</w:t>
            </w:r>
            <w:r>
              <w:rPr>
                <w:rFonts w:hint="default" w:ascii="Times New Roman" w:hAnsi="Times New Roman" w:cs="Times New Roman"/>
                <w:sz w:val="24"/>
                <w:szCs w:val="24"/>
              </w:rPr>
              <w:t>锅炉</w:t>
            </w:r>
            <w:r>
              <w:rPr>
                <w:rFonts w:hint="eastAsia" w:ascii="Times New Roman" w:hAnsi="Times New Roman" w:cs="Times New Roman"/>
                <w:sz w:val="24"/>
                <w:szCs w:val="24"/>
                <w:lang w:val="en-US" w:eastAsia="zh-CN"/>
              </w:rPr>
              <w:t>配套气化炉</w:t>
            </w:r>
            <w:r>
              <w:rPr>
                <w:rFonts w:hint="default" w:ascii="Times New Roman" w:hAnsi="Times New Roman" w:cs="Times New Roman"/>
                <w:sz w:val="24"/>
                <w:szCs w:val="24"/>
              </w:rPr>
              <w:t>和冷凝水箱、定排污扩容器、分气缸等附属设备以及辅助、办公设施。</w:t>
            </w:r>
          </w:p>
          <w:p>
            <w:pPr>
              <w:pStyle w:val="7"/>
              <w:widowControl/>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本项目组成和可能产生的主要环境问题具体情况详见表2-</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w:t>
            </w:r>
          </w:p>
          <w:p>
            <w:pPr>
              <w:pStyle w:val="20"/>
              <w:adjustRightInd w:val="0"/>
              <w:snapToGrid w:val="0"/>
              <w:spacing w:after="0" w:line="360" w:lineRule="auto"/>
              <w:ind w:firstLine="422" w:firstLineChars="200"/>
              <w:jc w:val="center"/>
              <w:rPr>
                <w:rFonts w:hint="default" w:ascii="Times New Roman" w:hAnsi="Times New Roman" w:cs="Times New Roman"/>
                <w:b/>
                <w:bCs/>
                <w:szCs w:val="21"/>
              </w:rPr>
            </w:pPr>
            <w:bookmarkStart w:id="7" w:name="_Toc16041"/>
            <w:r>
              <w:rPr>
                <w:rFonts w:hint="default" w:ascii="Times New Roman" w:hAnsi="Times New Roman" w:cs="Times New Roman"/>
                <w:b/>
                <w:bCs/>
                <w:szCs w:val="21"/>
              </w:rPr>
              <w:t>表2-</w:t>
            </w:r>
            <w:r>
              <w:rPr>
                <w:rFonts w:hint="eastAsia" w:ascii="Times New Roman" w:hAnsi="Times New Roman" w:cs="Times New Roman"/>
                <w:b/>
                <w:bCs/>
                <w:szCs w:val="21"/>
                <w:lang w:val="en-US" w:eastAsia="zh-CN"/>
              </w:rPr>
              <w:t>2</w:t>
            </w:r>
            <w:r>
              <w:rPr>
                <w:rFonts w:hint="default" w:ascii="Times New Roman" w:hAnsi="Times New Roman" w:cs="Times New Roman"/>
                <w:b/>
                <w:bCs/>
                <w:szCs w:val="21"/>
              </w:rPr>
              <w:t xml:space="preserve">  项目组成表及主要的环境问题</w:t>
            </w:r>
            <w:bookmarkEnd w:id="7"/>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560"/>
              <w:gridCol w:w="485"/>
              <w:gridCol w:w="480"/>
              <w:gridCol w:w="985"/>
              <w:gridCol w:w="2886"/>
              <w:gridCol w:w="1077"/>
              <w:gridCol w:w="1240"/>
              <w:gridCol w:w="67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334" w:type="pct"/>
                  <w:vMerge w:val="restart"/>
                  <w:vAlign w:val="center"/>
                </w:tcPr>
                <w:p>
                  <w:pPr>
                    <w:pStyle w:val="7"/>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名称</w:t>
                  </w:r>
                </w:p>
              </w:tc>
              <w:tc>
                <w:tcPr>
                  <w:tcW w:w="2882" w:type="pct"/>
                  <w:gridSpan w:val="4"/>
                  <w:vMerge w:val="restart"/>
                  <w:vAlign w:val="center"/>
                </w:tcPr>
                <w:p>
                  <w:pPr>
                    <w:pStyle w:val="7"/>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建设内容及规模</w:t>
                  </w:r>
                </w:p>
              </w:tc>
              <w:tc>
                <w:tcPr>
                  <w:tcW w:w="1381" w:type="pct"/>
                  <w:gridSpan w:val="2"/>
                  <w:vAlign w:val="center"/>
                </w:tcPr>
                <w:p>
                  <w:pPr>
                    <w:pStyle w:val="7"/>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可能造成的环境影响</w:t>
                  </w:r>
                </w:p>
              </w:tc>
              <w:tc>
                <w:tcPr>
                  <w:tcW w:w="401" w:type="pct"/>
                  <w:vMerge w:val="restart"/>
                  <w:vAlign w:val="center"/>
                </w:tcPr>
                <w:p>
                  <w:pPr>
                    <w:pStyle w:val="7"/>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334" w:type="pct"/>
                  <w:vMerge w:val="continue"/>
                  <w:vAlign w:val="center"/>
                </w:tcPr>
                <w:p>
                  <w:pPr>
                    <w:pStyle w:val="7"/>
                    <w:jc w:val="center"/>
                    <w:rPr>
                      <w:rFonts w:hint="default" w:ascii="Times New Roman" w:hAnsi="Times New Roman" w:cs="Times New Roman" w:eastAsiaTheme="minorEastAsia"/>
                      <w:b/>
                      <w:bCs/>
                      <w:sz w:val="21"/>
                      <w:szCs w:val="21"/>
                    </w:rPr>
                  </w:pPr>
                </w:p>
              </w:tc>
              <w:tc>
                <w:tcPr>
                  <w:tcW w:w="2882" w:type="pct"/>
                  <w:gridSpan w:val="4"/>
                  <w:vMerge w:val="continue"/>
                  <w:vAlign w:val="center"/>
                </w:tcPr>
                <w:p>
                  <w:pPr>
                    <w:pStyle w:val="7"/>
                    <w:jc w:val="center"/>
                    <w:rPr>
                      <w:rFonts w:hint="default" w:ascii="Times New Roman" w:hAnsi="Times New Roman" w:cs="Times New Roman" w:eastAsiaTheme="minorEastAsia"/>
                      <w:b/>
                      <w:bCs/>
                      <w:sz w:val="21"/>
                      <w:szCs w:val="21"/>
                    </w:rPr>
                  </w:pPr>
                </w:p>
              </w:tc>
              <w:tc>
                <w:tcPr>
                  <w:tcW w:w="642" w:type="pct"/>
                  <w:vAlign w:val="center"/>
                </w:tcPr>
                <w:p>
                  <w:pPr>
                    <w:pStyle w:val="7"/>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施工期</w:t>
                  </w:r>
                </w:p>
              </w:tc>
              <w:tc>
                <w:tcPr>
                  <w:tcW w:w="739" w:type="pct"/>
                  <w:vAlign w:val="center"/>
                </w:tcPr>
                <w:p>
                  <w:pPr>
                    <w:pStyle w:val="7"/>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运营期</w:t>
                  </w:r>
                </w:p>
              </w:tc>
              <w:tc>
                <w:tcPr>
                  <w:tcW w:w="401" w:type="pct"/>
                  <w:vMerge w:val="continue"/>
                  <w:vAlign w:val="center"/>
                </w:tcPr>
                <w:p>
                  <w:pPr>
                    <w:pStyle w:val="7"/>
                    <w:jc w:val="center"/>
                    <w:rPr>
                      <w:rFonts w:hint="default" w:ascii="Times New Roman" w:hAnsi="Times New Roman" w:cs="Times New Roman" w:eastAsiaTheme="minorEastAsia"/>
                      <w:b/>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5" w:hRule="atLeast"/>
                <w:jc w:val="center"/>
              </w:trPr>
              <w:tc>
                <w:tcPr>
                  <w:tcW w:w="334" w:type="pct"/>
                  <w:vMerge w:val="restart"/>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主体工程</w:t>
                  </w:r>
                </w:p>
              </w:tc>
              <w:tc>
                <w:tcPr>
                  <w:tcW w:w="575" w:type="pct"/>
                  <w:gridSpan w:val="2"/>
                  <w:tcBorders>
                    <w:bottom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锅炉</w:t>
                  </w:r>
                </w:p>
              </w:tc>
              <w:tc>
                <w:tcPr>
                  <w:tcW w:w="2306" w:type="pct"/>
                  <w:gridSpan w:val="2"/>
                  <w:tcBorders>
                    <w:bottom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1台额定蒸发量为12t/h的生物质燃气锅炉配套</w:t>
                  </w:r>
                  <w:r>
                    <w:rPr>
                      <w:rFonts w:hint="eastAsia" w:ascii="Times New Roman" w:hAnsi="Times New Roman" w:cs="Times New Roman"/>
                      <w:szCs w:val="21"/>
                      <w:lang w:eastAsia="zh-CN"/>
                    </w:rPr>
                    <w:t>气化炉</w:t>
                  </w:r>
                  <w:r>
                    <w:rPr>
                      <w:rFonts w:hint="default" w:ascii="Times New Roman" w:hAnsi="Times New Roman" w:cs="Times New Roman"/>
                      <w:szCs w:val="21"/>
                    </w:rPr>
                    <w:t>和冷凝水箱、定排污扩容器、分气缸等附属设备。</w:t>
                  </w:r>
                </w:p>
              </w:tc>
              <w:tc>
                <w:tcPr>
                  <w:tcW w:w="642" w:type="pct"/>
                  <w:vMerge w:val="restart"/>
                  <w:vAlign w:val="center"/>
                </w:tcPr>
                <w:p>
                  <w:pPr>
                    <w:pStyle w:val="7"/>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施工废水、生活废水、扬尘、施工噪声、建筑垃圾</w:t>
                  </w:r>
                </w:p>
              </w:tc>
              <w:tc>
                <w:tcPr>
                  <w:tcW w:w="739" w:type="pct"/>
                  <w:tcBorders>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废气、废水</w:t>
                  </w:r>
                </w:p>
              </w:tc>
              <w:tc>
                <w:tcPr>
                  <w:tcW w:w="401" w:type="pct"/>
                  <w:tcBorders>
                    <w:bottom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5" w:hRule="atLeast"/>
                <w:jc w:val="center"/>
              </w:trPr>
              <w:tc>
                <w:tcPr>
                  <w:tcW w:w="334" w:type="pct"/>
                  <w:vMerge w:val="continue"/>
                  <w:vAlign w:val="center"/>
                </w:tcPr>
                <w:p>
                  <w:pPr>
                    <w:pStyle w:val="7"/>
                    <w:jc w:val="center"/>
                    <w:rPr>
                      <w:rFonts w:hint="default" w:ascii="Times New Roman" w:hAnsi="Times New Roman" w:cs="Times New Roman" w:eastAsiaTheme="minorEastAsia"/>
                      <w:sz w:val="21"/>
                      <w:szCs w:val="21"/>
                    </w:rPr>
                  </w:pPr>
                </w:p>
              </w:tc>
              <w:tc>
                <w:tcPr>
                  <w:tcW w:w="575" w:type="pct"/>
                  <w:gridSpan w:val="2"/>
                  <w:tcBorders>
                    <w:bottom w:val="single" w:color="auto" w:sz="4" w:space="0"/>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气化炉</w:t>
                  </w:r>
                </w:p>
              </w:tc>
              <w:tc>
                <w:tcPr>
                  <w:tcW w:w="2306" w:type="pct"/>
                  <w:gridSpan w:val="2"/>
                  <w:tcBorders>
                    <w:bottom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生物质燃气锅炉配套</w:t>
                  </w:r>
                  <w:r>
                    <w:rPr>
                      <w:rFonts w:hint="eastAsia" w:ascii="Times New Roman" w:hAnsi="Times New Roman" w:cs="Times New Roman"/>
                      <w:color w:val="auto"/>
                      <w:szCs w:val="21"/>
                      <w:lang w:val="en-US" w:eastAsia="zh-CN"/>
                    </w:rPr>
                    <w:t>设备，位于生物质燃料棚北侧，用于将生物质燃料裂解、气化</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bottom w:val="single" w:color="auto" w:sz="4" w:space="0"/>
                  </w:tcBorders>
                  <w:vAlign w:val="center"/>
                </w:tcPr>
                <w:p>
                  <w:pPr>
                    <w:pStyle w:val="7"/>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废气</w:t>
                  </w:r>
                </w:p>
              </w:tc>
              <w:tc>
                <w:tcPr>
                  <w:tcW w:w="401" w:type="pct"/>
                  <w:tcBorders>
                    <w:bottom w:val="single" w:color="auto" w:sz="4" w:space="0"/>
                  </w:tcBorders>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eastAsiaTheme="minorEastAsia"/>
                      <w:szCs w:val="21"/>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62" w:hRule="atLeast"/>
                <w:jc w:val="center"/>
              </w:trPr>
              <w:tc>
                <w:tcPr>
                  <w:tcW w:w="334" w:type="pct"/>
                  <w:vMerge w:val="continue"/>
                  <w:vAlign w:val="center"/>
                </w:tcPr>
                <w:p>
                  <w:pPr>
                    <w:pStyle w:val="7"/>
                    <w:jc w:val="center"/>
                    <w:rPr>
                      <w:rFonts w:hint="default" w:ascii="Times New Roman" w:hAnsi="Times New Roman" w:cs="Times New Roman" w:eastAsiaTheme="minorEastAsia"/>
                      <w:sz w:val="21"/>
                      <w:szCs w:val="21"/>
                    </w:rPr>
                  </w:pPr>
                </w:p>
              </w:tc>
              <w:tc>
                <w:tcPr>
                  <w:tcW w:w="575" w:type="pct"/>
                  <w:gridSpan w:val="2"/>
                  <w:tcBorders>
                    <w:top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蒸汽、冷凝水管道</w:t>
                  </w:r>
                </w:p>
              </w:tc>
              <w:tc>
                <w:tcPr>
                  <w:tcW w:w="2306" w:type="pct"/>
                  <w:gridSpan w:val="2"/>
                  <w:tcBorders>
                    <w:top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沿</w:t>
                  </w:r>
                  <w:r>
                    <w:rPr>
                      <w:rFonts w:hint="default" w:ascii="Times New Roman" w:hAnsi="Times New Roman" w:cs="Times New Roman"/>
                      <w:color w:val="auto"/>
                      <w:kern w:val="0"/>
                      <w:szCs w:val="21"/>
                      <w:lang w:eastAsia="zh-CN"/>
                    </w:rPr>
                    <w:t>四川鸿鹏新材料有限公司</w:t>
                  </w:r>
                  <w:r>
                    <w:rPr>
                      <w:rFonts w:hint="default" w:ascii="Times New Roman" w:hAnsi="Times New Roman" w:cs="Times New Roman"/>
                      <w:color w:val="auto"/>
                      <w:kern w:val="0"/>
                      <w:szCs w:val="21"/>
                    </w:rPr>
                    <w:t xml:space="preserve">北侧厂房边界敷设，一根蒸汽管道（361.4m） </w:t>
                  </w:r>
                  <w:r>
                    <w:rPr>
                      <w:rFonts w:hint="eastAsia" w:cs="Times New Roman"/>
                      <w:color w:val="auto"/>
                      <w:kern w:val="0"/>
                      <w:szCs w:val="21"/>
                      <w:lang w:eastAsia="zh-CN"/>
                    </w:rPr>
                    <w:t>（</w:t>
                  </w:r>
                  <w:r>
                    <w:rPr>
                      <w:rFonts w:hint="default" w:ascii="Times New Roman" w:hAnsi="Times New Roman" w:cs="Times New Roman"/>
                      <w:color w:val="auto"/>
                      <w:kern w:val="0"/>
                      <w:szCs w:val="21"/>
                    </w:rPr>
                    <w:t>DN200，PN25</w:t>
                  </w:r>
                  <w:r>
                    <w:rPr>
                      <w:rFonts w:hint="eastAsia" w:cs="Times New Roman"/>
                      <w:color w:val="auto"/>
                      <w:kern w:val="0"/>
                      <w:szCs w:val="21"/>
                      <w:lang w:eastAsia="zh-CN"/>
                    </w:rPr>
                    <w:t>）</w:t>
                  </w:r>
                  <w:r>
                    <w:rPr>
                      <w:rFonts w:hint="default" w:ascii="Times New Roman" w:hAnsi="Times New Roman" w:cs="Times New Roman"/>
                      <w:color w:val="auto"/>
                      <w:kern w:val="0"/>
                      <w:szCs w:val="21"/>
                    </w:rPr>
                    <w:t>及一根蒸汽冷凝水管道（361.4m）（DN100，PN10），管道均采用无缝钢管，保护层采用铝合金薄板，保温（冷）层采用玻璃棉毡，管道采用无机富锌底漆防腐。</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top w:val="single" w:color="auto" w:sz="4" w:space="0"/>
                    <w:bottom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废气、噪声</w:t>
                  </w:r>
                </w:p>
              </w:tc>
              <w:tc>
                <w:tcPr>
                  <w:tcW w:w="401" w:type="pct"/>
                  <w:tcBorders>
                    <w:top w:val="single" w:color="auto" w:sz="4" w:space="0"/>
                    <w:bottom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62" w:hRule="atLeast"/>
                <w:jc w:val="center"/>
              </w:trPr>
              <w:tc>
                <w:tcPr>
                  <w:tcW w:w="334" w:type="pct"/>
                  <w:vMerge w:val="continue"/>
                  <w:vAlign w:val="center"/>
                </w:tcPr>
                <w:p>
                  <w:pPr>
                    <w:pStyle w:val="7"/>
                    <w:jc w:val="center"/>
                    <w:rPr>
                      <w:rFonts w:hint="default" w:ascii="Times New Roman" w:hAnsi="Times New Roman" w:cs="Times New Roman" w:eastAsiaTheme="minorEastAsia"/>
                      <w:sz w:val="21"/>
                      <w:szCs w:val="21"/>
                    </w:rPr>
                  </w:pPr>
                </w:p>
              </w:tc>
              <w:tc>
                <w:tcPr>
                  <w:tcW w:w="575" w:type="pct"/>
                  <w:gridSpan w:val="2"/>
                  <w:tcBorders>
                    <w:top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控制室</w:t>
                  </w:r>
                </w:p>
              </w:tc>
              <w:tc>
                <w:tcPr>
                  <w:tcW w:w="2306" w:type="pct"/>
                  <w:gridSpan w:val="2"/>
                  <w:tcBorders>
                    <w:top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szCs w:val="21"/>
                    </w:rPr>
                    <w:t>占地约20m</w:t>
                  </w:r>
                  <w:r>
                    <w:rPr>
                      <w:rFonts w:hint="default" w:ascii="Times New Roman" w:hAnsi="Times New Roman" w:cs="Times New Roman"/>
                      <w:szCs w:val="21"/>
                      <w:vertAlign w:val="superscript"/>
                    </w:rPr>
                    <w:t>2</w:t>
                  </w:r>
                  <w:r>
                    <w:rPr>
                      <w:rFonts w:hint="default" w:ascii="Times New Roman" w:hAnsi="Times New Roman" w:cs="Times New Roman"/>
                      <w:szCs w:val="21"/>
                    </w:rPr>
                    <w:t>，位于</w:t>
                  </w:r>
                  <w:r>
                    <w:rPr>
                      <w:rFonts w:hint="eastAsia" w:ascii="Times New Roman" w:hAnsi="Times New Roman" w:cs="Times New Roman"/>
                      <w:szCs w:val="21"/>
                      <w:lang w:val="en-US" w:eastAsia="zh-CN"/>
                    </w:rPr>
                    <w:t>规划区域中部</w:t>
                  </w:r>
                  <w:r>
                    <w:rPr>
                      <w:rFonts w:hint="default" w:ascii="Times New Roman" w:hAnsi="Times New Roman" w:cs="Times New Roman"/>
                      <w:szCs w:val="21"/>
                    </w:rPr>
                    <w:t>，主要设置设备操作系统。</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top w:val="single" w:color="auto" w:sz="4" w:space="0"/>
                    <w:bottom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401" w:type="pct"/>
                  <w:tcBorders>
                    <w:top w:val="single" w:color="auto" w:sz="4" w:space="0"/>
                    <w:bottom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62" w:hRule="atLeast"/>
                <w:jc w:val="center"/>
              </w:trPr>
              <w:tc>
                <w:tcPr>
                  <w:tcW w:w="334" w:type="pct"/>
                  <w:vMerge w:val="continue"/>
                  <w:vAlign w:val="center"/>
                </w:tcPr>
                <w:p>
                  <w:pPr>
                    <w:pStyle w:val="7"/>
                    <w:jc w:val="center"/>
                    <w:rPr>
                      <w:rFonts w:hint="default" w:ascii="Times New Roman" w:hAnsi="Times New Roman" w:cs="Times New Roman" w:eastAsiaTheme="minorEastAsia"/>
                      <w:sz w:val="21"/>
                      <w:szCs w:val="21"/>
                    </w:rPr>
                  </w:pPr>
                </w:p>
              </w:tc>
              <w:tc>
                <w:tcPr>
                  <w:tcW w:w="575" w:type="pct"/>
                  <w:gridSpan w:val="2"/>
                  <w:tcBorders>
                    <w:top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调压计量站</w:t>
                  </w:r>
                </w:p>
              </w:tc>
              <w:tc>
                <w:tcPr>
                  <w:tcW w:w="2306" w:type="pct"/>
                  <w:gridSpan w:val="2"/>
                  <w:tcBorders>
                    <w:top w:val="single" w:color="auto" w:sz="4" w:space="0"/>
                  </w:tcBorders>
                  <w:vAlign w:val="center"/>
                </w:tcPr>
                <w:p>
                  <w:pPr>
                    <w:jc w:val="center"/>
                    <w:rPr>
                      <w:rFonts w:hint="default"/>
                    </w:rPr>
                  </w:pPr>
                  <w:r>
                    <w:rPr>
                      <w:rFonts w:hint="default" w:ascii="Times New Roman" w:hAnsi="Times New Roman" w:cs="Times New Roman"/>
                      <w:szCs w:val="21"/>
                    </w:rPr>
                    <w:t>占地约50m</w:t>
                  </w:r>
                  <w:r>
                    <w:rPr>
                      <w:rFonts w:hint="default" w:ascii="Times New Roman" w:hAnsi="Times New Roman" w:cs="Times New Roman"/>
                      <w:szCs w:val="21"/>
                      <w:vertAlign w:val="superscript"/>
                    </w:rPr>
                    <w:t>2</w:t>
                  </w:r>
                  <w:r>
                    <w:rPr>
                      <w:rFonts w:hint="default" w:ascii="Times New Roman" w:hAnsi="Times New Roman" w:cs="Times New Roman"/>
                      <w:szCs w:val="21"/>
                    </w:rPr>
                    <w:t>，位于租赁厂房东南侧，设有高、中压调压计量柜各1台。</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top w:val="single" w:color="auto" w:sz="4" w:space="0"/>
                    <w:bottom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401" w:type="pct"/>
                  <w:tcBorders>
                    <w:top w:val="single" w:color="auto" w:sz="4" w:space="0"/>
                    <w:bottom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62" w:hRule="atLeast"/>
                <w:jc w:val="center"/>
              </w:trPr>
              <w:tc>
                <w:tcPr>
                  <w:tcW w:w="334" w:type="pct"/>
                  <w:vAlign w:val="center"/>
                </w:tcPr>
                <w:p>
                  <w:pPr>
                    <w:pStyle w:val="7"/>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仓储工程</w:t>
                  </w:r>
                </w:p>
              </w:tc>
              <w:tc>
                <w:tcPr>
                  <w:tcW w:w="575" w:type="pct"/>
                  <w:gridSpan w:val="2"/>
                  <w:tcBorders>
                    <w:top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生物质燃料棚</w:t>
                  </w:r>
                </w:p>
              </w:tc>
              <w:tc>
                <w:tcPr>
                  <w:tcW w:w="2306" w:type="pct"/>
                  <w:gridSpan w:val="2"/>
                  <w:tcBorders>
                    <w:top w:val="single" w:color="auto" w:sz="4" w:space="0"/>
                  </w:tcBorders>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占地约2</w:t>
                  </w:r>
                  <w:r>
                    <w:rPr>
                      <w:rFonts w:hint="eastAsia" w:ascii="Times New Roman" w:hAnsi="Times New Roman" w:cs="Times New Roman"/>
                      <w:szCs w:val="21"/>
                      <w:lang w:val="en-US" w:eastAsia="zh-CN"/>
                    </w:rPr>
                    <w:t>00</w:t>
                  </w:r>
                  <w:r>
                    <w:rPr>
                      <w:rFonts w:hint="default" w:ascii="Times New Roman" w:hAnsi="Times New Roman" w:cs="Times New Roman"/>
                      <w:szCs w:val="21"/>
                    </w:rPr>
                    <w:t>0m</w:t>
                  </w:r>
                  <w:r>
                    <w:rPr>
                      <w:rFonts w:hint="default" w:ascii="Times New Roman" w:hAnsi="Times New Roman" w:cs="Times New Roman"/>
                      <w:szCs w:val="21"/>
                      <w:vertAlign w:val="superscript"/>
                    </w:rPr>
                    <w:t>2</w:t>
                  </w:r>
                  <w:r>
                    <w:rPr>
                      <w:rFonts w:hint="default" w:ascii="Times New Roman" w:hAnsi="Times New Roman" w:cs="Times New Roman"/>
                      <w:szCs w:val="21"/>
                    </w:rPr>
                    <w:t>，位于</w:t>
                  </w:r>
                  <w:r>
                    <w:rPr>
                      <w:rFonts w:hint="eastAsia" w:ascii="Times New Roman" w:hAnsi="Times New Roman" w:cs="Times New Roman"/>
                      <w:szCs w:val="21"/>
                      <w:lang w:val="en-US" w:eastAsia="zh-CN"/>
                    </w:rPr>
                    <w:t>规划区域东南侧</w:t>
                  </w:r>
                  <w:r>
                    <w:rPr>
                      <w:rFonts w:hint="default" w:ascii="Times New Roman" w:hAnsi="Times New Roman" w:cs="Times New Roman"/>
                      <w:szCs w:val="21"/>
                    </w:rPr>
                    <w:t>，</w:t>
                  </w:r>
                  <w:r>
                    <w:rPr>
                      <w:rFonts w:hint="eastAsia" w:ascii="Times New Roman" w:hAnsi="Times New Roman" w:cs="Times New Roman"/>
                      <w:szCs w:val="21"/>
                      <w:lang w:val="en-US" w:eastAsia="zh-CN"/>
                    </w:rPr>
                    <w:t>用于生物质燃料堆存</w:t>
                  </w:r>
                  <w:r>
                    <w:rPr>
                      <w:rFonts w:hint="default" w:ascii="Times New Roman" w:hAnsi="Times New Roman" w:cs="Times New Roman"/>
                      <w:szCs w:val="21"/>
                    </w:rPr>
                    <w:t>。</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top w:val="single" w:color="auto" w:sz="4" w:space="0"/>
                    <w:bottom w:val="single" w:color="auto" w:sz="4" w:space="0"/>
                  </w:tcBorders>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eastAsiaTheme="minorEastAsia"/>
                      <w:szCs w:val="21"/>
                      <w:lang w:val="en-US" w:eastAsia="zh-CN"/>
                    </w:rPr>
                    <w:t>/</w:t>
                  </w:r>
                </w:p>
              </w:tc>
              <w:tc>
                <w:tcPr>
                  <w:tcW w:w="401" w:type="pct"/>
                  <w:tcBorders>
                    <w:top w:val="single" w:color="auto" w:sz="4" w:space="0"/>
                    <w:bottom w:val="single" w:color="auto" w:sz="4" w:space="0"/>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eastAsiaTheme="minorEastAsia"/>
                      <w:szCs w:val="21"/>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34" w:type="pct"/>
                  <w:vMerge w:val="restart"/>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辅助工程</w:t>
                  </w:r>
                </w:p>
              </w:tc>
              <w:tc>
                <w:tcPr>
                  <w:tcW w:w="575" w:type="pct"/>
                  <w:gridSpan w:val="2"/>
                  <w:tcBorders>
                    <w:bottom w:val="single" w:color="auto" w:sz="4" w:space="0"/>
                  </w:tcBorders>
                  <w:vAlign w:val="center"/>
                </w:tcPr>
                <w:p>
                  <w:pPr>
                    <w:pStyle w:val="7"/>
                    <w:jc w:val="center"/>
                    <w:rPr>
                      <w:rFonts w:hint="default" w:ascii="Times New Roman" w:hAnsi="Times New Roman" w:cs="Times New Roman"/>
                      <w:sz w:val="21"/>
                      <w:szCs w:val="21"/>
                    </w:rPr>
                  </w:pPr>
                  <w:r>
                    <w:rPr>
                      <w:rFonts w:hint="default" w:ascii="Times New Roman" w:hAnsi="Times New Roman" w:cs="Times New Roman"/>
                      <w:sz w:val="21"/>
                      <w:szCs w:val="21"/>
                    </w:rPr>
                    <w:t>柴油发电机房</w:t>
                  </w:r>
                </w:p>
              </w:tc>
              <w:tc>
                <w:tcPr>
                  <w:tcW w:w="2306" w:type="pct"/>
                  <w:gridSpan w:val="2"/>
                  <w:tcBorders>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占地约35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，设有1台柴油发电机，作为停电时备用。</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top w:val="single" w:color="auto" w:sz="4" w:space="0"/>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w:t>
                  </w:r>
                </w:p>
              </w:tc>
              <w:tc>
                <w:tcPr>
                  <w:tcW w:w="401" w:type="pct"/>
                  <w:tcBorders>
                    <w:top w:val="single" w:color="auto" w:sz="4" w:space="0"/>
                    <w:bottom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34" w:type="pct"/>
                  <w:vMerge w:val="continue"/>
                  <w:vAlign w:val="center"/>
                </w:tcPr>
                <w:p>
                  <w:pPr>
                    <w:pStyle w:val="7"/>
                    <w:jc w:val="center"/>
                    <w:rPr>
                      <w:rFonts w:hint="default" w:ascii="Times New Roman" w:hAnsi="Times New Roman" w:cs="Times New Roman" w:eastAsiaTheme="minorEastAsia"/>
                      <w:sz w:val="21"/>
                      <w:szCs w:val="21"/>
                    </w:rPr>
                  </w:pPr>
                </w:p>
              </w:tc>
              <w:tc>
                <w:tcPr>
                  <w:tcW w:w="575" w:type="pct"/>
                  <w:gridSpan w:val="2"/>
                  <w:tcBorders>
                    <w:bottom w:val="single" w:color="auto" w:sz="4" w:space="0"/>
                  </w:tcBorders>
                  <w:vAlign w:val="center"/>
                </w:tcPr>
                <w:p>
                  <w:pPr>
                    <w:pStyle w:val="7"/>
                    <w:jc w:val="center"/>
                    <w:rPr>
                      <w:rFonts w:hint="default" w:ascii="Times New Roman" w:hAnsi="Times New Roman" w:cs="Times New Roman"/>
                      <w:sz w:val="21"/>
                      <w:szCs w:val="21"/>
                    </w:rPr>
                  </w:pPr>
                  <w:r>
                    <w:rPr>
                      <w:rFonts w:hint="default" w:ascii="Times New Roman" w:hAnsi="Times New Roman" w:cs="Times New Roman"/>
                      <w:sz w:val="21"/>
                      <w:szCs w:val="21"/>
                    </w:rPr>
                    <w:t>储油间</w:t>
                  </w:r>
                </w:p>
              </w:tc>
              <w:tc>
                <w:tcPr>
                  <w:tcW w:w="2306" w:type="pct"/>
                  <w:gridSpan w:val="2"/>
                  <w:tcBorders>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占地约5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，暂存备用柴油。</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top w:val="single" w:color="auto" w:sz="4" w:space="0"/>
                    <w:bottom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401" w:type="pct"/>
                  <w:tcBorders>
                    <w:top w:val="single" w:color="auto" w:sz="4" w:space="0"/>
                    <w:bottom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334" w:type="pct"/>
                  <w:vMerge w:val="continue"/>
                  <w:vAlign w:val="center"/>
                </w:tcPr>
                <w:p>
                  <w:pPr>
                    <w:pStyle w:val="7"/>
                    <w:jc w:val="center"/>
                    <w:rPr>
                      <w:rFonts w:hint="default" w:ascii="Times New Roman" w:hAnsi="Times New Roman" w:cs="Times New Roman" w:eastAsiaTheme="minorEastAsia"/>
                      <w:sz w:val="21"/>
                      <w:szCs w:val="21"/>
                    </w:rPr>
                  </w:pPr>
                </w:p>
              </w:tc>
              <w:tc>
                <w:tcPr>
                  <w:tcW w:w="575" w:type="pct"/>
                  <w:gridSpan w:val="2"/>
                  <w:tcBorders>
                    <w:top w:val="single" w:color="auto" w:sz="4" w:space="0"/>
                    <w:bottom w:val="single" w:color="auto" w:sz="4" w:space="0"/>
                  </w:tcBorders>
                  <w:vAlign w:val="center"/>
                </w:tcPr>
                <w:p>
                  <w:pPr>
                    <w:pStyle w:val="7"/>
                    <w:jc w:val="center"/>
                    <w:rPr>
                      <w:rFonts w:hint="default" w:ascii="Times New Roman" w:hAnsi="Times New Roman" w:cs="Times New Roman"/>
                      <w:sz w:val="21"/>
                      <w:szCs w:val="21"/>
                    </w:rPr>
                  </w:pPr>
                  <w:r>
                    <w:rPr>
                      <w:rFonts w:hint="default" w:ascii="Times New Roman" w:hAnsi="Times New Roman" w:cs="Times New Roman"/>
                      <w:sz w:val="21"/>
                      <w:szCs w:val="21"/>
                    </w:rPr>
                    <w:t>配电房</w:t>
                  </w:r>
                </w:p>
              </w:tc>
              <w:tc>
                <w:tcPr>
                  <w:tcW w:w="2306" w:type="pct"/>
                  <w:gridSpan w:val="2"/>
                  <w:tcBorders>
                    <w:top w:val="single" w:color="auto" w:sz="4" w:space="0"/>
                    <w:bottom w:val="single" w:color="auto" w:sz="4" w:space="0"/>
                  </w:tcBorders>
                  <w:vAlign w:val="center"/>
                </w:tcPr>
                <w:p>
                  <w:pPr>
                    <w:pStyle w:val="7"/>
                    <w:jc w:val="center"/>
                    <w:rPr>
                      <w:rFonts w:hint="default" w:ascii="Times New Roman" w:hAnsi="Times New Roman" w:eastAsia="宋体" w:cs="Times New Roman"/>
                      <w:sz w:val="21"/>
                      <w:szCs w:val="21"/>
                      <w:lang w:val="en-US" w:eastAsia="zh-CN"/>
                    </w:rPr>
                  </w:pPr>
                  <w:r>
                    <w:rPr>
                      <w:rFonts w:hint="default" w:ascii="Times New Roman" w:hAnsi="Times New Roman" w:cs="Times New Roman" w:eastAsiaTheme="minorEastAsia"/>
                      <w:sz w:val="21"/>
                      <w:szCs w:val="21"/>
                    </w:rPr>
                    <w:t>占地约20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，位于厂区</w:t>
                  </w:r>
                  <w:r>
                    <w:rPr>
                      <w:rFonts w:hint="eastAsia" w:ascii="Times New Roman" w:hAnsi="Times New Roman" w:cs="Times New Roman"/>
                      <w:sz w:val="21"/>
                      <w:szCs w:val="21"/>
                      <w:lang w:val="en-US" w:eastAsia="zh-CN"/>
                    </w:rPr>
                    <w:t>控制室旁</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top w:val="single" w:color="auto" w:sz="4" w:space="0"/>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w:t>
                  </w:r>
                </w:p>
              </w:tc>
              <w:tc>
                <w:tcPr>
                  <w:tcW w:w="401" w:type="pct"/>
                  <w:tcBorders>
                    <w:top w:val="single" w:color="auto" w:sz="4" w:space="0"/>
                    <w:bottom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334" w:type="pct"/>
                  <w:vMerge w:val="continue"/>
                  <w:vAlign w:val="center"/>
                </w:tcPr>
                <w:p>
                  <w:pPr>
                    <w:pStyle w:val="7"/>
                    <w:jc w:val="center"/>
                    <w:rPr>
                      <w:rFonts w:hint="default" w:ascii="Times New Roman" w:hAnsi="Times New Roman" w:cs="Times New Roman" w:eastAsiaTheme="minorEastAsia"/>
                      <w:sz w:val="21"/>
                      <w:szCs w:val="21"/>
                    </w:rPr>
                  </w:pPr>
                </w:p>
              </w:tc>
              <w:tc>
                <w:tcPr>
                  <w:tcW w:w="575" w:type="pct"/>
                  <w:gridSpan w:val="2"/>
                  <w:tcBorders>
                    <w:top w:val="single" w:color="auto" w:sz="4" w:space="0"/>
                    <w:bottom w:val="single" w:color="auto" w:sz="4" w:space="0"/>
                  </w:tcBorders>
                  <w:vAlign w:val="center"/>
                </w:tcPr>
                <w:p>
                  <w:pPr>
                    <w:pStyle w:val="7"/>
                    <w:jc w:val="center"/>
                    <w:rPr>
                      <w:rFonts w:hint="default" w:ascii="Times New Roman" w:hAnsi="Times New Roman" w:cs="Times New Roman"/>
                      <w:sz w:val="21"/>
                      <w:szCs w:val="21"/>
                    </w:rPr>
                  </w:pPr>
                  <w:r>
                    <w:rPr>
                      <w:rFonts w:hint="default" w:ascii="Times New Roman" w:hAnsi="Times New Roman" w:cs="Times New Roman"/>
                      <w:sz w:val="21"/>
                      <w:szCs w:val="21"/>
                    </w:rPr>
                    <w:t>工具间</w:t>
                  </w:r>
                </w:p>
              </w:tc>
              <w:tc>
                <w:tcPr>
                  <w:tcW w:w="2306" w:type="pct"/>
                  <w:gridSpan w:val="2"/>
                  <w:tcBorders>
                    <w:top w:val="single" w:color="auto" w:sz="4" w:space="0"/>
                    <w:bottom w:val="single" w:color="auto" w:sz="4" w:space="0"/>
                  </w:tcBorders>
                  <w:vAlign w:val="center"/>
                </w:tcPr>
                <w:p>
                  <w:pPr>
                    <w:pStyle w:val="7"/>
                    <w:jc w:val="center"/>
                    <w:rPr>
                      <w:rFonts w:hint="default" w:ascii="Times New Roman" w:hAnsi="Times New Roman" w:cs="Times New Roman"/>
                      <w:sz w:val="21"/>
                      <w:szCs w:val="21"/>
                    </w:rPr>
                  </w:pPr>
                  <w:r>
                    <w:rPr>
                      <w:rFonts w:hint="default" w:ascii="Times New Roman" w:hAnsi="Times New Roman" w:cs="Times New Roman" w:eastAsiaTheme="minorEastAsia"/>
                      <w:sz w:val="21"/>
                      <w:szCs w:val="21"/>
                    </w:rPr>
                    <w:t>占地约20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，存放工具</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top w:val="single" w:color="auto" w:sz="4" w:space="0"/>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401" w:type="pct"/>
                  <w:tcBorders>
                    <w:top w:val="single" w:color="auto" w:sz="4" w:space="0"/>
                    <w:bottom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15" w:hRule="atLeast"/>
                <w:jc w:val="center"/>
              </w:trPr>
              <w:tc>
                <w:tcPr>
                  <w:tcW w:w="334" w:type="pct"/>
                  <w:vMerge w:val="restart"/>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办公及生活设施</w:t>
                  </w:r>
                </w:p>
              </w:tc>
              <w:tc>
                <w:tcPr>
                  <w:tcW w:w="575" w:type="pct"/>
                  <w:gridSpan w:val="2"/>
                  <w:tcBorders>
                    <w:bottom w:val="single" w:color="auto" w:sz="4" w:space="0"/>
                  </w:tcBorders>
                  <w:vAlign w:val="center"/>
                </w:tcPr>
                <w:p>
                  <w:pPr>
                    <w:pStyle w:val="7"/>
                    <w:jc w:val="center"/>
                    <w:rPr>
                      <w:rFonts w:hint="default" w:ascii="Times New Roman" w:hAnsi="Times New Roman" w:cs="Times New Roman"/>
                      <w:sz w:val="21"/>
                      <w:szCs w:val="21"/>
                    </w:rPr>
                  </w:pPr>
                  <w:r>
                    <w:rPr>
                      <w:rFonts w:hint="default" w:ascii="Times New Roman" w:hAnsi="Times New Roman" w:cs="Times New Roman"/>
                      <w:sz w:val="21"/>
                      <w:szCs w:val="21"/>
                    </w:rPr>
                    <w:t>休息室</w:t>
                  </w:r>
                </w:p>
              </w:tc>
              <w:tc>
                <w:tcPr>
                  <w:tcW w:w="2306" w:type="pct"/>
                  <w:gridSpan w:val="2"/>
                  <w:tcBorders>
                    <w:bottom w:val="single" w:color="auto" w:sz="4" w:space="0"/>
                  </w:tcBorders>
                  <w:vAlign w:val="center"/>
                </w:tcPr>
                <w:p>
                  <w:pPr>
                    <w:pStyle w:val="7"/>
                    <w:jc w:val="center"/>
                    <w:rPr>
                      <w:rFonts w:hint="default" w:ascii="Times New Roman" w:hAnsi="Times New Roman" w:cs="Times New Roman"/>
                      <w:sz w:val="21"/>
                      <w:szCs w:val="21"/>
                    </w:rPr>
                  </w:pPr>
                  <w:r>
                    <w:rPr>
                      <w:rFonts w:hint="default" w:ascii="Times New Roman" w:hAnsi="Times New Roman" w:cs="Times New Roman" w:eastAsiaTheme="minorEastAsia"/>
                      <w:sz w:val="21"/>
                      <w:szCs w:val="21"/>
                    </w:rPr>
                    <w:t>依托</w:t>
                  </w:r>
                  <w:r>
                    <w:rPr>
                      <w:rFonts w:hint="default" w:ascii="Times New Roman" w:hAnsi="Times New Roman" w:cs="Times New Roman" w:eastAsiaTheme="minorEastAsia"/>
                      <w:sz w:val="21"/>
                      <w:szCs w:val="21"/>
                      <w:lang w:eastAsia="zh-CN"/>
                    </w:rPr>
                    <w:t>四川鸿鹏新材料有限公司</w:t>
                  </w:r>
                  <w:r>
                    <w:rPr>
                      <w:rFonts w:hint="default" w:ascii="Times New Roman" w:hAnsi="Times New Roman" w:cs="Times New Roman" w:eastAsiaTheme="minorEastAsia"/>
                      <w:sz w:val="21"/>
                      <w:szCs w:val="21"/>
                    </w:rPr>
                    <w:t>所建综合办公楼</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废水、固废</w:t>
                  </w:r>
                </w:p>
              </w:tc>
              <w:tc>
                <w:tcPr>
                  <w:tcW w:w="401" w:type="pct"/>
                  <w:tcBorders>
                    <w:bottom w:val="single" w:color="auto" w:sz="4" w:space="0"/>
                  </w:tcBorders>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lang w:eastAsia="zh-CN"/>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11" w:hRule="atLeast"/>
                <w:jc w:val="center"/>
              </w:trPr>
              <w:tc>
                <w:tcPr>
                  <w:tcW w:w="334" w:type="pct"/>
                  <w:vMerge w:val="continue"/>
                  <w:tcBorders>
                    <w:bottom w:val="single" w:color="auto" w:sz="4" w:space="0"/>
                  </w:tcBorders>
                  <w:vAlign w:val="center"/>
                </w:tcPr>
                <w:p>
                  <w:pPr>
                    <w:pStyle w:val="7"/>
                    <w:jc w:val="center"/>
                    <w:rPr>
                      <w:rFonts w:hint="default" w:ascii="Times New Roman" w:hAnsi="Times New Roman" w:cs="Times New Roman" w:eastAsiaTheme="minorEastAsia"/>
                      <w:sz w:val="21"/>
                      <w:szCs w:val="21"/>
                    </w:rPr>
                  </w:pPr>
                </w:p>
              </w:tc>
              <w:tc>
                <w:tcPr>
                  <w:tcW w:w="575" w:type="pct"/>
                  <w:gridSpan w:val="2"/>
                  <w:tcBorders>
                    <w:top w:val="single" w:color="auto" w:sz="4" w:space="0"/>
                    <w:bottom w:val="single" w:color="auto" w:sz="4" w:space="0"/>
                  </w:tcBorders>
                  <w:vAlign w:val="center"/>
                </w:tcPr>
                <w:p>
                  <w:pPr>
                    <w:pStyle w:val="7"/>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办公</w:t>
                  </w:r>
                  <w:r>
                    <w:rPr>
                      <w:rFonts w:hint="default" w:ascii="Times New Roman" w:hAnsi="Times New Roman" w:cs="Times New Roman"/>
                      <w:sz w:val="21"/>
                      <w:szCs w:val="21"/>
                      <w:lang w:eastAsia="zh-CN"/>
                    </w:rPr>
                    <w:t>楼</w:t>
                  </w:r>
                </w:p>
              </w:tc>
              <w:tc>
                <w:tcPr>
                  <w:tcW w:w="2306" w:type="pct"/>
                  <w:gridSpan w:val="2"/>
                  <w:tcBorders>
                    <w:top w:val="single" w:color="auto" w:sz="4" w:space="0"/>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依托</w:t>
                  </w:r>
                  <w:r>
                    <w:rPr>
                      <w:rFonts w:hint="default" w:ascii="Times New Roman" w:hAnsi="Times New Roman" w:cs="Times New Roman" w:eastAsiaTheme="minorEastAsia"/>
                      <w:sz w:val="21"/>
                      <w:szCs w:val="21"/>
                      <w:lang w:eastAsia="zh-CN"/>
                    </w:rPr>
                    <w:t>四川鸿鹏新材料有限公司</w:t>
                  </w:r>
                  <w:r>
                    <w:rPr>
                      <w:rFonts w:hint="default" w:ascii="Times New Roman" w:hAnsi="Times New Roman" w:cs="Times New Roman" w:eastAsiaTheme="minorEastAsia"/>
                      <w:sz w:val="21"/>
                      <w:szCs w:val="21"/>
                    </w:rPr>
                    <w:t>所建综合办公楼</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top w:val="single" w:color="auto" w:sz="4" w:space="0"/>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废水、固废</w:t>
                  </w:r>
                </w:p>
              </w:tc>
              <w:tc>
                <w:tcPr>
                  <w:tcW w:w="401" w:type="pct"/>
                  <w:tcBorders>
                    <w:top w:val="single" w:color="auto" w:sz="4" w:space="0"/>
                    <w:bottom w:val="single" w:color="auto" w:sz="4" w:space="0"/>
                  </w:tcBorders>
                  <w:vAlign w:val="center"/>
                </w:tcPr>
                <w:p>
                  <w:pPr>
                    <w:jc w:val="center"/>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eastAsia="zh-CN"/>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34" w:type="pct"/>
                  <w:vMerge w:val="restart"/>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公用工程</w:t>
                  </w:r>
                </w:p>
              </w:tc>
              <w:tc>
                <w:tcPr>
                  <w:tcW w:w="575" w:type="pct"/>
                  <w:gridSpan w:val="2"/>
                  <w:tcBorders>
                    <w:bottom w:val="single" w:color="auto" w:sz="4" w:space="0"/>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供电</w:t>
                  </w:r>
                </w:p>
              </w:tc>
              <w:tc>
                <w:tcPr>
                  <w:tcW w:w="2306" w:type="pct"/>
                  <w:gridSpan w:val="2"/>
                  <w:tcBorders>
                    <w:bottom w:val="single" w:color="auto" w:sz="4" w:space="0"/>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szCs w:val="21"/>
                    </w:rPr>
                    <w:t>由园区市政电网接入</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top w:val="single" w:color="auto" w:sz="4" w:space="0"/>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401" w:type="pct"/>
                  <w:tcBorders>
                    <w:top w:val="single" w:color="auto" w:sz="4" w:space="0"/>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334" w:type="pct"/>
                  <w:vMerge w:val="continue"/>
                  <w:vAlign w:val="center"/>
                </w:tcPr>
                <w:p>
                  <w:pPr>
                    <w:pStyle w:val="7"/>
                    <w:jc w:val="center"/>
                    <w:rPr>
                      <w:rFonts w:hint="default" w:ascii="Times New Roman" w:hAnsi="Times New Roman" w:cs="Times New Roman" w:eastAsiaTheme="minorEastAsia"/>
                      <w:sz w:val="21"/>
                      <w:szCs w:val="21"/>
                    </w:rPr>
                  </w:pPr>
                </w:p>
              </w:tc>
              <w:tc>
                <w:tcPr>
                  <w:tcW w:w="575" w:type="pct"/>
                  <w:gridSpan w:val="2"/>
                  <w:tcBorders>
                    <w:top w:val="single" w:color="auto" w:sz="4" w:space="0"/>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szCs w:val="21"/>
                    </w:rPr>
                    <w:t>供水</w:t>
                  </w:r>
                </w:p>
              </w:tc>
              <w:tc>
                <w:tcPr>
                  <w:tcW w:w="2306" w:type="pct"/>
                  <w:gridSpan w:val="2"/>
                  <w:tcBorders>
                    <w:top w:val="single" w:color="auto" w:sz="4" w:space="0"/>
                    <w:bottom w:val="single" w:color="auto" w:sz="4" w:space="0"/>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szCs w:val="21"/>
                    </w:rPr>
                    <w:t>生活用水由园区市政管网接入</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top w:val="single" w:color="auto" w:sz="4" w:space="0"/>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401" w:type="pct"/>
                  <w:tcBorders>
                    <w:top w:val="single" w:color="auto" w:sz="4" w:space="0"/>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334" w:type="pct"/>
                  <w:vMerge w:val="continue"/>
                  <w:vAlign w:val="center"/>
                </w:tcPr>
                <w:p>
                  <w:pPr>
                    <w:pStyle w:val="7"/>
                    <w:jc w:val="center"/>
                    <w:rPr>
                      <w:rFonts w:hint="default" w:ascii="Times New Roman" w:hAnsi="Times New Roman" w:cs="Times New Roman" w:eastAsiaTheme="minorEastAsia"/>
                      <w:sz w:val="21"/>
                      <w:szCs w:val="21"/>
                    </w:rPr>
                  </w:pPr>
                </w:p>
              </w:tc>
              <w:tc>
                <w:tcPr>
                  <w:tcW w:w="575" w:type="pct"/>
                  <w:gridSpan w:val="2"/>
                  <w:tcBorders>
                    <w:top w:val="single" w:color="auto" w:sz="4" w:space="0"/>
                    <w:bottom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排水</w:t>
                  </w:r>
                </w:p>
              </w:tc>
              <w:tc>
                <w:tcPr>
                  <w:tcW w:w="2306" w:type="pct"/>
                  <w:gridSpan w:val="2"/>
                  <w:tcBorders>
                    <w:top w:val="single" w:color="auto" w:sz="4" w:space="0"/>
                    <w:bottom w:val="single" w:color="auto" w:sz="4" w:space="0"/>
                  </w:tcBorders>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rPr>
                    <w:t>园区实行雨污分流，雨水经雨水管网进入市政雨水管网；生活污水及生产废水经预处理池处理后进入</w:t>
                  </w:r>
                  <w:r>
                    <w:rPr>
                      <w:rFonts w:hint="default" w:ascii="Times New Roman" w:hAnsi="Times New Roman" w:cs="Times New Roman"/>
                      <w:szCs w:val="21"/>
                      <w:lang w:eastAsia="zh-CN"/>
                    </w:rPr>
                    <w:t>园区污水管网</w:t>
                  </w:r>
                </w:p>
              </w:tc>
              <w:tc>
                <w:tcPr>
                  <w:tcW w:w="642" w:type="pct"/>
                  <w:vMerge w:val="continue"/>
                  <w:vAlign w:val="center"/>
                </w:tcPr>
                <w:p>
                  <w:pPr>
                    <w:pStyle w:val="7"/>
                    <w:rPr>
                      <w:rFonts w:hint="default" w:ascii="Times New Roman" w:hAnsi="Times New Roman" w:cs="Times New Roman" w:eastAsiaTheme="minorEastAsia"/>
                      <w:sz w:val="21"/>
                      <w:szCs w:val="21"/>
                    </w:rPr>
                  </w:pPr>
                </w:p>
              </w:tc>
              <w:tc>
                <w:tcPr>
                  <w:tcW w:w="739" w:type="pct"/>
                  <w:tcBorders>
                    <w:top w:val="single" w:color="auto" w:sz="4" w:space="0"/>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401" w:type="pct"/>
                  <w:tcBorders>
                    <w:top w:val="single" w:color="auto" w:sz="4" w:space="0"/>
                    <w:bottom w:val="single" w:color="auto" w:sz="4" w:space="0"/>
                  </w:tcBorders>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34" w:type="pct"/>
                  <w:vMerge w:val="restart"/>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环保工程</w:t>
                  </w:r>
                </w:p>
              </w:tc>
              <w:tc>
                <w:tcPr>
                  <w:tcW w:w="575" w:type="pct"/>
                  <w:gridSpan w:val="2"/>
                  <w:vAlign w:val="center"/>
                </w:tcPr>
                <w:p>
                  <w:pPr>
                    <w:widowControl/>
                    <w:jc w:val="center"/>
                    <w:rPr>
                      <w:rFonts w:hint="default" w:ascii="Times New Roman" w:hAnsi="Times New Roman" w:cs="Times New Roman"/>
                      <w:szCs w:val="21"/>
                    </w:rPr>
                  </w:pPr>
                  <w:r>
                    <w:rPr>
                      <w:rFonts w:hint="default" w:ascii="Times New Roman" w:hAnsi="Times New Roman" w:cs="Times New Roman" w:eastAsiaTheme="minorEastAsia"/>
                      <w:szCs w:val="21"/>
                    </w:rPr>
                    <w:t>废水</w:t>
                  </w:r>
                </w:p>
              </w:tc>
              <w:tc>
                <w:tcPr>
                  <w:tcW w:w="2306" w:type="pct"/>
                  <w:gridSpan w:val="2"/>
                  <w:vAlign w:val="center"/>
                </w:tcPr>
                <w:p>
                  <w:pPr>
                    <w:pStyle w:val="2"/>
                    <w:adjustRightInd w:val="0"/>
                    <w:spacing w:before="0" w:after="0" w:line="240" w:lineRule="auto"/>
                    <w:ind w:right="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生活污水、锅炉废水经预处理池（</w:t>
                  </w:r>
                  <w:r>
                    <w:rPr>
                      <w:rFonts w:hint="eastAsia" w:ascii="Times New Roman" w:hAnsi="Times New Roman" w:cs="Times New Roman"/>
                      <w:sz w:val="21"/>
                      <w:szCs w:val="21"/>
                      <w:lang w:val="en-US" w:eastAsia="zh-CN"/>
                    </w:rPr>
                    <w:t>1</w:t>
                  </w:r>
                  <w:r>
                    <w:rPr>
                      <w:rFonts w:hint="default" w:ascii="Times New Roman" w:hAnsi="Times New Roman" w:cs="Times New Roman"/>
                      <w:sz w:val="21"/>
                      <w:szCs w:val="21"/>
                    </w:rPr>
                    <w:t>00m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）处理后，达到排放标准后进入</w:t>
                  </w:r>
                  <w:r>
                    <w:rPr>
                      <w:rFonts w:hint="default" w:ascii="Times New Roman" w:hAnsi="Times New Roman" w:cs="Times New Roman"/>
                      <w:sz w:val="21"/>
                      <w:szCs w:val="21"/>
                      <w:lang w:eastAsia="zh-CN"/>
                    </w:rPr>
                    <w:t>园区污水管网</w:t>
                  </w:r>
                  <w:r>
                    <w:rPr>
                      <w:rFonts w:hint="default" w:ascii="Times New Roman" w:hAnsi="Times New Roman" w:cs="Times New Roman"/>
                      <w:sz w:val="21"/>
                      <w:szCs w:val="21"/>
                    </w:rPr>
                    <w:t>后进入</w:t>
                  </w:r>
                  <w:r>
                    <w:rPr>
                      <w:rFonts w:hint="default" w:ascii="Times New Roman" w:hAnsi="Times New Roman" w:cs="Times New Roman"/>
                      <w:sz w:val="21"/>
                      <w:szCs w:val="21"/>
                      <w:lang w:eastAsia="zh-CN"/>
                    </w:rPr>
                    <w:t>大英工业集中区污水处理厂</w:t>
                  </w:r>
                  <w:r>
                    <w:rPr>
                      <w:rFonts w:hint="default" w:ascii="Times New Roman" w:hAnsi="Times New Roman" w:cs="Times New Roman"/>
                      <w:sz w:val="21"/>
                      <w:szCs w:val="21"/>
                    </w:rPr>
                    <w:t>处理达标排入</w:t>
                  </w:r>
                  <w:r>
                    <w:rPr>
                      <w:rFonts w:hint="default" w:ascii="Times New Roman" w:hAnsi="Times New Roman" w:cs="Times New Roman"/>
                      <w:sz w:val="21"/>
                      <w:szCs w:val="21"/>
                      <w:lang w:eastAsia="zh-CN"/>
                    </w:rPr>
                    <w:t>郪江</w:t>
                  </w:r>
                </w:p>
              </w:tc>
              <w:tc>
                <w:tcPr>
                  <w:tcW w:w="642" w:type="pct"/>
                  <w:vMerge w:val="continue"/>
                  <w:vAlign w:val="center"/>
                </w:tcPr>
                <w:p>
                  <w:pPr>
                    <w:pStyle w:val="7"/>
                    <w:jc w:val="center"/>
                    <w:rPr>
                      <w:rFonts w:hint="default" w:ascii="Times New Roman" w:hAnsi="Times New Roman" w:cs="Times New Roman" w:eastAsiaTheme="minorEastAsia"/>
                      <w:sz w:val="21"/>
                      <w:szCs w:val="21"/>
                    </w:rPr>
                  </w:pPr>
                </w:p>
              </w:tc>
              <w:tc>
                <w:tcPr>
                  <w:tcW w:w="739" w:type="pct"/>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废水</w:t>
                  </w:r>
                </w:p>
              </w:tc>
              <w:tc>
                <w:tcPr>
                  <w:tcW w:w="401"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新建+依托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24" w:hRule="atLeast"/>
                <w:jc w:val="center"/>
              </w:trPr>
              <w:tc>
                <w:tcPr>
                  <w:tcW w:w="334" w:type="pct"/>
                  <w:vMerge w:val="continue"/>
                  <w:vAlign w:val="center"/>
                </w:tcPr>
                <w:p>
                  <w:pPr>
                    <w:pStyle w:val="7"/>
                    <w:jc w:val="center"/>
                    <w:rPr>
                      <w:rFonts w:hint="default" w:ascii="Times New Roman" w:hAnsi="Times New Roman" w:cs="Times New Roman" w:eastAsiaTheme="minorEastAsia"/>
                      <w:sz w:val="21"/>
                      <w:szCs w:val="21"/>
                    </w:rPr>
                  </w:pPr>
                </w:p>
              </w:tc>
              <w:tc>
                <w:tcPr>
                  <w:tcW w:w="575" w:type="pct"/>
                  <w:gridSpan w:val="2"/>
                  <w:vAlign w:val="center"/>
                </w:tcPr>
                <w:p>
                  <w:pPr>
                    <w:widowControl/>
                    <w:jc w:val="center"/>
                    <w:rPr>
                      <w:rFonts w:hint="default" w:ascii="Times New Roman" w:hAnsi="Times New Roman" w:cs="Times New Roman"/>
                      <w:szCs w:val="21"/>
                    </w:rPr>
                  </w:pPr>
                  <w:r>
                    <w:rPr>
                      <w:rFonts w:hint="default" w:ascii="Times New Roman" w:hAnsi="Times New Roman" w:cs="Times New Roman" w:eastAsiaTheme="minorEastAsia"/>
                      <w:szCs w:val="21"/>
                    </w:rPr>
                    <w:t>废气</w:t>
                  </w:r>
                </w:p>
              </w:tc>
              <w:tc>
                <w:tcPr>
                  <w:tcW w:w="2306" w:type="pct"/>
                  <w:gridSpan w:val="2"/>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eastAsia" w:ascii="Times New Roman" w:hAnsi="Times New Roman" w:cs="Times New Roman"/>
                      <w:b/>
                      <w:bCs/>
                      <w:sz w:val="21"/>
                      <w:szCs w:val="21"/>
                      <w:lang w:val="en-US" w:eastAsia="zh-CN"/>
                    </w:rPr>
                    <w:t>锅炉</w:t>
                  </w:r>
                  <w:r>
                    <w:rPr>
                      <w:rFonts w:hint="default" w:ascii="Times New Roman" w:hAnsi="Times New Roman" w:cs="Times New Roman"/>
                      <w:b/>
                      <w:bCs/>
                      <w:sz w:val="21"/>
                      <w:szCs w:val="21"/>
                    </w:rPr>
                    <w:t>燃烧废气：</w:t>
                  </w:r>
                  <w:r>
                    <w:rPr>
                      <w:rFonts w:hint="default" w:ascii="Times New Roman" w:hAnsi="Times New Roman" w:cs="Times New Roman"/>
                      <w:sz w:val="21"/>
                      <w:szCs w:val="21"/>
                    </w:rPr>
                    <w:t>经SCR脱硝+消石灰干法脱硫+旋风布袋除尘器处理后由</w:t>
                  </w:r>
                  <w:r>
                    <w:rPr>
                      <w:rFonts w:hint="eastAsia" w:cs="Times New Roman"/>
                      <w:sz w:val="21"/>
                      <w:szCs w:val="21"/>
                      <w:lang w:eastAsia="zh-CN"/>
                    </w:rPr>
                    <w:t>1根40m高</w:t>
                  </w:r>
                  <w:r>
                    <w:rPr>
                      <w:rFonts w:hint="default" w:ascii="Times New Roman" w:hAnsi="Times New Roman" w:cs="Times New Roman"/>
                      <w:sz w:val="21"/>
                      <w:szCs w:val="21"/>
                    </w:rPr>
                    <w:t>排气筒排放。</w:t>
                  </w:r>
                </w:p>
              </w:tc>
              <w:tc>
                <w:tcPr>
                  <w:tcW w:w="642" w:type="pct"/>
                  <w:vMerge w:val="continue"/>
                  <w:vAlign w:val="center"/>
                </w:tcPr>
                <w:p>
                  <w:pPr>
                    <w:pStyle w:val="7"/>
                    <w:jc w:val="center"/>
                    <w:rPr>
                      <w:rFonts w:hint="default" w:ascii="Times New Roman" w:hAnsi="Times New Roman" w:cs="Times New Roman" w:eastAsiaTheme="minorEastAsia"/>
                      <w:sz w:val="21"/>
                      <w:szCs w:val="21"/>
                    </w:rPr>
                  </w:pPr>
                </w:p>
              </w:tc>
              <w:tc>
                <w:tcPr>
                  <w:tcW w:w="739" w:type="pct"/>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废气</w:t>
                  </w:r>
                </w:p>
              </w:tc>
              <w:tc>
                <w:tcPr>
                  <w:tcW w:w="401" w:type="pct"/>
                  <w:vAlign w:val="center"/>
                </w:tcPr>
                <w:p>
                  <w:pPr>
                    <w:jc w:val="center"/>
                    <w:rPr>
                      <w:rFonts w:hint="default" w:ascii="Times New Roman" w:hAnsi="Times New Roman" w:cs="Times New Roman"/>
                      <w:szCs w:val="21"/>
                    </w:rPr>
                  </w:pPr>
                  <w:r>
                    <w:rPr>
                      <w:rFonts w:hint="default" w:ascii="Times New Roman" w:hAnsi="Times New Roman" w:cs="Times New Roman" w:eastAsiaTheme="minorEastAsia"/>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334" w:type="pct"/>
                  <w:vMerge w:val="continue"/>
                  <w:vAlign w:val="center"/>
                </w:tcPr>
                <w:p>
                  <w:pPr>
                    <w:pStyle w:val="7"/>
                    <w:jc w:val="center"/>
                    <w:rPr>
                      <w:rFonts w:hint="default" w:ascii="Times New Roman" w:hAnsi="Times New Roman" w:cs="Times New Roman" w:eastAsiaTheme="minorEastAsia"/>
                      <w:sz w:val="21"/>
                      <w:szCs w:val="21"/>
                    </w:rPr>
                  </w:pPr>
                </w:p>
              </w:tc>
              <w:tc>
                <w:tcPr>
                  <w:tcW w:w="575" w:type="pct"/>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噪声治理</w:t>
                  </w:r>
                </w:p>
              </w:tc>
              <w:tc>
                <w:tcPr>
                  <w:tcW w:w="2306" w:type="pct"/>
                  <w:gridSpan w:val="2"/>
                  <w:vAlign w:val="center"/>
                </w:tcPr>
                <w:p>
                  <w:pPr>
                    <w:jc w:val="center"/>
                    <w:rPr>
                      <w:rFonts w:hint="default" w:ascii="Times New Roman" w:hAnsi="Times New Roman" w:cs="Times New Roman"/>
                      <w:szCs w:val="21"/>
                    </w:rPr>
                  </w:pPr>
                  <w:r>
                    <w:rPr>
                      <w:rFonts w:hint="default" w:ascii="Times New Roman" w:hAnsi="Times New Roman" w:cs="Times New Roman"/>
                    </w:rPr>
                    <w:t>选用低噪声设备；减震、墙体隔声；加强管理，合理布局</w:t>
                  </w:r>
                </w:p>
              </w:tc>
              <w:tc>
                <w:tcPr>
                  <w:tcW w:w="642" w:type="pct"/>
                  <w:vMerge w:val="continue"/>
                  <w:vAlign w:val="center"/>
                </w:tcPr>
                <w:p>
                  <w:pPr>
                    <w:pStyle w:val="7"/>
                    <w:jc w:val="center"/>
                    <w:rPr>
                      <w:rFonts w:hint="default" w:ascii="Times New Roman" w:hAnsi="Times New Roman" w:cs="Times New Roman" w:eastAsiaTheme="minorEastAsia"/>
                      <w:sz w:val="21"/>
                      <w:szCs w:val="21"/>
                    </w:rPr>
                  </w:pPr>
                </w:p>
              </w:tc>
              <w:tc>
                <w:tcPr>
                  <w:tcW w:w="739" w:type="pct"/>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w:t>
                  </w:r>
                </w:p>
              </w:tc>
              <w:tc>
                <w:tcPr>
                  <w:tcW w:w="401"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043" w:hRule="atLeast"/>
                <w:jc w:val="center"/>
              </w:trPr>
              <w:tc>
                <w:tcPr>
                  <w:tcW w:w="334" w:type="pct"/>
                  <w:vMerge w:val="continue"/>
                  <w:vAlign w:val="center"/>
                </w:tcPr>
                <w:p>
                  <w:pPr>
                    <w:pStyle w:val="7"/>
                    <w:jc w:val="center"/>
                    <w:rPr>
                      <w:rFonts w:hint="default" w:ascii="Times New Roman" w:hAnsi="Times New Roman" w:cs="Times New Roman" w:eastAsiaTheme="minorEastAsia"/>
                      <w:color w:val="FF0000"/>
                      <w:sz w:val="21"/>
                      <w:szCs w:val="21"/>
                    </w:rPr>
                  </w:pPr>
                </w:p>
              </w:tc>
              <w:tc>
                <w:tcPr>
                  <w:tcW w:w="289" w:type="pct"/>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szCs w:val="21"/>
                    </w:rPr>
                    <w:t>固废</w:t>
                  </w:r>
                </w:p>
              </w:tc>
              <w:tc>
                <w:tcPr>
                  <w:tcW w:w="286"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一般固废</w:t>
                  </w:r>
                </w:p>
              </w:tc>
              <w:tc>
                <w:tcPr>
                  <w:tcW w:w="587" w:type="pct"/>
                  <w:vAlign w:val="center"/>
                </w:tcPr>
                <w:p>
                  <w:pPr>
                    <w:jc w:val="center"/>
                    <w:rPr>
                      <w:rFonts w:hint="default" w:ascii="Times New Roman" w:hAnsi="Times New Roman" w:cs="Times New Roman"/>
                    </w:rPr>
                  </w:pPr>
                  <w:r>
                    <w:rPr>
                      <w:rFonts w:hint="default" w:ascii="Times New Roman" w:hAnsi="Times New Roman" w:cs="Times New Roman"/>
                    </w:rPr>
                    <w:t>生活垃圾</w:t>
                  </w:r>
                </w:p>
              </w:tc>
              <w:tc>
                <w:tcPr>
                  <w:tcW w:w="1719" w:type="pct"/>
                  <w:vAlign w:val="center"/>
                </w:tcPr>
                <w:p>
                  <w:pPr>
                    <w:jc w:val="center"/>
                    <w:rPr>
                      <w:rFonts w:hint="default" w:ascii="Times New Roman" w:hAnsi="Times New Roman" w:cs="Times New Roman"/>
                    </w:rPr>
                  </w:pPr>
                  <w:r>
                    <w:rPr>
                      <w:rFonts w:hint="default" w:ascii="Times New Roman" w:hAnsi="Times New Roman" w:cs="Times New Roman"/>
                    </w:rPr>
                    <w:t>收集后由环卫部门定期清运</w:t>
                  </w:r>
                </w:p>
              </w:tc>
              <w:tc>
                <w:tcPr>
                  <w:tcW w:w="642" w:type="pct"/>
                  <w:vMerge w:val="continue"/>
                  <w:vAlign w:val="center"/>
                </w:tcPr>
                <w:p>
                  <w:pPr>
                    <w:pStyle w:val="7"/>
                    <w:jc w:val="center"/>
                    <w:rPr>
                      <w:rFonts w:hint="default" w:ascii="Times New Roman" w:hAnsi="Times New Roman" w:cs="Times New Roman" w:eastAsiaTheme="minorEastAsia"/>
                      <w:sz w:val="21"/>
                      <w:szCs w:val="21"/>
                    </w:rPr>
                  </w:pPr>
                </w:p>
              </w:tc>
              <w:tc>
                <w:tcPr>
                  <w:tcW w:w="739"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固废</w:t>
                  </w:r>
                </w:p>
              </w:tc>
              <w:tc>
                <w:tcPr>
                  <w:tcW w:w="401"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133" w:hRule="atLeast"/>
                <w:jc w:val="center"/>
              </w:trPr>
              <w:tc>
                <w:tcPr>
                  <w:tcW w:w="334" w:type="pct"/>
                  <w:vMerge w:val="continue"/>
                  <w:vAlign w:val="center"/>
                </w:tcPr>
                <w:p>
                  <w:pPr>
                    <w:pStyle w:val="7"/>
                    <w:jc w:val="center"/>
                    <w:rPr>
                      <w:rFonts w:hint="default" w:ascii="Times New Roman" w:hAnsi="Times New Roman" w:cs="Times New Roman" w:eastAsiaTheme="minorEastAsia"/>
                      <w:color w:val="FF0000"/>
                      <w:sz w:val="21"/>
                      <w:szCs w:val="21"/>
                    </w:rPr>
                  </w:pPr>
                </w:p>
              </w:tc>
              <w:tc>
                <w:tcPr>
                  <w:tcW w:w="289" w:type="pct"/>
                  <w:vMerge w:val="continue"/>
                  <w:vAlign w:val="center"/>
                </w:tcPr>
                <w:p>
                  <w:pPr>
                    <w:jc w:val="center"/>
                    <w:rPr>
                      <w:rFonts w:hint="default" w:ascii="Times New Roman" w:hAnsi="Times New Roman" w:cs="Times New Roman"/>
                      <w:color w:val="FF0000"/>
                      <w:szCs w:val="21"/>
                    </w:rPr>
                  </w:pPr>
                </w:p>
              </w:tc>
              <w:tc>
                <w:tcPr>
                  <w:tcW w:w="286"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危险废物</w:t>
                  </w:r>
                </w:p>
              </w:tc>
              <w:tc>
                <w:tcPr>
                  <w:tcW w:w="587" w:type="pct"/>
                  <w:vAlign w:val="center"/>
                </w:tcPr>
                <w:p>
                  <w:pPr>
                    <w:jc w:val="center"/>
                    <w:rPr>
                      <w:rFonts w:hint="default" w:ascii="Times New Roman" w:hAnsi="Times New Roman" w:cs="Times New Roman"/>
                    </w:rPr>
                  </w:pPr>
                  <w:r>
                    <w:rPr>
                      <w:rFonts w:hint="default" w:ascii="Times New Roman" w:hAnsi="Times New Roman" w:cs="Times New Roman"/>
                    </w:rPr>
                    <w:t>危废暂存间</w:t>
                  </w:r>
                </w:p>
              </w:tc>
              <w:tc>
                <w:tcPr>
                  <w:tcW w:w="1719" w:type="pct"/>
                  <w:vAlign w:val="center"/>
                </w:tcPr>
                <w:p>
                  <w:pPr>
                    <w:jc w:val="center"/>
                    <w:rPr>
                      <w:rFonts w:hint="default" w:ascii="Times New Roman" w:hAnsi="Times New Roman" w:cs="Times New Roman"/>
                    </w:rPr>
                  </w:pPr>
                  <w:r>
                    <w:rPr>
                      <w:rFonts w:hint="default" w:ascii="Times New Roman" w:hAnsi="Times New Roman" w:cs="Times New Roman"/>
                      <w:szCs w:val="21"/>
                    </w:rPr>
                    <w:t>位于厂区东南侧，占地约5m</w:t>
                  </w:r>
                  <w:r>
                    <w:rPr>
                      <w:rFonts w:hint="default" w:ascii="Times New Roman" w:hAnsi="Times New Roman" w:cs="Times New Roman"/>
                      <w:szCs w:val="21"/>
                      <w:vertAlign w:val="superscript"/>
                    </w:rPr>
                    <w:t>2</w:t>
                  </w:r>
                  <w:r>
                    <w:rPr>
                      <w:rFonts w:hint="default" w:ascii="Times New Roman" w:hAnsi="Times New Roman" w:cs="Times New Roman"/>
                      <w:szCs w:val="21"/>
                    </w:rPr>
                    <w:t>，采取“三防”措施并设立标识标牌，危险废物经分类收集后交有资质单位进行处理。</w:t>
                  </w:r>
                </w:p>
              </w:tc>
              <w:tc>
                <w:tcPr>
                  <w:tcW w:w="642" w:type="pct"/>
                  <w:vMerge w:val="continue"/>
                  <w:vAlign w:val="center"/>
                </w:tcPr>
                <w:p>
                  <w:pPr>
                    <w:pStyle w:val="7"/>
                    <w:jc w:val="center"/>
                    <w:rPr>
                      <w:rFonts w:hint="default" w:ascii="Times New Roman" w:hAnsi="Times New Roman" w:cs="Times New Roman" w:eastAsiaTheme="minorEastAsia"/>
                      <w:sz w:val="21"/>
                      <w:szCs w:val="21"/>
                    </w:rPr>
                  </w:pPr>
                </w:p>
              </w:tc>
              <w:tc>
                <w:tcPr>
                  <w:tcW w:w="739" w:type="pct"/>
                  <w:vAlign w:val="center"/>
                </w:tcPr>
                <w:p>
                  <w:pPr>
                    <w:pStyle w:val="7"/>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危废</w:t>
                  </w:r>
                </w:p>
              </w:tc>
              <w:tc>
                <w:tcPr>
                  <w:tcW w:w="401" w:type="pct"/>
                  <w:vAlign w:val="center"/>
                </w:tcPr>
                <w:p>
                  <w:pPr>
                    <w:jc w:val="center"/>
                    <w:rPr>
                      <w:rFonts w:hint="eastAsia" w:ascii="Times New Roman" w:hAnsi="Times New Roman" w:cs="Times New Roman" w:eastAsiaTheme="minorEastAsia"/>
                      <w:szCs w:val="21"/>
                      <w:lang w:eastAsia="zh-CN"/>
                    </w:rPr>
                  </w:pPr>
                  <w:r>
                    <w:rPr>
                      <w:rFonts w:hint="eastAsia" w:cs="Times New Roman" w:eastAsiaTheme="minorEastAsia"/>
                      <w:szCs w:val="21"/>
                      <w:lang w:val="en-US" w:eastAsia="zh-CN"/>
                    </w:rPr>
                    <w:t>依托</w:t>
                  </w:r>
                </w:p>
              </w:tc>
            </w:tr>
          </w:tbl>
          <w:p>
            <w:pPr>
              <w:pStyle w:val="22"/>
              <w:spacing w:line="360" w:lineRule="auto"/>
              <w:ind w:firstLine="482"/>
              <w:rPr>
                <w:rFonts w:hint="default" w:ascii="Times New Roman" w:hAnsi="Times New Roman" w:cs="Times New Roman" w:eastAsiaTheme="minorEastAsia"/>
              </w:rPr>
            </w:pPr>
            <w:r>
              <w:rPr>
                <w:rFonts w:hint="default" w:ascii="Times New Roman" w:hAnsi="Times New Roman" w:cs="Times New Roman" w:eastAsiaTheme="minorEastAsia"/>
              </w:rPr>
              <w:t>4、主要设备</w:t>
            </w:r>
          </w:p>
          <w:p>
            <w:pPr>
              <w:pStyle w:val="7"/>
              <w:widowControl/>
              <w:spacing w:line="360" w:lineRule="auto"/>
              <w:ind w:firstLine="48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项目运营期主要设备清单见表2-</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w:t>
            </w:r>
          </w:p>
          <w:p>
            <w:pPr>
              <w:pStyle w:val="4"/>
              <w:spacing w:before="0" w:after="0" w:line="360" w:lineRule="auto"/>
              <w:ind w:firstLine="422"/>
              <w:jc w:val="center"/>
              <w:rPr>
                <w:rFonts w:hint="default" w:ascii="Times New Roman" w:hAnsi="Times New Roman" w:eastAsia="宋体" w:cs="Times New Roman"/>
                <w:bCs w:val="0"/>
                <w:sz w:val="21"/>
                <w:szCs w:val="21"/>
              </w:rPr>
            </w:pPr>
            <w:r>
              <w:rPr>
                <w:rFonts w:hint="default" w:ascii="Times New Roman" w:hAnsi="Times New Roman" w:eastAsia="宋体" w:cs="Times New Roman"/>
                <w:bCs w:val="0"/>
                <w:sz w:val="21"/>
                <w:szCs w:val="21"/>
              </w:rPr>
              <w:t>表2-</w:t>
            </w:r>
            <w:r>
              <w:rPr>
                <w:rFonts w:hint="eastAsia" w:ascii="Times New Roman" w:hAnsi="Times New Roman" w:eastAsia="宋体" w:cs="Times New Roman"/>
                <w:bCs w:val="0"/>
                <w:sz w:val="21"/>
                <w:szCs w:val="21"/>
                <w:lang w:val="en-US" w:eastAsia="zh-CN"/>
              </w:rPr>
              <w:t>3</w:t>
            </w:r>
            <w:r>
              <w:rPr>
                <w:rFonts w:hint="default" w:ascii="Times New Roman" w:hAnsi="Times New Roman" w:eastAsia="宋体" w:cs="Times New Roman"/>
                <w:bCs w:val="0"/>
                <w:sz w:val="21"/>
                <w:szCs w:val="21"/>
              </w:rPr>
              <w:t xml:space="preserve"> 本项目运营期主要设备</w:t>
            </w:r>
          </w:p>
          <w:tbl>
            <w:tblPr>
              <w:tblStyle w:val="2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24"/>
              <w:gridCol w:w="2084"/>
              <w:gridCol w:w="2489"/>
              <w:gridCol w:w="1215"/>
              <w:gridCol w:w="157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1024" w:type="dxa"/>
                  <w:tcBorders>
                    <w:top w:val="single" w:color="000000" w:sz="12"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b/>
                      <w:bCs/>
                      <w:color w:val="000000"/>
                      <w:sz w:val="21"/>
                      <w:szCs w:val="21"/>
                    </w:rPr>
                  </w:pPr>
                  <w:r>
                    <w:rPr>
                      <w:rStyle w:val="96"/>
                      <w:rFonts w:hint="default" w:ascii="Times New Roman" w:hAnsi="Times New Roman" w:cs="Times New Roman"/>
                      <w:b/>
                      <w:bCs/>
                      <w:color w:val="000000"/>
                      <w:sz w:val="21"/>
                      <w:szCs w:val="21"/>
                    </w:rPr>
                    <w:t>序号</w:t>
                  </w:r>
                </w:p>
              </w:tc>
              <w:tc>
                <w:tcPr>
                  <w:tcW w:w="2084"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b/>
                      <w:bCs/>
                      <w:color w:val="000000"/>
                      <w:sz w:val="21"/>
                      <w:szCs w:val="21"/>
                    </w:rPr>
                  </w:pPr>
                  <w:r>
                    <w:rPr>
                      <w:rStyle w:val="96"/>
                      <w:rFonts w:hint="default" w:ascii="Times New Roman" w:hAnsi="Times New Roman" w:cs="Times New Roman"/>
                      <w:b/>
                      <w:bCs/>
                      <w:color w:val="000000"/>
                      <w:sz w:val="21"/>
                      <w:szCs w:val="21"/>
                    </w:rPr>
                    <w:t>名称</w:t>
                  </w:r>
                </w:p>
              </w:tc>
              <w:tc>
                <w:tcPr>
                  <w:tcW w:w="2489"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b/>
                      <w:bCs/>
                      <w:color w:val="000000"/>
                      <w:sz w:val="21"/>
                      <w:szCs w:val="21"/>
                    </w:rPr>
                  </w:pPr>
                  <w:r>
                    <w:rPr>
                      <w:rStyle w:val="96"/>
                      <w:rFonts w:hint="default" w:ascii="Times New Roman" w:hAnsi="Times New Roman" w:cs="Times New Roman"/>
                      <w:b/>
                      <w:bCs/>
                      <w:color w:val="000000"/>
                      <w:sz w:val="21"/>
                      <w:szCs w:val="21"/>
                    </w:rPr>
                    <w:t>规格/型号</w:t>
                  </w:r>
                </w:p>
              </w:tc>
              <w:tc>
                <w:tcPr>
                  <w:tcW w:w="1215"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b/>
                      <w:bCs/>
                      <w:color w:val="000000"/>
                      <w:sz w:val="21"/>
                      <w:szCs w:val="21"/>
                    </w:rPr>
                  </w:pPr>
                  <w:r>
                    <w:rPr>
                      <w:rStyle w:val="96"/>
                      <w:rFonts w:hint="default" w:ascii="Times New Roman" w:hAnsi="Times New Roman" w:cs="Times New Roman"/>
                      <w:b/>
                      <w:bCs/>
                      <w:color w:val="000000"/>
                      <w:sz w:val="21"/>
                      <w:szCs w:val="21"/>
                    </w:rPr>
                    <w:t>数量</w:t>
                  </w:r>
                </w:p>
              </w:tc>
              <w:tc>
                <w:tcPr>
                  <w:tcW w:w="1577" w:type="dxa"/>
                  <w:tcBorders>
                    <w:top w:val="single" w:color="000000" w:sz="12" w:space="0"/>
                    <w:left w:val="single" w:color="000000" w:sz="4" w:space="0"/>
                    <w:bottom w:val="single" w:color="000000" w:sz="4" w:space="0"/>
                    <w:right w:val="nil"/>
                  </w:tcBorders>
                  <w:vAlign w:val="center"/>
                </w:tcPr>
                <w:p>
                  <w:pPr>
                    <w:jc w:val="center"/>
                    <w:textAlignment w:val="baseline"/>
                    <w:rPr>
                      <w:rStyle w:val="96"/>
                      <w:rFonts w:hint="default" w:ascii="Times New Roman" w:hAnsi="Times New Roman" w:cs="Times New Roman"/>
                      <w:b/>
                      <w:bCs/>
                      <w:color w:val="000000"/>
                      <w:sz w:val="21"/>
                      <w:szCs w:val="21"/>
                    </w:rPr>
                  </w:pPr>
                  <w:r>
                    <w:rPr>
                      <w:rStyle w:val="96"/>
                      <w:rFonts w:hint="default" w:ascii="Times New Roman" w:hAnsi="Times New Roman" w:cs="Times New Roman"/>
                      <w:b/>
                      <w:bCs/>
                      <w:color w:val="000000"/>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8" w:hRule="atLeast"/>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rPr>
                  </w:pPr>
                  <w:r>
                    <w:rPr>
                      <w:rStyle w:val="96"/>
                      <w:rFonts w:hint="default" w:ascii="Times New Roman" w:hAnsi="Times New Roman" w:cs="Times New Roman"/>
                      <w:sz w:val="21"/>
                      <w:szCs w:val="21"/>
                    </w:rPr>
                    <w:t>1</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sz w:val="21"/>
                      <w:szCs w:val="21"/>
                    </w:rPr>
                  </w:pPr>
                  <w:r>
                    <w:rPr>
                      <w:rFonts w:hint="default" w:ascii="Times New Roman" w:hAnsi="Times New Roman" w:cs="Times New Roman"/>
                      <w:sz w:val="21"/>
                      <w:szCs w:val="21"/>
                      <w:lang w:val="zh-CN"/>
                    </w:rPr>
                    <w:t>锅炉主机</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color w:val="000000"/>
                      <w:sz w:val="21"/>
                      <w:szCs w:val="21"/>
                      <w:lang w:val="en-US"/>
                    </w:rPr>
                  </w:pPr>
                  <w:r>
                    <w:rPr>
                      <w:rFonts w:hint="eastAsia" w:ascii="Times New Roman" w:hAnsi="Times New Roman" w:eastAsia="宋体" w:cs="Times New Roman"/>
                      <w:color w:val="auto"/>
                      <w:sz w:val="21"/>
                      <w:szCs w:val="21"/>
                      <w:highlight w:val="none"/>
                      <w:lang w:val="en-US" w:eastAsia="zh-CN"/>
                    </w:rPr>
                    <w:t>SHS-12-2.45-Q</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color w:val="000000"/>
                      <w:sz w:val="21"/>
                      <w:szCs w:val="21"/>
                    </w:rPr>
                  </w:pPr>
                  <w:r>
                    <w:rPr>
                      <w:rFonts w:hint="default" w:ascii="Times New Roman" w:hAnsi="Times New Roman" w:cs="Times New Roman"/>
                      <w:sz w:val="21"/>
                      <w:szCs w:val="21"/>
                      <w:lang w:val="en-US" w:eastAsia="zh-CN"/>
                    </w:rPr>
                    <w:t>1</w:t>
                  </w:r>
                  <w:r>
                    <w:rPr>
                      <w:rFonts w:hint="default" w:ascii="Times New Roman" w:hAnsi="Times New Roman" w:cs="Times New Roman"/>
                      <w:sz w:val="21"/>
                      <w:szCs w:val="21"/>
                      <w:lang w:val="zh-CN"/>
                    </w:rPr>
                    <w:t>台</w:t>
                  </w:r>
                </w:p>
              </w:tc>
              <w:tc>
                <w:tcPr>
                  <w:tcW w:w="1577" w:type="dxa"/>
                  <w:tcBorders>
                    <w:top w:val="single" w:color="000000" w:sz="4" w:space="0"/>
                    <w:left w:val="single" w:color="000000" w:sz="4" w:space="0"/>
                    <w:right w:val="nil"/>
                  </w:tcBorders>
                  <w:vAlign w:val="center"/>
                </w:tcPr>
                <w:p>
                  <w:pPr>
                    <w:jc w:val="center"/>
                    <w:textAlignment w:val="baseline"/>
                    <w:rPr>
                      <w:rStyle w:val="96"/>
                      <w:rFonts w:hint="default" w:ascii="Times New Roman" w:hAnsi="Times New Roman" w:cs="Times New Roman"/>
                      <w:color w:val="000000"/>
                      <w:sz w:val="21"/>
                      <w:szCs w:val="21"/>
                      <w:lang w:val="en-US"/>
                    </w:rPr>
                  </w:pPr>
                  <w:r>
                    <w:rPr>
                      <w:rStyle w:val="96"/>
                      <w:rFonts w:hint="default" w:ascii="Times New Roman" w:hAnsi="Times New Roman" w:cs="Times New Roman"/>
                      <w:color w:val="000000"/>
                      <w:sz w:val="21"/>
                      <w:szCs w:val="21"/>
                      <w:lang w:val="en-US"/>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rPr>
                  </w:pPr>
                  <w:r>
                    <w:rPr>
                      <w:rStyle w:val="96"/>
                      <w:rFonts w:hint="default" w:ascii="Times New Roman" w:hAnsi="Times New Roman" w:cs="Times New Roman"/>
                      <w:sz w:val="21"/>
                      <w:szCs w:val="21"/>
                    </w:rPr>
                    <w:t>2</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气化炉</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color w:val="000000"/>
                      <w:sz w:val="21"/>
                      <w:szCs w:val="21"/>
                      <w:lang w:val="en-US"/>
                    </w:rPr>
                  </w:pPr>
                  <w:r>
                    <w:rPr>
                      <w:rStyle w:val="96"/>
                      <w:rFonts w:hint="eastAsia"/>
                      <w:sz w:val="21"/>
                      <w:szCs w:val="21"/>
                      <w:lang w:val="en-US"/>
                    </w:rPr>
                    <w:t>12000LXQ3750-BPF</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color w:val="000000"/>
                      <w:sz w:val="21"/>
                      <w:szCs w:val="21"/>
                    </w:rPr>
                  </w:pP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套</w:t>
                  </w:r>
                </w:p>
              </w:tc>
              <w:tc>
                <w:tcPr>
                  <w:tcW w:w="1577" w:type="dxa"/>
                  <w:tcBorders>
                    <w:left w:val="single" w:color="000000" w:sz="4" w:space="0"/>
                    <w:right w:val="nil"/>
                  </w:tcBorders>
                  <w:vAlign w:val="center"/>
                </w:tcPr>
                <w:p>
                  <w:pPr>
                    <w:jc w:val="center"/>
                    <w:textAlignment w:val="baseline"/>
                    <w:rPr>
                      <w:rStyle w:val="96"/>
                      <w:rFonts w:hint="default" w:ascii="Times New Roman" w:hAnsi="Times New Roman" w:cs="Times New Roman"/>
                      <w:color w:val="000000"/>
                      <w:sz w:val="21"/>
                      <w:szCs w:val="21"/>
                    </w:rPr>
                  </w:pPr>
                  <w:r>
                    <w:rPr>
                      <w:rStyle w:val="96"/>
                      <w:rFonts w:hint="default" w:ascii="Times New Roman" w:hAnsi="Times New Roman" w:cs="Times New Roman"/>
                      <w:color w:val="000000"/>
                      <w:sz w:val="21"/>
                      <w:szCs w:val="21"/>
                      <w:lang w:val="en-US"/>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rPr>
                  </w:pPr>
                  <w:r>
                    <w:rPr>
                      <w:rStyle w:val="96"/>
                      <w:rFonts w:hint="default" w:ascii="Times New Roman" w:hAnsi="Times New Roman" w:cs="Times New Roman"/>
                      <w:sz w:val="21"/>
                      <w:szCs w:val="21"/>
                    </w:rPr>
                    <w:t>3</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sz w:val="21"/>
                      <w:szCs w:val="21"/>
                      <w:lang w:val="en-US"/>
                    </w:rPr>
                  </w:pPr>
                  <w:r>
                    <w:rPr>
                      <w:rStyle w:val="96"/>
                      <w:rFonts w:hint="default" w:ascii="Times New Roman" w:hAnsi="Times New Roman" w:cs="Times New Roman"/>
                      <w:sz w:val="21"/>
                      <w:szCs w:val="21"/>
                      <w:lang w:val="en-US"/>
                    </w:rPr>
                    <w:t>烟气处理装置</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color w:val="000000"/>
                      <w:sz w:val="21"/>
                      <w:szCs w:val="21"/>
                    </w:rPr>
                  </w:pPr>
                  <w:r>
                    <w:rPr>
                      <w:rStyle w:val="96"/>
                      <w:rFonts w:hint="default" w:ascii="Times New Roman" w:hAnsi="Times New Roman" w:cs="Times New Roman"/>
                      <w:color w:val="000000"/>
                      <w:sz w:val="21"/>
                      <w:szCs w:val="21"/>
                    </w:rPr>
                    <w:t>SCR脱硝反应器</w:t>
                  </w:r>
                  <w:r>
                    <w:rPr>
                      <w:rStyle w:val="96"/>
                      <w:rFonts w:hint="default" w:ascii="Times New Roman" w:hAnsi="Times New Roman" w:cs="Times New Roman"/>
                      <w:color w:val="000000"/>
                      <w:sz w:val="21"/>
                      <w:szCs w:val="21"/>
                      <w:lang w:val="en-US"/>
                    </w:rPr>
                    <w:t>+</w:t>
                  </w:r>
                  <w:r>
                    <w:rPr>
                      <w:rStyle w:val="96"/>
                      <w:rFonts w:hint="default" w:ascii="Times New Roman" w:hAnsi="Times New Roman" w:cs="Times New Roman"/>
                      <w:color w:val="000000"/>
                      <w:sz w:val="21"/>
                      <w:szCs w:val="21"/>
                    </w:rPr>
                    <w:t>喷射消石灰干法脱硫+布袋除尘器</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color w:val="000000"/>
                      <w:sz w:val="21"/>
                      <w:szCs w:val="21"/>
                      <w:lang w:val="en-US"/>
                    </w:rPr>
                  </w:pPr>
                  <w:r>
                    <w:rPr>
                      <w:rStyle w:val="96"/>
                      <w:rFonts w:hint="default" w:ascii="Times New Roman" w:hAnsi="Times New Roman" w:cs="Times New Roman"/>
                      <w:color w:val="000000"/>
                      <w:sz w:val="21"/>
                      <w:szCs w:val="21"/>
                      <w:lang w:val="en-US"/>
                    </w:rPr>
                    <w:t>1套</w:t>
                  </w:r>
                </w:p>
              </w:tc>
              <w:tc>
                <w:tcPr>
                  <w:tcW w:w="1577" w:type="dxa"/>
                  <w:tcBorders>
                    <w:left w:val="single" w:color="000000" w:sz="4" w:space="0"/>
                    <w:right w:val="nil"/>
                  </w:tcBorders>
                  <w:vAlign w:val="center"/>
                </w:tcPr>
                <w:p>
                  <w:pPr>
                    <w:jc w:val="center"/>
                    <w:textAlignment w:val="baseline"/>
                    <w:rPr>
                      <w:rStyle w:val="96"/>
                      <w:rFonts w:hint="default" w:ascii="Times New Roman" w:hAnsi="Times New Roman" w:cs="Times New Roman"/>
                      <w:color w:val="000000"/>
                      <w:sz w:val="21"/>
                      <w:szCs w:val="21"/>
                    </w:rPr>
                  </w:pPr>
                  <w:r>
                    <w:rPr>
                      <w:rStyle w:val="96"/>
                      <w:rFonts w:hint="default" w:ascii="Times New Roman" w:hAnsi="Times New Roman" w:cs="Times New Roman"/>
                      <w:color w:val="000000"/>
                      <w:sz w:val="21"/>
                      <w:szCs w:val="21"/>
                      <w:lang w:val="en-US"/>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rPr>
                  </w:pPr>
                  <w:r>
                    <w:rPr>
                      <w:rStyle w:val="96"/>
                      <w:rFonts w:hint="default" w:ascii="Times New Roman" w:hAnsi="Times New Roman" w:cs="Times New Roman"/>
                      <w:sz w:val="21"/>
                      <w:szCs w:val="21"/>
                    </w:rPr>
                    <w:t>4</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给水泵</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sz w:val="21"/>
                      <w:szCs w:val="21"/>
                      <w:lang w:val="en-US"/>
                    </w:rPr>
                  </w:pPr>
                  <w:r>
                    <w:rPr>
                      <w:rStyle w:val="96"/>
                      <w:rFonts w:hint="default" w:ascii="Times New Roman" w:hAnsi="Times New Roman" w:cs="Times New Roman"/>
                      <w:sz w:val="21"/>
                      <w:szCs w:val="21"/>
                    </w:rPr>
                    <w:t>AS32-150</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2</w:t>
                  </w:r>
                  <w:r>
                    <w:rPr>
                      <w:rFonts w:hint="default" w:ascii="Times New Roman" w:hAnsi="Times New Roman" w:cs="Times New Roman"/>
                      <w:sz w:val="21"/>
                      <w:szCs w:val="21"/>
                      <w:lang w:val="en-US" w:eastAsia="zh-CN"/>
                    </w:rPr>
                    <w:t>台</w:t>
                  </w:r>
                </w:p>
              </w:tc>
              <w:tc>
                <w:tcPr>
                  <w:tcW w:w="1577" w:type="dxa"/>
                  <w:tcBorders>
                    <w:left w:val="single" w:color="000000" w:sz="4" w:space="0"/>
                    <w:right w:val="nil"/>
                  </w:tcBorders>
                  <w:vAlign w:val="center"/>
                </w:tcPr>
                <w:p>
                  <w:pPr>
                    <w:jc w:val="center"/>
                    <w:textAlignment w:val="baseline"/>
                    <w:rPr>
                      <w:rStyle w:val="96"/>
                      <w:rFonts w:hint="default" w:ascii="Times New Roman" w:hAnsi="Times New Roman" w:cs="Times New Roman"/>
                      <w:sz w:val="21"/>
                      <w:szCs w:val="21"/>
                    </w:rPr>
                  </w:pPr>
                  <w:r>
                    <w:rPr>
                      <w:rStyle w:val="96"/>
                      <w:rFonts w:hint="default" w:ascii="Times New Roman" w:hAnsi="Times New Roman" w:cs="Times New Roman"/>
                      <w:sz w:val="21"/>
                      <w:szCs w:val="21"/>
                      <w:lang w:val="en-US"/>
                    </w:rPr>
                    <w:t>一用一备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rPr>
                  </w:pPr>
                  <w:r>
                    <w:rPr>
                      <w:rStyle w:val="96"/>
                      <w:rFonts w:hint="default" w:ascii="Times New Roman" w:hAnsi="Times New Roman" w:cs="Times New Roman"/>
                      <w:sz w:val="21"/>
                      <w:szCs w:val="21"/>
                    </w:rPr>
                    <w:t>5</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疏水系统</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sz w:val="21"/>
                      <w:szCs w:val="21"/>
                      <w:lang w:val="en-US"/>
                    </w:rPr>
                  </w:pPr>
                  <w:r>
                    <w:rPr>
                      <w:rStyle w:val="96"/>
                      <w:rFonts w:hint="default" w:ascii="Times New Roman" w:hAnsi="Times New Roman" w:cs="Times New Roman"/>
                      <w:sz w:val="21"/>
                      <w:szCs w:val="21"/>
                      <w:lang w:val="en-US"/>
                    </w:rPr>
                    <w:t>疏水箱+疏水泵</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套</w:t>
                  </w:r>
                </w:p>
              </w:tc>
              <w:tc>
                <w:tcPr>
                  <w:tcW w:w="1577" w:type="dxa"/>
                  <w:tcBorders>
                    <w:left w:val="single" w:color="000000" w:sz="4" w:space="0"/>
                    <w:right w:val="nil"/>
                  </w:tcBorders>
                  <w:vAlign w:val="center"/>
                </w:tcPr>
                <w:p>
                  <w:pPr>
                    <w:jc w:val="center"/>
                    <w:textAlignment w:val="baseline"/>
                    <w:rPr>
                      <w:rStyle w:val="96"/>
                      <w:rFonts w:hint="default" w:ascii="Times New Roman" w:hAnsi="Times New Roman" w:cs="Times New Roman"/>
                      <w:sz w:val="21"/>
                      <w:szCs w:val="21"/>
                      <w:lang w:val="en-US"/>
                    </w:rPr>
                  </w:pPr>
                  <w:r>
                    <w:rPr>
                      <w:rStyle w:val="96"/>
                      <w:rFonts w:hint="default" w:ascii="Times New Roman" w:hAnsi="Times New Roman" w:cs="Times New Roman"/>
                      <w:sz w:val="21"/>
                      <w:szCs w:val="21"/>
                      <w:lang w:val="en-US"/>
                    </w:rPr>
                    <w:t>一用一备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lang w:val="en-US"/>
                    </w:rPr>
                  </w:pPr>
                  <w:r>
                    <w:rPr>
                      <w:rStyle w:val="96"/>
                      <w:rFonts w:hint="default" w:ascii="Times New Roman" w:hAnsi="Times New Roman" w:cs="Times New Roman"/>
                      <w:sz w:val="21"/>
                      <w:szCs w:val="21"/>
                      <w:lang w:val="en-US"/>
                    </w:rPr>
                    <w:t>6</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sz w:val="21"/>
                      <w:szCs w:val="21"/>
                    </w:rPr>
                  </w:pPr>
                  <w:r>
                    <w:rPr>
                      <w:rFonts w:hint="default" w:ascii="Times New Roman" w:hAnsi="Times New Roman" w:cs="Times New Roman"/>
                      <w:sz w:val="21"/>
                      <w:szCs w:val="21"/>
                      <w:lang w:val="en-US" w:eastAsia="zh-CN"/>
                    </w:rPr>
                    <w:t>配</w:t>
                  </w:r>
                  <w:r>
                    <w:rPr>
                      <w:rFonts w:hint="default" w:ascii="Times New Roman" w:hAnsi="Times New Roman" w:cs="Times New Roman"/>
                      <w:sz w:val="21"/>
                      <w:szCs w:val="21"/>
                      <w:lang w:val="zh-CN"/>
                    </w:rPr>
                    <w:t>汽缸</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sz w:val="21"/>
                      <w:szCs w:val="21"/>
                      <w:lang w:val="en-US"/>
                    </w:rPr>
                  </w:pPr>
                  <w:r>
                    <w:rPr>
                      <w:rStyle w:val="96"/>
                      <w:rFonts w:hint="eastAsia" w:ascii="Times New Roman" w:hAnsi="Times New Roman" w:cs="Times New Roman"/>
                      <w:sz w:val="21"/>
                      <w:szCs w:val="21"/>
                      <w:lang w:val="en-US"/>
                    </w:rPr>
                    <w:t>DN800</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Style w:val="96"/>
                      <w:rFonts w:hint="default" w:ascii="Times New Roman" w:hAnsi="Times New Roman" w:cs="Times New Roman"/>
                      <w:sz w:val="21"/>
                      <w:szCs w:val="21"/>
                    </w:rPr>
                  </w:pPr>
                  <w:r>
                    <w:rPr>
                      <w:rFonts w:hint="default" w:ascii="Times New Roman" w:hAnsi="Times New Roman" w:cs="Times New Roman"/>
                      <w:sz w:val="21"/>
                      <w:szCs w:val="21"/>
                    </w:rPr>
                    <w:t>1台</w:t>
                  </w:r>
                </w:p>
              </w:tc>
              <w:tc>
                <w:tcPr>
                  <w:tcW w:w="1577" w:type="dxa"/>
                  <w:tcBorders>
                    <w:top w:val="single" w:color="000000" w:sz="4" w:space="0"/>
                    <w:left w:val="single" w:color="000000" w:sz="4" w:space="0"/>
                    <w:bottom w:val="single" w:color="000000" w:sz="4" w:space="0"/>
                    <w:right w:val="nil"/>
                  </w:tcBorders>
                  <w:vAlign w:val="center"/>
                </w:tcPr>
                <w:p>
                  <w:pPr>
                    <w:jc w:val="center"/>
                    <w:textAlignment w:val="baseline"/>
                    <w:rPr>
                      <w:rStyle w:val="96"/>
                      <w:rFonts w:hint="default" w:ascii="Times New Roman" w:hAnsi="Times New Roman" w:cs="Times New Roman"/>
                      <w:sz w:val="21"/>
                      <w:szCs w:val="21"/>
                    </w:rPr>
                  </w:pPr>
                  <w:r>
                    <w:rPr>
                      <w:rStyle w:val="96"/>
                      <w:rFonts w:hint="default" w:ascii="Times New Roman" w:hAnsi="Times New Roman" w:cs="Times New Roman"/>
                      <w:sz w:val="21"/>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lang w:val="en-US"/>
                    </w:rPr>
                  </w:pPr>
                  <w:r>
                    <w:rPr>
                      <w:rStyle w:val="96"/>
                      <w:rFonts w:hint="default" w:ascii="Times New Roman" w:hAnsi="Times New Roman" w:cs="Times New Roman"/>
                      <w:sz w:val="21"/>
                      <w:szCs w:val="21"/>
                      <w:lang w:val="en-US"/>
                    </w:rPr>
                    <w:t>7</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定排污扩容器</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lang w:val="en-US"/>
                    </w:rPr>
                  </w:pPr>
                  <w:r>
                    <w:rPr>
                      <w:rStyle w:val="96"/>
                      <w:rFonts w:hint="default" w:ascii="Times New Roman" w:hAnsi="Times New Roman" w:cs="Times New Roman"/>
                      <w:sz w:val="21"/>
                      <w:szCs w:val="21"/>
                      <w:lang w:val="zh-CN"/>
                    </w:rPr>
                    <w:t>容积  V=2.0 m</w:t>
                  </w:r>
                  <w:r>
                    <w:rPr>
                      <w:rStyle w:val="96"/>
                      <w:rFonts w:hint="default" w:ascii="Times New Roman" w:hAnsi="Times New Roman" w:cs="Times New Roman"/>
                      <w:sz w:val="21"/>
                      <w:szCs w:val="21"/>
                      <w:vertAlign w:val="superscript"/>
                    </w:rPr>
                    <w:t>3</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hint="default" w:ascii="Times New Roman" w:hAnsi="Times New Roman" w:eastAsia="宋体" w:cs="Times New Roman"/>
                      <w:sz w:val="21"/>
                      <w:szCs w:val="21"/>
                      <w:lang w:val="en-US" w:eastAsia="zh-CN"/>
                    </w:rPr>
                  </w:pPr>
                  <w:r>
                    <w:rPr>
                      <w:rStyle w:val="96"/>
                      <w:rFonts w:hint="default" w:ascii="Times New Roman" w:hAnsi="Times New Roman" w:cs="Times New Roman"/>
                      <w:sz w:val="21"/>
                      <w:szCs w:val="21"/>
                      <w:lang w:val="zh-CN"/>
                    </w:rPr>
                    <w:t>1</w:t>
                  </w:r>
                  <w:r>
                    <w:rPr>
                      <w:rStyle w:val="96"/>
                      <w:rFonts w:hint="default" w:ascii="Times New Roman" w:hAnsi="Times New Roman" w:cs="Times New Roman"/>
                      <w:sz w:val="21"/>
                      <w:szCs w:val="21"/>
                      <w:lang w:val="en-US"/>
                    </w:rPr>
                    <w:t>台</w:t>
                  </w:r>
                </w:p>
              </w:tc>
              <w:tc>
                <w:tcPr>
                  <w:tcW w:w="1577" w:type="dxa"/>
                  <w:tcBorders>
                    <w:top w:val="single" w:color="000000" w:sz="4" w:space="0"/>
                    <w:left w:val="single" w:color="000000" w:sz="4" w:space="0"/>
                    <w:bottom w:val="single" w:color="000000" w:sz="4" w:space="0"/>
                    <w:right w:val="nil"/>
                  </w:tcBorders>
                  <w:vAlign w:val="center"/>
                </w:tcPr>
                <w:p>
                  <w:pPr>
                    <w:jc w:val="center"/>
                    <w:textAlignment w:val="baseline"/>
                    <w:rPr>
                      <w:rStyle w:val="96"/>
                      <w:rFonts w:hint="default" w:ascii="Times New Roman" w:hAnsi="Times New Roman" w:cs="Times New Roman"/>
                      <w:sz w:val="21"/>
                      <w:szCs w:val="21"/>
                      <w:lang w:val="en-US"/>
                    </w:rPr>
                  </w:pPr>
                  <w:r>
                    <w:rPr>
                      <w:rStyle w:val="96"/>
                      <w:rFonts w:hint="default" w:ascii="Times New Roman" w:hAnsi="Times New Roman" w:cs="Times New Roman"/>
                      <w:sz w:val="21"/>
                      <w:szCs w:val="21"/>
                      <w:lang w:val="en-US"/>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lang w:val="en-US"/>
                    </w:rPr>
                  </w:pPr>
                  <w:r>
                    <w:rPr>
                      <w:rStyle w:val="96"/>
                      <w:rFonts w:hint="eastAsia" w:ascii="Times New Roman" w:hAnsi="Times New Roman" w:cs="Times New Roman"/>
                      <w:sz w:val="21"/>
                      <w:szCs w:val="21"/>
                      <w:lang w:val="en-US"/>
                    </w:rPr>
                    <w:t>8</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装载机</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color w:val="auto"/>
                      <w:sz w:val="21"/>
                      <w:szCs w:val="21"/>
                      <w:lang w:val="en-US"/>
                    </w:rPr>
                  </w:pPr>
                  <w:r>
                    <w:rPr>
                      <w:rStyle w:val="96"/>
                      <w:rFonts w:hint="eastAsia" w:ascii="Times New Roman" w:hAnsi="Times New Roman" w:cs="Times New Roman"/>
                      <w:color w:val="auto"/>
                      <w:sz w:val="21"/>
                      <w:szCs w:val="21"/>
                      <w:lang w:val="en-US"/>
                    </w:rPr>
                    <w:t>卡特</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lang w:val="en-US"/>
                    </w:rPr>
                  </w:pPr>
                  <w:r>
                    <w:rPr>
                      <w:rStyle w:val="96"/>
                      <w:rFonts w:hint="eastAsia" w:ascii="Times New Roman" w:hAnsi="Times New Roman" w:cs="Times New Roman"/>
                      <w:sz w:val="21"/>
                      <w:szCs w:val="21"/>
                      <w:lang w:val="en-US"/>
                    </w:rPr>
                    <w:t>1</w:t>
                  </w:r>
                </w:p>
              </w:tc>
              <w:tc>
                <w:tcPr>
                  <w:tcW w:w="1577" w:type="dxa"/>
                  <w:tcBorders>
                    <w:top w:val="single" w:color="000000" w:sz="4" w:space="0"/>
                    <w:left w:val="single" w:color="000000" w:sz="4" w:space="0"/>
                    <w:bottom w:val="single" w:color="000000" w:sz="4" w:space="0"/>
                    <w:right w:val="nil"/>
                  </w:tcBorders>
                  <w:vAlign w:val="center"/>
                </w:tcPr>
                <w:p>
                  <w:pPr>
                    <w:jc w:val="center"/>
                    <w:textAlignment w:val="baseline"/>
                    <w:rPr>
                      <w:rStyle w:val="96"/>
                      <w:rFonts w:hint="default" w:ascii="Times New Roman" w:hAnsi="Times New Roman" w:cs="Times New Roman"/>
                      <w:sz w:val="21"/>
                      <w:szCs w:val="21"/>
                      <w:lang w:val="en-US"/>
                    </w:rPr>
                  </w:pPr>
                  <w:r>
                    <w:rPr>
                      <w:rStyle w:val="96"/>
                      <w:rFonts w:hint="eastAsia" w:ascii="Times New Roman" w:hAnsi="Times New Roman" w:cs="Times New Roman"/>
                      <w:sz w:val="21"/>
                      <w:szCs w:val="21"/>
                      <w:lang w:val="en-US"/>
                    </w:rPr>
                    <w:t>租用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lang w:val="en-US"/>
                    </w:rPr>
                  </w:pPr>
                  <w:r>
                    <w:rPr>
                      <w:rStyle w:val="96"/>
                      <w:rFonts w:hint="eastAsia" w:ascii="Times New Roman" w:hAnsi="Times New Roman" w:cs="Times New Roman"/>
                      <w:sz w:val="21"/>
                      <w:szCs w:val="21"/>
                      <w:lang w:val="en-US"/>
                    </w:rPr>
                    <w:t>9</w:t>
                  </w:r>
                </w:p>
              </w:tc>
              <w:tc>
                <w:tcPr>
                  <w:tcW w:w="20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上料机</w:t>
                  </w:r>
                </w:p>
              </w:tc>
              <w:tc>
                <w:tcPr>
                  <w:tcW w:w="24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Style w:val="96"/>
                      <w:rFonts w:hint="default" w:ascii="Times New Roman" w:hAnsi="Times New Roman" w:cs="Times New Roman"/>
                      <w:color w:val="auto"/>
                      <w:sz w:val="21"/>
                      <w:szCs w:val="21"/>
                      <w:lang w:val="zh-CN"/>
                    </w:rPr>
                  </w:pPr>
                  <w:r>
                    <w:rPr>
                      <w:rFonts w:hint="eastAsia" w:ascii="Times New Roman" w:hAnsi="Times New Roman" w:eastAsia="宋体" w:cs="Times New Roman"/>
                      <w:color w:val="auto"/>
                      <w:sz w:val="21"/>
                      <w:szCs w:val="21"/>
                      <w:highlight w:val="none"/>
                      <w:lang w:val="en-US" w:eastAsia="zh-CN"/>
                    </w:rPr>
                    <w:t>SL1000</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lang w:val="en-US"/>
                    </w:rPr>
                  </w:pPr>
                  <w:r>
                    <w:rPr>
                      <w:rStyle w:val="96"/>
                      <w:rFonts w:hint="eastAsia" w:ascii="Times New Roman" w:hAnsi="Times New Roman" w:cs="Times New Roman"/>
                      <w:sz w:val="21"/>
                      <w:szCs w:val="21"/>
                      <w:lang w:val="en-US"/>
                    </w:rPr>
                    <w:t>1</w:t>
                  </w:r>
                </w:p>
              </w:tc>
              <w:tc>
                <w:tcPr>
                  <w:tcW w:w="1577" w:type="dxa"/>
                  <w:tcBorders>
                    <w:top w:val="single" w:color="000000" w:sz="4" w:space="0"/>
                    <w:left w:val="single" w:color="000000" w:sz="4" w:space="0"/>
                    <w:bottom w:val="single" w:color="000000" w:sz="4" w:space="0"/>
                    <w:right w:val="nil"/>
                  </w:tcBorders>
                  <w:vAlign w:val="center"/>
                </w:tcPr>
                <w:p>
                  <w:pPr>
                    <w:jc w:val="center"/>
                    <w:textAlignment w:val="baseline"/>
                    <w:rPr>
                      <w:rStyle w:val="96"/>
                      <w:rFonts w:hint="default" w:ascii="Times New Roman" w:hAnsi="Times New Roman" w:cs="Times New Roman"/>
                      <w:sz w:val="21"/>
                      <w:szCs w:val="21"/>
                      <w:lang w:val="en-US"/>
                    </w:rPr>
                  </w:pPr>
                  <w:r>
                    <w:rPr>
                      <w:rStyle w:val="96"/>
                      <w:rFonts w:hint="default" w:ascii="Times New Roman" w:hAnsi="Times New Roman" w:cs="Times New Roman"/>
                      <w:sz w:val="21"/>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lang w:val="en-US"/>
                    </w:rPr>
                  </w:pPr>
                  <w:r>
                    <w:rPr>
                      <w:rStyle w:val="96"/>
                      <w:rFonts w:hint="eastAsia" w:ascii="Times New Roman" w:hAnsi="Times New Roman" w:cs="Times New Roman"/>
                      <w:sz w:val="21"/>
                      <w:szCs w:val="21"/>
                      <w:lang w:val="en-US"/>
                    </w:rPr>
                    <w:t>10</w:t>
                  </w:r>
                </w:p>
              </w:tc>
              <w:tc>
                <w:tcPr>
                  <w:tcW w:w="20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空压机</w:t>
                  </w:r>
                </w:p>
              </w:tc>
              <w:tc>
                <w:tcPr>
                  <w:tcW w:w="24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Style w:val="96"/>
                      <w:rFonts w:hint="default" w:ascii="Times New Roman" w:hAnsi="Times New Roman" w:cs="Times New Roman"/>
                      <w:color w:val="auto"/>
                      <w:sz w:val="21"/>
                      <w:szCs w:val="21"/>
                      <w:lang w:val="zh-CN"/>
                    </w:rPr>
                  </w:pPr>
                  <w:r>
                    <w:rPr>
                      <w:rFonts w:hint="eastAsia" w:ascii="Times New Roman" w:hAnsi="Times New Roman" w:eastAsia="宋体" w:cs="Times New Roman"/>
                      <w:color w:val="auto"/>
                      <w:sz w:val="21"/>
                      <w:szCs w:val="21"/>
                      <w:highlight w:val="none"/>
                      <w:lang w:val="en-US" w:eastAsia="zh-CN"/>
                    </w:rPr>
                    <w:t>2m3/min</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lang w:val="en-US"/>
                    </w:rPr>
                  </w:pPr>
                  <w:r>
                    <w:rPr>
                      <w:rStyle w:val="96"/>
                      <w:rFonts w:hint="eastAsia" w:ascii="Times New Roman" w:hAnsi="Times New Roman" w:cs="Times New Roman"/>
                      <w:sz w:val="21"/>
                      <w:szCs w:val="21"/>
                      <w:lang w:val="en-US"/>
                    </w:rPr>
                    <w:t>1</w:t>
                  </w:r>
                </w:p>
              </w:tc>
              <w:tc>
                <w:tcPr>
                  <w:tcW w:w="1577" w:type="dxa"/>
                  <w:tcBorders>
                    <w:top w:val="single" w:color="000000" w:sz="4" w:space="0"/>
                    <w:left w:val="single" w:color="000000" w:sz="4" w:space="0"/>
                    <w:bottom w:val="single" w:color="000000" w:sz="4" w:space="0"/>
                    <w:right w:val="nil"/>
                  </w:tcBorders>
                  <w:vAlign w:val="center"/>
                </w:tcPr>
                <w:p>
                  <w:pPr>
                    <w:jc w:val="center"/>
                    <w:textAlignment w:val="baseline"/>
                    <w:rPr>
                      <w:rStyle w:val="96"/>
                      <w:rFonts w:hint="default" w:ascii="Times New Roman" w:hAnsi="Times New Roman" w:cs="Times New Roman"/>
                      <w:sz w:val="21"/>
                      <w:szCs w:val="21"/>
                      <w:lang w:val="en-US"/>
                    </w:rPr>
                  </w:pPr>
                  <w:r>
                    <w:rPr>
                      <w:rStyle w:val="96"/>
                      <w:rFonts w:hint="default" w:ascii="Times New Roman" w:hAnsi="Times New Roman" w:cs="Times New Roman"/>
                      <w:sz w:val="21"/>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lang w:val="en-US"/>
                    </w:rPr>
                  </w:pPr>
                  <w:r>
                    <w:rPr>
                      <w:rStyle w:val="96"/>
                      <w:rFonts w:hint="eastAsia" w:ascii="Times New Roman" w:hAnsi="Times New Roman" w:cs="Times New Roman"/>
                      <w:sz w:val="21"/>
                      <w:szCs w:val="21"/>
                      <w:lang w:val="en-US"/>
                    </w:rPr>
                    <w:t>11</w:t>
                  </w:r>
                </w:p>
              </w:tc>
              <w:tc>
                <w:tcPr>
                  <w:tcW w:w="20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氨水罐</w:t>
                  </w:r>
                </w:p>
              </w:tc>
              <w:tc>
                <w:tcPr>
                  <w:tcW w:w="24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Style w:val="96"/>
                      <w:rFonts w:hint="default" w:ascii="Times New Roman" w:hAnsi="Times New Roman" w:cs="Times New Roman"/>
                      <w:color w:val="auto"/>
                      <w:sz w:val="21"/>
                      <w:szCs w:val="21"/>
                      <w:lang w:val="zh-CN"/>
                    </w:rPr>
                  </w:pPr>
                  <w:r>
                    <w:rPr>
                      <w:rFonts w:hint="eastAsia" w:ascii="Times New Roman" w:hAnsi="Times New Roman" w:eastAsia="宋体" w:cs="Times New Roman"/>
                      <w:color w:val="auto"/>
                      <w:sz w:val="21"/>
                      <w:szCs w:val="21"/>
                      <w:highlight w:val="none"/>
                      <w:lang w:val="en-US" w:eastAsia="zh-CN"/>
                    </w:rPr>
                    <w:t>8m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，ф2500×2000</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 w:val="21"/>
                      <w:szCs w:val="21"/>
                      <w:lang w:val="en-US"/>
                    </w:rPr>
                  </w:pPr>
                  <w:r>
                    <w:rPr>
                      <w:rStyle w:val="96"/>
                      <w:rFonts w:hint="eastAsia" w:ascii="Times New Roman" w:hAnsi="Times New Roman" w:cs="Times New Roman"/>
                      <w:sz w:val="21"/>
                      <w:szCs w:val="21"/>
                      <w:lang w:val="en-US"/>
                    </w:rPr>
                    <w:t>1</w:t>
                  </w:r>
                </w:p>
              </w:tc>
              <w:tc>
                <w:tcPr>
                  <w:tcW w:w="1577" w:type="dxa"/>
                  <w:tcBorders>
                    <w:top w:val="single" w:color="000000" w:sz="4" w:space="0"/>
                    <w:left w:val="single" w:color="000000" w:sz="4" w:space="0"/>
                    <w:bottom w:val="single" w:color="000000" w:sz="4" w:space="0"/>
                    <w:right w:val="nil"/>
                  </w:tcBorders>
                  <w:vAlign w:val="center"/>
                </w:tcPr>
                <w:p>
                  <w:pPr>
                    <w:jc w:val="center"/>
                    <w:textAlignment w:val="baseline"/>
                    <w:rPr>
                      <w:rStyle w:val="96"/>
                      <w:rFonts w:hint="default" w:ascii="Times New Roman" w:hAnsi="Times New Roman" w:cs="Times New Roman"/>
                      <w:sz w:val="21"/>
                      <w:szCs w:val="21"/>
                      <w:lang w:val="en-US"/>
                    </w:rPr>
                  </w:pPr>
                  <w:r>
                    <w:rPr>
                      <w:rStyle w:val="96"/>
                      <w:rFonts w:hint="default" w:ascii="Times New Roman" w:hAnsi="Times New Roman" w:cs="Times New Roman"/>
                      <w:sz w:val="21"/>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12" w:space="0"/>
                    <w:right w:val="single" w:color="000000" w:sz="4" w:space="0"/>
                  </w:tcBorders>
                  <w:vAlign w:val="center"/>
                </w:tcPr>
                <w:p>
                  <w:pPr>
                    <w:jc w:val="center"/>
                    <w:textAlignment w:val="baseline"/>
                    <w:rPr>
                      <w:rStyle w:val="96"/>
                      <w:rFonts w:hint="default" w:ascii="Times New Roman" w:hAnsi="Times New Roman" w:cs="Times New Roman"/>
                      <w:sz w:val="21"/>
                      <w:szCs w:val="21"/>
                      <w:lang w:val="en-US"/>
                    </w:rPr>
                  </w:pPr>
                  <w:r>
                    <w:rPr>
                      <w:rStyle w:val="96"/>
                      <w:rFonts w:hint="eastAsia" w:ascii="Times New Roman" w:hAnsi="Times New Roman" w:cs="Times New Roman"/>
                      <w:sz w:val="21"/>
                      <w:szCs w:val="21"/>
                      <w:lang w:val="en-US"/>
                    </w:rPr>
                    <w:t>12</w:t>
                  </w:r>
                </w:p>
              </w:tc>
              <w:tc>
                <w:tcPr>
                  <w:tcW w:w="2084" w:type="dxa"/>
                  <w:tcBorders>
                    <w:top w:val="single" w:color="000000" w:sz="4" w:space="0"/>
                    <w:left w:val="single" w:color="000000" w:sz="4" w:space="0"/>
                    <w:bottom w:val="single" w:color="000000" w:sz="12" w:space="0"/>
                    <w:right w:val="single" w:color="000000" w:sz="4" w:space="0"/>
                  </w:tcBorders>
                  <w:vAlign w:val="center"/>
                </w:tcPr>
                <w:p>
                  <w:pPr>
                    <w:jc w:val="center"/>
                    <w:rPr>
                      <w:rStyle w:val="96"/>
                      <w:rFonts w:hint="default" w:ascii="Times New Roman" w:hAnsi="Times New Roman" w:cs="Times New Roman"/>
                      <w:color w:val="auto"/>
                      <w:sz w:val="21"/>
                      <w:szCs w:val="21"/>
                    </w:rPr>
                  </w:pPr>
                  <w:r>
                    <w:rPr>
                      <w:rStyle w:val="96"/>
                      <w:rFonts w:hint="default" w:ascii="Times New Roman" w:hAnsi="Times New Roman" w:cs="Times New Roman"/>
                      <w:color w:val="auto"/>
                      <w:sz w:val="21"/>
                      <w:szCs w:val="21"/>
                    </w:rPr>
                    <w:t>钠离子软水处理装置</w:t>
                  </w:r>
                </w:p>
              </w:tc>
              <w:tc>
                <w:tcPr>
                  <w:tcW w:w="2489" w:type="dxa"/>
                  <w:tcBorders>
                    <w:top w:val="single" w:color="000000" w:sz="4" w:space="0"/>
                    <w:left w:val="single" w:color="000000" w:sz="4" w:space="0"/>
                    <w:bottom w:val="single" w:color="000000" w:sz="12" w:space="0"/>
                    <w:right w:val="single" w:color="000000" w:sz="4" w:space="0"/>
                  </w:tcBorders>
                  <w:vAlign w:val="center"/>
                </w:tcPr>
                <w:p>
                  <w:pPr>
                    <w:jc w:val="center"/>
                    <w:rPr>
                      <w:rStyle w:val="96"/>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WT-LN12</w:t>
                  </w:r>
                </w:p>
              </w:tc>
              <w:tc>
                <w:tcPr>
                  <w:tcW w:w="1215" w:type="dxa"/>
                  <w:tcBorders>
                    <w:top w:val="single" w:color="000000" w:sz="4" w:space="0"/>
                    <w:left w:val="single" w:color="000000" w:sz="4" w:space="0"/>
                    <w:bottom w:val="single" w:color="000000" w:sz="12" w:space="0"/>
                    <w:right w:val="single" w:color="000000" w:sz="4" w:space="0"/>
                  </w:tcBorders>
                  <w:vAlign w:val="center"/>
                </w:tcPr>
                <w:p>
                  <w:pPr>
                    <w:jc w:val="center"/>
                    <w:rPr>
                      <w:rStyle w:val="96"/>
                      <w:rFonts w:hint="default" w:ascii="Times New Roman" w:hAnsi="Times New Roman" w:cs="Times New Roman"/>
                      <w:sz w:val="21"/>
                      <w:szCs w:val="21"/>
                    </w:rPr>
                  </w:pPr>
                  <w:r>
                    <w:rPr>
                      <w:rFonts w:hint="default" w:ascii="Times New Roman" w:hAnsi="Times New Roman" w:cs="Times New Roman"/>
                      <w:sz w:val="21"/>
                      <w:szCs w:val="21"/>
                    </w:rPr>
                    <w:t>1套</w:t>
                  </w:r>
                </w:p>
              </w:tc>
              <w:tc>
                <w:tcPr>
                  <w:tcW w:w="1577" w:type="dxa"/>
                  <w:tcBorders>
                    <w:top w:val="single" w:color="000000" w:sz="4" w:space="0"/>
                    <w:left w:val="single" w:color="000000" w:sz="4" w:space="0"/>
                    <w:bottom w:val="single" w:color="000000" w:sz="12" w:space="0"/>
                    <w:right w:val="nil"/>
                  </w:tcBorders>
                  <w:vAlign w:val="center"/>
                </w:tcPr>
                <w:p>
                  <w:pPr>
                    <w:jc w:val="center"/>
                    <w:textAlignment w:val="baseline"/>
                    <w:rPr>
                      <w:rStyle w:val="96"/>
                      <w:rFonts w:hint="default" w:ascii="Times New Roman" w:hAnsi="Times New Roman" w:cs="Times New Roman"/>
                      <w:sz w:val="21"/>
                      <w:szCs w:val="21"/>
                    </w:rPr>
                  </w:pPr>
                  <w:r>
                    <w:rPr>
                      <w:rStyle w:val="96"/>
                      <w:rFonts w:hint="default" w:ascii="Times New Roman" w:hAnsi="Times New Roman" w:cs="Times New Roman"/>
                      <w:sz w:val="21"/>
                      <w:szCs w:val="21"/>
                    </w:rPr>
                    <w:t>外购</w:t>
                  </w:r>
                </w:p>
              </w:tc>
            </w:tr>
          </w:tbl>
          <w:p>
            <w:pPr>
              <w:pStyle w:val="22"/>
              <w:spacing w:line="360" w:lineRule="auto"/>
              <w:ind w:firstLine="482"/>
              <w:rPr>
                <w:rFonts w:hint="default" w:ascii="Times New Roman" w:hAnsi="Times New Roman" w:cs="Times New Roman" w:eastAsiaTheme="minorEastAsia"/>
              </w:rPr>
            </w:pPr>
            <w:r>
              <w:rPr>
                <w:rFonts w:hint="default" w:ascii="Times New Roman" w:hAnsi="Times New Roman" w:cs="Times New Roman" w:eastAsiaTheme="minorEastAsia"/>
              </w:rPr>
              <w:t>5、主要原辅材料</w:t>
            </w:r>
          </w:p>
          <w:p>
            <w:pPr>
              <w:tabs>
                <w:tab w:val="center" w:pos="4320"/>
                <w:tab w:val="right" w:pos="8640"/>
              </w:tabs>
              <w:spacing w:line="360" w:lineRule="auto"/>
              <w:ind w:firstLine="480" w:firstLineChars="200"/>
              <w:jc w:val="left"/>
              <w:textAlignment w:val="baseline"/>
              <w:rPr>
                <w:rFonts w:hint="default" w:ascii="Times New Roman" w:hAnsi="Times New Roman" w:cs="Times New Roman"/>
                <w:kern w:val="0"/>
                <w:sz w:val="24"/>
              </w:rPr>
            </w:pPr>
            <w:r>
              <w:rPr>
                <w:rFonts w:hint="default" w:ascii="Times New Roman" w:hAnsi="Times New Roman" w:cs="Times New Roman"/>
                <w:kern w:val="0"/>
                <w:sz w:val="24"/>
              </w:rPr>
              <w:t>本项目使用的主要原辅材料及能源消耗详见表2-</w:t>
            </w:r>
            <w:r>
              <w:rPr>
                <w:rFonts w:hint="eastAsia" w:ascii="Times New Roman" w:hAnsi="Times New Roman" w:cs="Times New Roman"/>
                <w:kern w:val="0"/>
                <w:sz w:val="24"/>
                <w:lang w:val="en-US" w:eastAsia="zh-CN"/>
              </w:rPr>
              <w:t>4</w:t>
            </w:r>
            <w:r>
              <w:rPr>
                <w:rFonts w:hint="default" w:ascii="Times New Roman" w:hAnsi="Times New Roman" w:cs="Times New Roman"/>
                <w:kern w:val="0"/>
                <w:sz w:val="24"/>
              </w:rPr>
              <w:t>。</w:t>
            </w:r>
          </w:p>
          <w:p>
            <w:pPr>
              <w:pStyle w:val="2"/>
              <w:adjustRightInd w:val="0"/>
              <w:spacing w:before="0" w:after="0" w:line="260" w:lineRule="auto"/>
              <w:jc w:val="center"/>
              <w:rPr>
                <w:rFonts w:hint="default" w:ascii="Times New Roman" w:hAnsi="Times New Roman" w:cs="Times New Roman"/>
                <w:sz w:val="21"/>
                <w:szCs w:val="21"/>
              </w:rPr>
            </w:pPr>
            <w:r>
              <w:rPr>
                <w:rFonts w:hint="default" w:ascii="Times New Roman" w:hAnsi="Times New Roman" w:cs="Times New Roman"/>
                <w:b/>
                <w:sz w:val="21"/>
                <w:szCs w:val="21"/>
              </w:rPr>
              <w:t>表2-</w:t>
            </w:r>
            <w:r>
              <w:rPr>
                <w:rFonts w:hint="eastAsia" w:ascii="Times New Roman" w:hAnsi="Times New Roman" w:cs="Times New Roman"/>
                <w:b/>
                <w:sz w:val="21"/>
                <w:szCs w:val="21"/>
                <w:lang w:val="en-US" w:eastAsia="zh-CN"/>
              </w:rPr>
              <w:t>4</w:t>
            </w:r>
            <w:r>
              <w:rPr>
                <w:rFonts w:hint="default" w:ascii="Times New Roman" w:hAnsi="Times New Roman" w:cs="Times New Roman"/>
                <w:b/>
                <w:sz w:val="21"/>
                <w:szCs w:val="21"/>
              </w:rPr>
              <w:t>项目主要原辅材料年能耗情况表</w:t>
            </w:r>
          </w:p>
          <w:tbl>
            <w:tblPr>
              <w:tblStyle w:val="2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77"/>
              <w:gridCol w:w="1737"/>
              <w:gridCol w:w="1539"/>
              <w:gridCol w:w="1452"/>
              <w:gridCol w:w="1378"/>
              <w:gridCol w:w="14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31" w:type="dxa"/>
                  <w:tcBorders>
                    <w:top w:val="single" w:color="000000" w:sz="12"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b/>
                      <w:szCs w:val="21"/>
                      <w:lang w:val="zh-CN"/>
                    </w:rPr>
                  </w:pPr>
                  <w:r>
                    <w:rPr>
                      <w:rStyle w:val="96"/>
                      <w:rFonts w:hint="default" w:ascii="Times New Roman" w:hAnsi="Times New Roman" w:cs="Times New Roman"/>
                      <w:b/>
                      <w:szCs w:val="21"/>
                      <w:lang w:val="zh-CN"/>
                    </w:rPr>
                    <w:t>序号</w:t>
                  </w:r>
                </w:p>
              </w:tc>
              <w:tc>
                <w:tcPr>
                  <w:tcW w:w="1645"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b/>
                      <w:szCs w:val="21"/>
                      <w:lang w:val="zh-CN"/>
                    </w:rPr>
                  </w:pPr>
                  <w:r>
                    <w:rPr>
                      <w:rStyle w:val="96"/>
                      <w:rFonts w:hint="default" w:ascii="Times New Roman" w:hAnsi="Times New Roman" w:cs="Times New Roman"/>
                      <w:b/>
                      <w:szCs w:val="21"/>
                      <w:lang w:val="zh-CN"/>
                    </w:rPr>
                    <w:t>名称</w:t>
                  </w:r>
                </w:p>
              </w:tc>
              <w:tc>
                <w:tcPr>
                  <w:tcW w:w="1458"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b/>
                      <w:szCs w:val="21"/>
                    </w:rPr>
                  </w:pPr>
                  <w:r>
                    <w:rPr>
                      <w:rStyle w:val="96"/>
                      <w:rFonts w:hint="default" w:ascii="Times New Roman" w:hAnsi="Times New Roman" w:cs="Times New Roman"/>
                      <w:b/>
                      <w:szCs w:val="21"/>
                      <w:lang w:val="zh-CN"/>
                    </w:rPr>
                    <w:t>成分</w:t>
                  </w:r>
                  <w:r>
                    <w:rPr>
                      <w:rStyle w:val="96"/>
                      <w:rFonts w:hint="default" w:ascii="Times New Roman" w:hAnsi="Times New Roman" w:cs="Times New Roman"/>
                      <w:b/>
                      <w:szCs w:val="21"/>
                    </w:rPr>
                    <w:t>/规格</w:t>
                  </w:r>
                </w:p>
              </w:tc>
              <w:tc>
                <w:tcPr>
                  <w:tcW w:w="1375"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b/>
                      <w:szCs w:val="21"/>
                      <w:lang w:val="zh-CN"/>
                    </w:rPr>
                  </w:pPr>
                  <w:r>
                    <w:rPr>
                      <w:rStyle w:val="96"/>
                      <w:rFonts w:hint="default" w:ascii="Times New Roman" w:hAnsi="Times New Roman" w:cs="Times New Roman"/>
                      <w:b/>
                      <w:szCs w:val="21"/>
                      <w:lang w:val="zh-CN"/>
                    </w:rPr>
                    <w:t>年耗量</w:t>
                  </w:r>
                </w:p>
              </w:tc>
              <w:tc>
                <w:tcPr>
                  <w:tcW w:w="1305"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b/>
                      <w:szCs w:val="21"/>
                      <w:lang w:val="zh-CN"/>
                    </w:rPr>
                  </w:pPr>
                  <w:r>
                    <w:rPr>
                      <w:rStyle w:val="96"/>
                      <w:rFonts w:hint="default" w:ascii="Times New Roman" w:hAnsi="Times New Roman" w:cs="Times New Roman"/>
                      <w:b/>
                      <w:szCs w:val="21"/>
                      <w:lang w:val="zh-CN"/>
                    </w:rPr>
                    <w:t>储存量</w:t>
                  </w:r>
                </w:p>
              </w:tc>
              <w:tc>
                <w:tcPr>
                  <w:tcW w:w="1331" w:type="dxa"/>
                  <w:tcBorders>
                    <w:top w:val="single" w:color="000000" w:sz="12" w:space="0"/>
                    <w:left w:val="single" w:color="000000" w:sz="4" w:space="0"/>
                    <w:bottom w:val="single" w:color="000000" w:sz="4" w:space="0"/>
                    <w:right w:val="nil"/>
                  </w:tcBorders>
                  <w:vAlign w:val="center"/>
                </w:tcPr>
                <w:p>
                  <w:pPr>
                    <w:jc w:val="center"/>
                    <w:textAlignment w:val="baseline"/>
                    <w:rPr>
                      <w:rStyle w:val="96"/>
                      <w:rFonts w:hint="default" w:ascii="Times New Roman" w:hAnsi="Times New Roman" w:cs="Times New Roman"/>
                      <w:b/>
                      <w:szCs w:val="21"/>
                      <w:lang w:val="zh-CN"/>
                    </w:rPr>
                  </w:pPr>
                  <w:r>
                    <w:rPr>
                      <w:rStyle w:val="96"/>
                      <w:rFonts w:hint="default" w:ascii="Times New Roman" w:hAnsi="Times New Roman" w:cs="Times New Roman"/>
                      <w:b/>
                      <w:szCs w:val="21"/>
                      <w:lang w:val="zh-C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31"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Cs w:val="21"/>
                      <w:lang w:val="zh-CN"/>
                    </w:rPr>
                  </w:pPr>
                  <w:r>
                    <w:rPr>
                      <w:rStyle w:val="96"/>
                      <w:rFonts w:hint="default" w:ascii="Times New Roman" w:hAnsi="Times New Roman" w:cs="Times New Roman"/>
                      <w:szCs w:val="21"/>
                      <w:lang w:val="zh-CN"/>
                    </w:rPr>
                    <w:t>1</w:t>
                  </w:r>
                </w:p>
              </w:tc>
              <w:tc>
                <w:tcPr>
                  <w:tcW w:w="164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Cs w:val="21"/>
                      <w:lang w:val="en-US"/>
                    </w:rPr>
                  </w:pPr>
                  <w:r>
                    <w:rPr>
                      <w:rStyle w:val="96"/>
                      <w:rFonts w:hint="default" w:ascii="Times New Roman" w:hAnsi="Times New Roman" w:cs="Times New Roman"/>
                      <w:szCs w:val="21"/>
                      <w:lang w:val="en-US"/>
                    </w:rPr>
                    <w:t>生物质燃料</w:t>
                  </w:r>
                </w:p>
              </w:tc>
              <w:tc>
                <w:tcPr>
                  <w:tcW w:w="1458"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Cs w:val="21"/>
                    </w:rPr>
                  </w:pPr>
                  <w:r>
                    <w:rPr>
                      <w:rStyle w:val="96"/>
                      <w:rFonts w:hint="default" w:ascii="Times New Roman" w:hAnsi="Times New Roman" w:cs="Times New Roman"/>
                      <w:szCs w:val="21"/>
                    </w:rPr>
                    <w:t>/</w:t>
                  </w:r>
                </w:p>
              </w:tc>
              <w:tc>
                <w:tcPr>
                  <w:tcW w:w="137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Cs w:val="21"/>
                    </w:rPr>
                  </w:pPr>
                  <w:r>
                    <w:rPr>
                      <w:rStyle w:val="96"/>
                      <w:rFonts w:hint="default" w:ascii="Times New Roman" w:hAnsi="Times New Roman" w:cs="Times New Roman"/>
                      <w:szCs w:val="21"/>
                      <w:lang w:val="en-US"/>
                    </w:rPr>
                    <w:t>2.2</w:t>
                  </w:r>
                  <w:r>
                    <w:rPr>
                      <w:rStyle w:val="96"/>
                      <w:rFonts w:hint="default" w:ascii="Times New Roman" w:hAnsi="Times New Roman" w:cs="Times New Roman"/>
                      <w:szCs w:val="21"/>
                    </w:rPr>
                    <w:t>万</w:t>
                  </w:r>
                  <w:r>
                    <w:rPr>
                      <w:rStyle w:val="96"/>
                      <w:rFonts w:hint="default" w:ascii="Times New Roman" w:hAnsi="Times New Roman" w:cs="Times New Roman"/>
                      <w:b/>
                      <w:szCs w:val="21"/>
                    </w:rPr>
                    <w:t>t</w:t>
                  </w:r>
                </w:p>
              </w:tc>
              <w:tc>
                <w:tcPr>
                  <w:tcW w:w="130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Cs w:val="21"/>
                      <w:lang w:val="en-US"/>
                    </w:rPr>
                  </w:pPr>
                  <w:r>
                    <w:rPr>
                      <w:rStyle w:val="96"/>
                      <w:rFonts w:hint="default" w:ascii="Times New Roman" w:hAnsi="Times New Roman" w:cs="Times New Roman"/>
                      <w:szCs w:val="21"/>
                      <w:lang w:val="en-US"/>
                    </w:rPr>
                    <w:t>5t</w:t>
                  </w:r>
                </w:p>
              </w:tc>
              <w:tc>
                <w:tcPr>
                  <w:tcW w:w="1331" w:type="dxa"/>
                  <w:tcBorders>
                    <w:top w:val="single" w:color="000000" w:sz="4" w:space="0"/>
                    <w:left w:val="single" w:color="000000" w:sz="4" w:space="0"/>
                    <w:bottom w:val="single" w:color="000000" w:sz="4" w:space="0"/>
                    <w:right w:val="nil"/>
                  </w:tcBorders>
                  <w:vAlign w:val="center"/>
                </w:tcPr>
                <w:p>
                  <w:pPr>
                    <w:jc w:val="center"/>
                    <w:textAlignment w:val="baseline"/>
                    <w:rPr>
                      <w:rStyle w:val="96"/>
                      <w:rFonts w:hint="default" w:ascii="Times New Roman" w:hAnsi="Times New Roman" w:cs="Times New Roman"/>
                      <w:szCs w:val="21"/>
                    </w:rPr>
                  </w:pPr>
                  <w:r>
                    <w:rPr>
                      <w:rStyle w:val="96"/>
                      <w:rFonts w:hint="default" w:ascii="Times New Roman" w:hAnsi="Times New Roman" w:cs="Times New Roman"/>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831"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color w:val="000000"/>
                      <w:szCs w:val="21"/>
                    </w:rPr>
                  </w:pPr>
                  <w:r>
                    <w:rPr>
                      <w:rStyle w:val="96"/>
                      <w:rFonts w:hint="default" w:ascii="Times New Roman" w:hAnsi="Times New Roman" w:cs="Times New Roman"/>
                      <w:color w:val="000000"/>
                      <w:szCs w:val="21"/>
                    </w:rPr>
                    <w:t>2</w:t>
                  </w:r>
                </w:p>
              </w:tc>
              <w:tc>
                <w:tcPr>
                  <w:tcW w:w="164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hint="default" w:ascii="Times New Roman" w:hAnsi="Times New Roman" w:eastAsia="宋体" w:cs="Times New Roman"/>
                      <w:kern w:val="2"/>
                      <w:sz w:val="21"/>
                      <w:szCs w:val="21"/>
                      <w:lang w:val="zh-CN" w:eastAsia="zh-CN" w:bidi="ar-SA"/>
                    </w:rPr>
                  </w:pPr>
                  <w:r>
                    <w:rPr>
                      <w:rStyle w:val="96"/>
                      <w:rFonts w:hint="default" w:ascii="Times New Roman" w:hAnsi="Times New Roman" w:cs="Times New Roman"/>
                      <w:szCs w:val="21"/>
                      <w:lang w:val="en-US"/>
                    </w:rPr>
                    <w:t>氨水</w:t>
                  </w:r>
                </w:p>
              </w:tc>
              <w:tc>
                <w:tcPr>
                  <w:tcW w:w="1458"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hint="default" w:ascii="Times New Roman" w:hAnsi="Times New Roman" w:eastAsia="宋体" w:cs="Times New Roman"/>
                      <w:kern w:val="2"/>
                      <w:sz w:val="21"/>
                      <w:szCs w:val="21"/>
                      <w:vertAlign w:val="baseline"/>
                      <w:lang w:val="en-US" w:eastAsia="zh-CN" w:bidi="ar-SA"/>
                    </w:rPr>
                  </w:pPr>
                  <w:r>
                    <w:rPr>
                      <w:rStyle w:val="96"/>
                      <w:rFonts w:hint="default" w:ascii="Times New Roman" w:hAnsi="Times New Roman" w:cs="Times New Roman"/>
                      <w:szCs w:val="21"/>
                      <w:lang w:val="en-US"/>
                    </w:rPr>
                    <w:t>NH</w:t>
                  </w:r>
                  <w:r>
                    <w:rPr>
                      <w:rStyle w:val="96"/>
                      <w:rFonts w:hint="default" w:ascii="Times New Roman" w:hAnsi="Times New Roman" w:cs="Times New Roman"/>
                      <w:szCs w:val="21"/>
                      <w:vertAlign w:val="subscript"/>
                      <w:lang w:val="en-US"/>
                    </w:rPr>
                    <w:t>4</w:t>
                  </w:r>
                  <w:r>
                    <w:rPr>
                      <w:rStyle w:val="96"/>
                      <w:rFonts w:hint="default" w:ascii="Times New Roman" w:hAnsi="Times New Roman" w:cs="Times New Roman"/>
                      <w:szCs w:val="21"/>
                      <w:vertAlign w:val="baseline"/>
                      <w:lang w:val="en-US"/>
                    </w:rPr>
                    <w:t>·H</w:t>
                  </w:r>
                  <w:r>
                    <w:rPr>
                      <w:rStyle w:val="96"/>
                      <w:rFonts w:hint="default" w:ascii="Times New Roman" w:hAnsi="Times New Roman" w:cs="Times New Roman"/>
                      <w:szCs w:val="21"/>
                      <w:vertAlign w:val="subscript"/>
                      <w:lang w:val="en-US"/>
                    </w:rPr>
                    <w:t>2</w:t>
                  </w:r>
                  <w:r>
                    <w:rPr>
                      <w:rStyle w:val="96"/>
                      <w:rFonts w:hint="default" w:ascii="Times New Roman" w:hAnsi="Times New Roman" w:cs="Times New Roman"/>
                      <w:szCs w:val="21"/>
                      <w:vertAlign w:val="baseline"/>
                      <w:lang w:val="en-US"/>
                    </w:rPr>
                    <w:t>O/10%</w:t>
                  </w:r>
                </w:p>
              </w:tc>
              <w:tc>
                <w:tcPr>
                  <w:tcW w:w="137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50t</w:t>
                  </w:r>
                </w:p>
              </w:tc>
              <w:tc>
                <w:tcPr>
                  <w:tcW w:w="130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hint="default" w:ascii="Times New Roman" w:hAnsi="Times New Roman" w:eastAsia="宋体" w:cs="Times New Roman"/>
                      <w:kern w:val="2"/>
                      <w:sz w:val="21"/>
                      <w:szCs w:val="21"/>
                      <w:lang w:val="en-US" w:eastAsia="zh-CN" w:bidi="ar-SA"/>
                    </w:rPr>
                  </w:pPr>
                  <w:r>
                    <w:rPr>
                      <w:rStyle w:val="96"/>
                      <w:rFonts w:hint="default" w:ascii="Times New Roman" w:hAnsi="Times New Roman" w:cs="Times New Roman"/>
                      <w:szCs w:val="21"/>
                      <w:lang w:val="en-US"/>
                    </w:rPr>
                    <w:t>0.5</w:t>
                  </w:r>
                  <w:r>
                    <w:rPr>
                      <w:rStyle w:val="96"/>
                      <w:rFonts w:hint="default" w:ascii="Times New Roman" w:hAnsi="Times New Roman" w:cs="Times New Roman"/>
                      <w:szCs w:val="21"/>
                    </w:rPr>
                    <w:t>t</w:t>
                  </w:r>
                </w:p>
              </w:tc>
              <w:tc>
                <w:tcPr>
                  <w:tcW w:w="1331" w:type="dxa"/>
                  <w:tcBorders>
                    <w:top w:val="single" w:color="000000" w:sz="4" w:space="0"/>
                    <w:left w:val="single" w:color="000000" w:sz="4" w:space="0"/>
                    <w:bottom w:val="single" w:color="000000" w:sz="4" w:space="0"/>
                    <w:right w:val="nil"/>
                  </w:tcBorders>
                  <w:vAlign w:val="center"/>
                </w:tcPr>
                <w:p>
                  <w:pPr>
                    <w:jc w:val="center"/>
                    <w:textAlignment w:val="baseline"/>
                    <w:rPr>
                      <w:rFonts w:hint="default" w:ascii="Times New Roman" w:hAnsi="Times New Roman" w:eastAsia="宋体" w:cs="Times New Roman"/>
                      <w:kern w:val="2"/>
                      <w:sz w:val="21"/>
                      <w:szCs w:val="21"/>
                      <w:lang w:val="zh-CN" w:eastAsia="zh-CN" w:bidi="ar-SA"/>
                    </w:rPr>
                  </w:pPr>
                  <w:r>
                    <w:rPr>
                      <w:rStyle w:val="96"/>
                      <w:rFonts w:hint="default" w:ascii="Times New Roman" w:hAnsi="Times New Roman" w:cs="Times New Roman"/>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831"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szCs w:val="21"/>
                      <w:lang w:val="zh-CN"/>
                    </w:rPr>
                  </w:pPr>
                  <w:r>
                    <w:rPr>
                      <w:rStyle w:val="96"/>
                      <w:rFonts w:hint="default" w:ascii="Times New Roman" w:hAnsi="Times New Roman" w:cs="Times New Roman"/>
                      <w:szCs w:val="21"/>
                    </w:rPr>
                    <w:t>3</w:t>
                  </w:r>
                </w:p>
              </w:tc>
              <w:tc>
                <w:tcPr>
                  <w:tcW w:w="164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hint="default" w:ascii="Times New Roman" w:hAnsi="Times New Roman" w:eastAsia="宋体" w:cs="Times New Roman"/>
                      <w:kern w:val="2"/>
                      <w:sz w:val="21"/>
                      <w:szCs w:val="21"/>
                      <w:lang w:val="zh-CN" w:eastAsia="zh-CN" w:bidi="ar-SA"/>
                    </w:rPr>
                  </w:pPr>
                  <w:r>
                    <w:rPr>
                      <w:rStyle w:val="96"/>
                      <w:rFonts w:hint="default" w:ascii="Times New Roman" w:hAnsi="Times New Roman" w:cs="Times New Roman"/>
                      <w:szCs w:val="21"/>
                      <w:lang w:val="en-US"/>
                    </w:rPr>
                    <w:t>氧化钙</w:t>
                  </w:r>
                </w:p>
              </w:tc>
              <w:tc>
                <w:tcPr>
                  <w:tcW w:w="1458"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hint="default" w:ascii="Times New Roman" w:hAnsi="Times New Roman" w:eastAsia="宋体" w:cs="Times New Roman"/>
                      <w:color w:val="000000"/>
                      <w:spacing w:val="-3"/>
                      <w:kern w:val="2"/>
                      <w:sz w:val="21"/>
                      <w:szCs w:val="21"/>
                      <w:lang w:val="en-US" w:eastAsia="zh-CN" w:bidi="ar-SA"/>
                    </w:rPr>
                  </w:pPr>
                  <w:r>
                    <w:rPr>
                      <w:rStyle w:val="96"/>
                      <w:rFonts w:hint="default" w:ascii="Times New Roman" w:hAnsi="Times New Roman" w:cs="Times New Roman"/>
                      <w:color w:val="000000"/>
                      <w:spacing w:val="-3"/>
                      <w:szCs w:val="21"/>
                      <w:lang w:val="en-US"/>
                    </w:rPr>
                    <w:t>CaO</w:t>
                  </w:r>
                </w:p>
              </w:tc>
              <w:tc>
                <w:tcPr>
                  <w:tcW w:w="137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hint="default" w:ascii="Times New Roman" w:hAnsi="Times New Roman" w:eastAsia="宋体" w:cs="Times New Roman"/>
                      <w:color w:val="000000"/>
                      <w:kern w:val="2"/>
                      <w:sz w:val="21"/>
                      <w:szCs w:val="21"/>
                      <w:lang w:val="en-US" w:eastAsia="zh-CN" w:bidi="ar-SA"/>
                    </w:rPr>
                  </w:pPr>
                </w:p>
              </w:tc>
              <w:tc>
                <w:tcPr>
                  <w:tcW w:w="130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hint="default" w:ascii="Times New Roman" w:hAnsi="Times New Roman" w:eastAsia="宋体" w:cs="Times New Roman"/>
                      <w:kern w:val="2"/>
                      <w:sz w:val="21"/>
                      <w:szCs w:val="21"/>
                      <w:lang w:val="en-US" w:eastAsia="zh-CN" w:bidi="ar-SA"/>
                    </w:rPr>
                  </w:pPr>
                  <w:r>
                    <w:rPr>
                      <w:rStyle w:val="96"/>
                      <w:rFonts w:hint="default" w:ascii="Times New Roman" w:hAnsi="Times New Roman" w:cs="Times New Roman"/>
                      <w:szCs w:val="21"/>
                    </w:rPr>
                    <w:t>不暂存</w:t>
                  </w:r>
                </w:p>
              </w:tc>
              <w:tc>
                <w:tcPr>
                  <w:tcW w:w="1331" w:type="dxa"/>
                  <w:tcBorders>
                    <w:top w:val="single" w:color="000000" w:sz="4" w:space="0"/>
                    <w:left w:val="single" w:color="000000" w:sz="4" w:space="0"/>
                    <w:bottom w:val="single" w:color="000000" w:sz="4" w:space="0"/>
                    <w:right w:val="nil"/>
                  </w:tcBorders>
                  <w:vAlign w:val="center"/>
                </w:tcPr>
                <w:p>
                  <w:pPr>
                    <w:jc w:val="center"/>
                    <w:textAlignment w:val="baseline"/>
                    <w:rPr>
                      <w:rFonts w:hint="default" w:ascii="Times New Roman" w:hAnsi="Times New Roman" w:eastAsia="宋体" w:cs="Times New Roman"/>
                      <w:kern w:val="2"/>
                      <w:sz w:val="21"/>
                      <w:szCs w:val="21"/>
                      <w:lang w:val="zh-CN" w:eastAsia="zh-CN" w:bidi="ar-SA"/>
                    </w:rPr>
                  </w:pPr>
                  <w:r>
                    <w:rPr>
                      <w:rStyle w:val="96"/>
                      <w:rFonts w:hint="default" w:ascii="Times New Roman" w:hAnsi="Times New Roman" w:cs="Times New Roman"/>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831" w:type="dxa"/>
                  <w:tcBorders>
                    <w:top w:val="single" w:color="000000" w:sz="4" w:space="0"/>
                    <w:left w:val="nil"/>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color w:val="auto"/>
                      <w:szCs w:val="21"/>
                      <w:lang w:val="en-US"/>
                    </w:rPr>
                  </w:pPr>
                  <w:r>
                    <w:rPr>
                      <w:rStyle w:val="96"/>
                      <w:rFonts w:hint="default" w:ascii="Times New Roman" w:hAnsi="Times New Roman" w:cs="Times New Roman"/>
                      <w:color w:val="auto"/>
                      <w:szCs w:val="21"/>
                      <w:lang w:val="en-US"/>
                    </w:rPr>
                    <w:t>4</w:t>
                  </w:r>
                </w:p>
              </w:tc>
              <w:tc>
                <w:tcPr>
                  <w:tcW w:w="164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color w:val="auto"/>
                      <w:szCs w:val="21"/>
                      <w:lang w:val="zh-CN"/>
                    </w:rPr>
                  </w:pPr>
                  <w:r>
                    <w:rPr>
                      <w:rStyle w:val="96"/>
                      <w:rFonts w:hint="default" w:ascii="Times New Roman" w:hAnsi="Times New Roman" w:cs="Times New Roman"/>
                      <w:color w:val="auto"/>
                      <w:szCs w:val="21"/>
                      <w:lang w:val="zh-CN"/>
                    </w:rPr>
                    <w:t>自来水</w:t>
                  </w:r>
                </w:p>
              </w:tc>
              <w:tc>
                <w:tcPr>
                  <w:tcW w:w="1458"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color w:val="auto"/>
                      <w:szCs w:val="21"/>
                    </w:rPr>
                  </w:pPr>
                  <w:r>
                    <w:rPr>
                      <w:rStyle w:val="96"/>
                      <w:rFonts w:hint="default" w:ascii="Times New Roman" w:hAnsi="Times New Roman" w:cs="Times New Roman"/>
                      <w:color w:val="auto"/>
                    </w:rPr>
                    <w:t>m</w:t>
                  </w:r>
                  <w:r>
                    <w:rPr>
                      <w:rStyle w:val="96"/>
                      <w:rFonts w:hint="default" w:ascii="Times New Roman" w:hAnsi="Times New Roman" w:cs="Times New Roman"/>
                      <w:color w:val="auto"/>
                      <w:vertAlign w:val="superscript"/>
                    </w:rPr>
                    <w:t>3</w:t>
                  </w:r>
                </w:p>
              </w:tc>
              <w:tc>
                <w:tcPr>
                  <w:tcW w:w="137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color w:val="auto"/>
                      <w:szCs w:val="21"/>
                    </w:rPr>
                  </w:pPr>
                  <w:r>
                    <w:rPr>
                      <w:rStyle w:val="96"/>
                      <w:rFonts w:hint="default" w:ascii="Times New Roman" w:hAnsi="Times New Roman" w:cs="Times New Roman"/>
                      <w:color w:val="auto"/>
                      <w:szCs w:val="21"/>
                    </w:rPr>
                    <w:t>28</w:t>
                  </w:r>
                  <w:r>
                    <w:rPr>
                      <w:rStyle w:val="96"/>
                      <w:rFonts w:hint="default" w:ascii="Times New Roman" w:hAnsi="Times New Roman" w:cs="Times New Roman"/>
                      <w:color w:val="auto"/>
                    </w:rPr>
                    <w:t xml:space="preserve"> </w:t>
                  </w:r>
                  <w:r>
                    <w:rPr>
                      <w:rStyle w:val="96"/>
                      <w:rFonts w:hint="default" w:ascii="Times New Roman" w:hAnsi="Times New Roman" w:cs="Times New Roman"/>
                      <w:color w:val="auto"/>
                      <w:szCs w:val="21"/>
                    </w:rPr>
                    <w:t>5</w:t>
                  </w:r>
                  <w:r>
                    <w:rPr>
                      <w:rStyle w:val="96"/>
                      <w:rFonts w:hint="default" w:ascii="Times New Roman" w:hAnsi="Times New Roman" w:cs="Times New Roman"/>
                      <w:color w:val="auto"/>
                    </w:rPr>
                    <w:t>m</w:t>
                  </w:r>
                  <w:r>
                    <w:rPr>
                      <w:rStyle w:val="96"/>
                      <w:rFonts w:hint="default" w:ascii="Times New Roman" w:hAnsi="Times New Roman" w:cs="Times New Roman"/>
                      <w:color w:val="auto"/>
                      <w:vertAlign w:val="superscript"/>
                    </w:rPr>
                    <w:t>3</w:t>
                  </w:r>
                </w:p>
              </w:tc>
              <w:tc>
                <w:tcPr>
                  <w:tcW w:w="130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96"/>
                      <w:rFonts w:hint="default" w:ascii="Times New Roman" w:hAnsi="Times New Roman" w:cs="Times New Roman"/>
                      <w:color w:val="auto"/>
                    </w:rPr>
                  </w:pPr>
                  <w:r>
                    <w:rPr>
                      <w:rStyle w:val="96"/>
                      <w:rFonts w:hint="default" w:ascii="Times New Roman" w:hAnsi="Times New Roman" w:cs="Times New Roman"/>
                      <w:color w:val="auto"/>
                    </w:rPr>
                    <w:t>/</w:t>
                  </w:r>
                </w:p>
              </w:tc>
              <w:tc>
                <w:tcPr>
                  <w:tcW w:w="1331" w:type="dxa"/>
                  <w:tcBorders>
                    <w:top w:val="single" w:color="000000" w:sz="4" w:space="0"/>
                    <w:left w:val="single" w:color="000000" w:sz="4" w:space="0"/>
                    <w:bottom w:val="single" w:color="000000" w:sz="4" w:space="0"/>
                    <w:right w:val="nil"/>
                  </w:tcBorders>
                  <w:vAlign w:val="center"/>
                </w:tcPr>
                <w:p>
                  <w:pPr>
                    <w:jc w:val="center"/>
                    <w:textAlignment w:val="baseline"/>
                    <w:rPr>
                      <w:rStyle w:val="96"/>
                      <w:rFonts w:hint="default" w:ascii="Times New Roman" w:hAnsi="Times New Roman" w:cs="Times New Roman"/>
                      <w:color w:val="auto"/>
                      <w:szCs w:val="21"/>
                      <w:lang w:val="zh-CN"/>
                    </w:rPr>
                  </w:pPr>
                  <w:r>
                    <w:rPr>
                      <w:rStyle w:val="96"/>
                      <w:rFonts w:hint="default" w:ascii="Times New Roman" w:hAnsi="Times New Roman" w:cs="Times New Roman"/>
                      <w:color w:val="auto"/>
                      <w:szCs w:val="21"/>
                      <w:lang w:val="zh-CN"/>
                    </w:rPr>
                    <w:t>来自市政供水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831" w:type="dxa"/>
                  <w:tcBorders>
                    <w:top w:val="single" w:color="000000" w:sz="4" w:space="0"/>
                    <w:left w:val="nil"/>
                    <w:bottom w:val="single" w:color="000000" w:sz="12" w:space="0"/>
                    <w:right w:val="single" w:color="000000" w:sz="4" w:space="0"/>
                  </w:tcBorders>
                  <w:vAlign w:val="center"/>
                </w:tcPr>
                <w:p>
                  <w:pPr>
                    <w:jc w:val="center"/>
                    <w:textAlignment w:val="baseline"/>
                    <w:rPr>
                      <w:rStyle w:val="96"/>
                      <w:rFonts w:hint="default" w:ascii="Times New Roman" w:hAnsi="Times New Roman" w:cs="Times New Roman"/>
                      <w:color w:val="auto"/>
                      <w:szCs w:val="21"/>
                      <w:lang w:val="en-US"/>
                    </w:rPr>
                  </w:pPr>
                  <w:r>
                    <w:rPr>
                      <w:rStyle w:val="96"/>
                      <w:rFonts w:hint="default" w:ascii="Times New Roman" w:hAnsi="Times New Roman" w:cs="Times New Roman"/>
                      <w:color w:val="auto"/>
                      <w:szCs w:val="21"/>
                      <w:lang w:val="en-US"/>
                    </w:rPr>
                    <w:t>5</w:t>
                  </w:r>
                </w:p>
              </w:tc>
              <w:tc>
                <w:tcPr>
                  <w:tcW w:w="1645" w:type="dxa"/>
                  <w:tcBorders>
                    <w:top w:val="single" w:color="000000" w:sz="4" w:space="0"/>
                    <w:left w:val="single" w:color="000000" w:sz="4" w:space="0"/>
                    <w:bottom w:val="single" w:color="000000" w:sz="12" w:space="0"/>
                    <w:right w:val="single" w:color="000000" w:sz="4" w:space="0"/>
                  </w:tcBorders>
                  <w:vAlign w:val="center"/>
                </w:tcPr>
                <w:p>
                  <w:pPr>
                    <w:jc w:val="center"/>
                    <w:textAlignment w:val="baseline"/>
                    <w:rPr>
                      <w:rStyle w:val="96"/>
                      <w:rFonts w:hint="default" w:ascii="Times New Roman" w:hAnsi="Times New Roman" w:cs="Times New Roman"/>
                      <w:color w:val="auto"/>
                      <w:szCs w:val="21"/>
                    </w:rPr>
                  </w:pPr>
                  <w:r>
                    <w:rPr>
                      <w:rStyle w:val="96"/>
                      <w:rFonts w:hint="default" w:ascii="Times New Roman" w:hAnsi="Times New Roman" w:cs="Times New Roman"/>
                      <w:color w:val="auto"/>
                      <w:szCs w:val="21"/>
                    </w:rPr>
                    <w:t>电</w:t>
                  </w:r>
                </w:p>
              </w:tc>
              <w:tc>
                <w:tcPr>
                  <w:tcW w:w="1458" w:type="dxa"/>
                  <w:tcBorders>
                    <w:top w:val="single" w:color="000000" w:sz="4" w:space="0"/>
                    <w:left w:val="single" w:color="000000" w:sz="4" w:space="0"/>
                    <w:bottom w:val="single" w:color="000000" w:sz="12" w:space="0"/>
                    <w:right w:val="single" w:color="000000" w:sz="4" w:space="0"/>
                  </w:tcBorders>
                  <w:vAlign w:val="center"/>
                </w:tcPr>
                <w:p>
                  <w:pPr>
                    <w:jc w:val="center"/>
                    <w:textAlignment w:val="baseline"/>
                    <w:rPr>
                      <w:rStyle w:val="96"/>
                      <w:rFonts w:hint="default" w:ascii="Times New Roman" w:hAnsi="Times New Roman" w:cs="Times New Roman"/>
                      <w:color w:val="auto"/>
                      <w:szCs w:val="21"/>
                    </w:rPr>
                  </w:pPr>
                  <w:r>
                    <w:rPr>
                      <w:rStyle w:val="96"/>
                      <w:rFonts w:hint="default" w:ascii="Times New Roman" w:hAnsi="Times New Roman" w:cs="Times New Roman"/>
                      <w:color w:val="auto"/>
                      <w:sz w:val="24"/>
                      <w:szCs w:val="21"/>
                    </w:rPr>
                    <w:t>kW·h</w:t>
                  </w:r>
                  <w:r>
                    <w:rPr>
                      <w:rStyle w:val="96"/>
                      <w:rFonts w:hint="default" w:ascii="Times New Roman" w:hAnsi="Times New Roman" w:cs="Times New Roman"/>
                      <w:color w:val="auto"/>
                      <w:szCs w:val="21"/>
                    </w:rPr>
                    <w:t xml:space="preserve"> </w:t>
                  </w:r>
                </w:p>
              </w:tc>
              <w:tc>
                <w:tcPr>
                  <w:tcW w:w="1375" w:type="dxa"/>
                  <w:tcBorders>
                    <w:top w:val="single" w:color="000000" w:sz="4" w:space="0"/>
                    <w:left w:val="single" w:color="000000" w:sz="4" w:space="0"/>
                    <w:bottom w:val="single" w:color="000000" w:sz="12" w:space="0"/>
                    <w:right w:val="single" w:color="000000" w:sz="4" w:space="0"/>
                  </w:tcBorders>
                  <w:vAlign w:val="center"/>
                </w:tcPr>
                <w:p>
                  <w:pPr>
                    <w:jc w:val="center"/>
                    <w:textAlignment w:val="baseline"/>
                    <w:rPr>
                      <w:rStyle w:val="96"/>
                      <w:rFonts w:hint="default" w:ascii="Times New Roman" w:hAnsi="Times New Roman" w:cs="Times New Roman"/>
                      <w:color w:val="auto"/>
                      <w:szCs w:val="21"/>
                    </w:rPr>
                  </w:pPr>
                  <w:r>
                    <w:rPr>
                      <w:rStyle w:val="96"/>
                      <w:rFonts w:hint="default" w:ascii="Times New Roman" w:hAnsi="Times New Roman" w:cs="Times New Roman"/>
                      <w:color w:val="auto"/>
                      <w:szCs w:val="21"/>
                    </w:rPr>
                    <w:t>54.56万</w:t>
                  </w:r>
                </w:p>
              </w:tc>
              <w:tc>
                <w:tcPr>
                  <w:tcW w:w="1305" w:type="dxa"/>
                  <w:tcBorders>
                    <w:top w:val="single" w:color="000000" w:sz="4" w:space="0"/>
                    <w:left w:val="single" w:color="000000" w:sz="4" w:space="0"/>
                    <w:bottom w:val="single" w:color="000000" w:sz="12" w:space="0"/>
                    <w:right w:val="single" w:color="000000" w:sz="4" w:space="0"/>
                  </w:tcBorders>
                  <w:vAlign w:val="center"/>
                </w:tcPr>
                <w:p>
                  <w:pPr>
                    <w:jc w:val="center"/>
                    <w:textAlignment w:val="baseline"/>
                    <w:rPr>
                      <w:rStyle w:val="96"/>
                      <w:rFonts w:hint="default" w:ascii="Times New Roman" w:hAnsi="Times New Roman" w:cs="Times New Roman"/>
                      <w:color w:val="auto"/>
                      <w:sz w:val="24"/>
                    </w:rPr>
                  </w:pPr>
                  <w:r>
                    <w:rPr>
                      <w:rStyle w:val="96"/>
                      <w:rFonts w:hint="default" w:ascii="Times New Roman" w:hAnsi="Times New Roman" w:cs="Times New Roman"/>
                      <w:color w:val="auto"/>
                      <w:sz w:val="24"/>
                    </w:rPr>
                    <w:t>/</w:t>
                  </w:r>
                </w:p>
              </w:tc>
              <w:tc>
                <w:tcPr>
                  <w:tcW w:w="1331" w:type="dxa"/>
                  <w:tcBorders>
                    <w:top w:val="single" w:color="000000" w:sz="4" w:space="0"/>
                    <w:left w:val="single" w:color="000000" w:sz="4" w:space="0"/>
                    <w:bottom w:val="single" w:color="000000" w:sz="12" w:space="0"/>
                    <w:right w:val="nil"/>
                  </w:tcBorders>
                  <w:vAlign w:val="center"/>
                </w:tcPr>
                <w:p>
                  <w:pPr>
                    <w:snapToGrid w:val="0"/>
                    <w:jc w:val="center"/>
                    <w:textAlignment w:val="baseline"/>
                    <w:rPr>
                      <w:rStyle w:val="96"/>
                      <w:rFonts w:hint="default" w:ascii="Times New Roman" w:hAnsi="Times New Roman" w:cs="Times New Roman"/>
                      <w:color w:val="auto"/>
                      <w:szCs w:val="21"/>
                    </w:rPr>
                  </w:pPr>
                  <w:r>
                    <w:rPr>
                      <w:rStyle w:val="96"/>
                      <w:rFonts w:hint="default" w:ascii="Times New Roman" w:hAnsi="Times New Roman" w:cs="Times New Roman"/>
                      <w:color w:val="auto"/>
                      <w:szCs w:val="21"/>
                    </w:rPr>
                    <w:t>来自市政电网</w:t>
                  </w:r>
                </w:p>
              </w:tc>
            </w:tr>
          </w:tbl>
          <w:p>
            <w:pPr>
              <w:adjustRightInd w:val="0"/>
              <w:snapToGrid w:val="0"/>
              <w:spacing w:line="360" w:lineRule="auto"/>
              <w:ind w:firstLine="482" w:firstLineChars="200"/>
              <w:rPr>
                <w:rFonts w:hint="default" w:ascii="Times New Roman" w:hAnsi="Times New Roman" w:cs="Times New Roman"/>
                <w:b/>
                <w:bCs/>
                <w:sz w:val="24"/>
                <w:szCs w:val="32"/>
              </w:rPr>
            </w:pPr>
            <w:r>
              <w:rPr>
                <w:rFonts w:hint="default" w:ascii="Times New Roman" w:hAnsi="Times New Roman" w:cs="Times New Roman"/>
                <w:b/>
                <w:bCs/>
                <w:sz w:val="24"/>
                <w:szCs w:val="32"/>
              </w:rPr>
              <w:t>注：项目纯水为外购，锅炉清洗委托专业资质单位清洗。</w:t>
            </w:r>
          </w:p>
          <w:p>
            <w:pPr>
              <w:adjustRightInd w:val="0"/>
              <w:snapToGrid w:val="0"/>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sz w:val="24"/>
                <w:szCs w:val="32"/>
              </w:rPr>
              <w:t>本项目主要原辅料理化性质如下：</w:t>
            </w:r>
          </w:p>
          <w:p>
            <w:pPr>
              <w:adjustRightInd w:val="0"/>
              <w:snapToGrid w:val="0"/>
              <w:spacing w:line="360" w:lineRule="auto"/>
              <w:ind w:firstLine="482" w:firstLineChars="200"/>
              <w:rPr>
                <w:rFonts w:hint="default" w:ascii="Times New Roman" w:hAnsi="Times New Roman" w:cs="Times New Roman"/>
                <w:sz w:val="24"/>
                <w:szCs w:val="32"/>
                <w:lang w:eastAsia="zh-CN"/>
              </w:rPr>
            </w:pPr>
            <w:r>
              <w:rPr>
                <w:rFonts w:hint="default" w:ascii="Times New Roman" w:hAnsi="Times New Roman" w:cs="Times New Roman"/>
                <w:b/>
                <w:bCs/>
                <w:sz w:val="24"/>
                <w:szCs w:val="32"/>
                <w:lang w:val="zh-CN"/>
              </w:rPr>
              <w:t>生物质燃料：</w:t>
            </w:r>
            <w:r>
              <w:rPr>
                <w:rFonts w:hint="default" w:ascii="Times New Roman" w:hAnsi="Times New Roman" w:cs="Times New Roman"/>
                <w:sz w:val="24"/>
                <w:szCs w:val="32"/>
              </w:rPr>
              <w:t>是指将生物质材料燃烧作为燃料，一般主要是农林废弃物（如秸秆、锯末、甘蔗渣、稻糠等）。主要区别于化石燃料。生物质燃料的应用，实际主要是生物质成型燃料（BiomassMouldingFuel，简称BMF），是将农林废物作为原材料，经过粉碎、混合、挤压、烘干等工艺，制成各种成型（如块状、颗粒状等）的，可直接燃烧的一种新型清洁燃料。</w:t>
            </w:r>
            <w:r>
              <w:rPr>
                <w:rFonts w:hint="default" w:ascii="Times New Roman" w:hAnsi="Times New Roman" w:cs="Times New Roman"/>
                <w:sz w:val="24"/>
                <w:szCs w:val="32"/>
                <w:lang w:eastAsia="zh-CN"/>
              </w:rPr>
              <w:t>根据生物质原料的不同，所产生物质气的热值不同，</w:t>
            </w:r>
            <w:r>
              <w:rPr>
                <w:rFonts w:hint="default" w:ascii="Times New Roman" w:hAnsi="Times New Roman" w:cs="Times New Roman"/>
                <w:sz w:val="24"/>
                <w:szCs w:val="32"/>
                <w:lang w:val="en-US" w:eastAsia="zh-CN"/>
              </w:rPr>
              <w:t>根据业主提供的</w:t>
            </w:r>
            <w:r>
              <w:rPr>
                <w:rFonts w:hint="default" w:ascii="Times New Roman" w:hAnsi="Times New Roman" w:cs="Times New Roman"/>
                <w:sz w:val="24"/>
                <w:szCs w:val="32"/>
                <w:lang w:eastAsia="zh-CN"/>
              </w:rPr>
              <w:t>参考《生物质气化燃气</w:t>
            </w:r>
            <w:r>
              <w:rPr>
                <w:rFonts w:hint="default" w:ascii="Times New Roman" w:hAnsi="Times New Roman" w:cs="Times New Roman"/>
                <w:sz w:val="24"/>
                <w:szCs w:val="32"/>
                <w:lang w:val="en-US" w:eastAsia="zh-CN"/>
              </w:rPr>
              <w:t>检验报告</w:t>
            </w:r>
            <w:r>
              <w:rPr>
                <w:rFonts w:hint="default" w:ascii="Times New Roman" w:hAnsi="Times New Roman" w:cs="Times New Roman"/>
                <w:sz w:val="24"/>
                <w:szCs w:val="32"/>
                <w:lang w:eastAsia="zh-CN"/>
              </w:rPr>
              <w:t>》</w:t>
            </w: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lang w:val="en-US" w:eastAsia="zh-CN"/>
              </w:rPr>
              <w:t>见附件</w:t>
            </w:r>
            <w:r>
              <w:rPr>
                <w:rFonts w:hint="eastAsia" w:cs="Times New Roman"/>
                <w:color w:val="auto"/>
                <w:sz w:val="24"/>
                <w:szCs w:val="32"/>
                <w:lang w:val="en-US" w:eastAsia="zh-CN"/>
              </w:rPr>
              <w:t>5</w:t>
            </w: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lang w:val="en-US" w:eastAsia="zh-CN"/>
              </w:rPr>
              <w:t>本项目</w:t>
            </w:r>
            <w:r>
              <w:rPr>
                <w:rFonts w:hint="default" w:ascii="Times New Roman" w:hAnsi="Times New Roman" w:cs="Times New Roman"/>
                <w:color w:val="auto"/>
                <w:sz w:val="24"/>
                <w:szCs w:val="32"/>
                <w:lang w:eastAsia="zh-CN"/>
              </w:rPr>
              <w:t>生物质化燃气成分</w:t>
            </w:r>
            <w:r>
              <w:rPr>
                <w:rFonts w:hint="default" w:ascii="Times New Roman" w:hAnsi="Times New Roman" w:cs="Times New Roman"/>
                <w:color w:val="auto"/>
                <w:sz w:val="24"/>
                <w:szCs w:val="32"/>
                <w:lang w:val="en-US" w:eastAsia="zh-CN"/>
              </w:rPr>
              <w:t>如下</w:t>
            </w:r>
            <w:r>
              <w:rPr>
                <w:rFonts w:hint="default" w:ascii="Times New Roman" w:hAnsi="Times New Roman" w:cs="Times New Roman"/>
                <w:sz w:val="24"/>
                <w:szCs w:val="32"/>
                <w:lang w:eastAsia="zh-CN"/>
              </w:rPr>
              <w:t>：</w:t>
            </w:r>
          </w:p>
          <w:p>
            <w:pPr>
              <w:tabs>
                <w:tab w:val="left" w:pos="370"/>
              </w:tabs>
              <w:adjustRightInd w:val="0"/>
              <w:snapToGrid w:val="0"/>
              <w:spacing w:line="240" w:lineRule="auto"/>
              <w:jc w:val="center"/>
              <w:rPr>
                <w:rFonts w:hint="default" w:ascii="Times New Roman" w:hAnsi="Times New Roman" w:cs="Times New Roman"/>
                <w:b/>
                <w:bCs/>
                <w:sz w:val="21"/>
                <w:szCs w:val="24"/>
                <w:lang w:eastAsia="zh-CN"/>
              </w:rPr>
            </w:pPr>
            <w:r>
              <w:rPr>
                <w:rFonts w:hint="default" w:ascii="Times New Roman" w:hAnsi="Times New Roman" w:cs="Times New Roman"/>
                <w:b/>
                <w:bCs/>
                <w:sz w:val="21"/>
                <w:szCs w:val="24"/>
                <w:lang w:eastAsia="zh-CN"/>
              </w:rPr>
              <w:t>表</w:t>
            </w:r>
            <w:r>
              <w:rPr>
                <w:rFonts w:hint="default" w:ascii="Times New Roman" w:hAnsi="Times New Roman" w:cs="Times New Roman"/>
                <w:b/>
                <w:bCs/>
                <w:sz w:val="21"/>
                <w:szCs w:val="24"/>
                <w:lang w:val="en-US" w:eastAsia="zh-CN"/>
              </w:rPr>
              <w:t>2</w:t>
            </w:r>
            <w:r>
              <w:rPr>
                <w:rFonts w:hint="default" w:ascii="Times New Roman" w:hAnsi="Times New Roman" w:cs="Times New Roman"/>
                <w:b/>
                <w:bCs/>
                <w:sz w:val="21"/>
                <w:szCs w:val="24"/>
                <w:lang w:eastAsia="zh-CN"/>
              </w:rPr>
              <w:t>-</w:t>
            </w:r>
            <w:r>
              <w:rPr>
                <w:rFonts w:hint="eastAsia" w:ascii="Times New Roman" w:hAnsi="Times New Roman" w:cs="Times New Roman"/>
                <w:b/>
                <w:bCs/>
                <w:sz w:val="21"/>
                <w:szCs w:val="24"/>
                <w:lang w:val="en-US" w:eastAsia="zh-CN"/>
              </w:rPr>
              <w:t>5</w:t>
            </w:r>
            <w:r>
              <w:rPr>
                <w:rFonts w:hint="default" w:ascii="Times New Roman" w:hAnsi="Times New Roman" w:cs="Times New Roman"/>
                <w:b/>
                <w:bCs/>
                <w:sz w:val="21"/>
                <w:szCs w:val="24"/>
                <w:lang w:eastAsia="zh-CN"/>
              </w:rPr>
              <w:tab/>
            </w:r>
            <w:r>
              <w:rPr>
                <w:rFonts w:hint="default" w:ascii="Times New Roman" w:hAnsi="Times New Roman" w:cs="Times New Roman"/>
                <w:b/>
                <w:bCs/>
                <w:sz w:val="21"/>
                <w:szCs w:val="24"/>
                <w:lang w:eastAsia="zh-CN"/>
              </w:rPr>
              <w:t>生物质气化燃气的成分分析表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0"/>
              <w:gridCol w:w="1628"/>
              <w:gridCol w:w="2357"/>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b/>
                      <w:sz w:val="21"/>
                      <w:szCs w:val="21"/>
                    </w:rPr>
                    <w:t>序号</w:t>
                  </w:r>
                </w:p>
              </w:tc>
              <w:tc>
                <w:tcPr>
                  <w:tcW w:w="3985" w:type="dxa"/>
                  <w:gridSpan w:val="2"/>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b/>
                      <w:sz w:val="21"/>
                      <w:szCs w:val="21"/>
                    </w:rPr>
                    <w:t>指标</w:t>
                  </w:r>
                </w:p>
              </w:tc>
              <w:tc>
                <w:tcPr>
                  <w:tcW w:w="2794" w:type="dxa"/>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b/>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w:t>
                  </w:r>
                </w:p>
              </w:tc>
              <w:tc>
                <w:tcPr>
                  <w:tcW w:w="162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组分</w:t>
                  </w:r>
                </w:p>
              </w:tc>
              <w:tc>
                <w:tcPr>
                  <w:tcW w:w="2357" w:type="dxa"/>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rPr>
                    <w:t>甲烷</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%，V/V</w:t>
                  </w:r>
                  <w:r>
                    <w:rPr>
                      <w:rFonts w:hint="default" w:ascii="Times New Roman" w:hAnsi="Times New Roman" w:cs="Times New Roman"/>
                      <w:sz w:val="21"/>
                      <w:szCs w:val="21"/>
                      <w:lang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16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2357" w:type="dxa"/>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乙烷</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%，V/V</w:t>
                  </w:r>
                  <w:r>
                    <w:rPr>
                      <w:rFonts w:hint="default" w:ascii="Times New Roman" w:hAnsi="Times New Roman" w:cs="Times New Roman"/>
                      <w:sz w:val="21"/>
                      <w:szCs w:val="21"/>
                      <w:lang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w:t>
                  </w:r>
                </w:p>
              </w:tc>
              <w:tc>
                <w:tcPr>
                  <w:tcW w:w="16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2357" w:type="dxa"/>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乙烯</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%，V/V</w:t>
                  </w:r>
                  <w:r>
                    <w:rPr>
                      <w:rFonts w:hint="default" w:ascii="Times New Roman" w:hAnsi="Times New Roman" w:cs="Times New Roman"/>
                      <w:sz w:val="21"/>
                      <w:szCs w:val="21"/>
                      <w:lang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w:t>
                  </w:r>
                </w:p>
              </w:tc>
              <w:tc>
                <w:tcPr>
                  <w:tcW w:w="16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2357" w:type="dxa"/>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丙烷</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%，V/V</w:t>
                  </w:r>
                  <w:r>
                    <w:rPr>
                      <w:rFonts w:hint="default" w:ascii="Times New Roman" w:hAnsi="Times New Roman" w:cs="Times New Roman"/>
                      <w:sz w:val="21"/>
                      <w:szCs w:val="21"/>
                      <w:lang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w:t>
                  </w:r>
                </w:p>
              </w:tc>
              <w:tc>
                <w:tcPr>
                  <w:tcW w:w="16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2357" w:type="dxa"/>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丙烯</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%，V/V</w:t>
                  </w:r>
                  <w:r>
                    <w:rPr>
                      <w:rFonts w:hint="default" w:ascii="Times New Roman" w:hAnsi="Times New Roman" w:cs="Times New Roman"/>
                      <w:sz w:val="21"/>
                      <w:szCs w:val="21"/>
                      <w:lang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w:t>
                  </w:r>
                </w:p>
              </w:tc>
              <w:tc>
                <w:tcPr>
                  <w:tcW w:w="16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2357" w:type="dxa"/>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二氧化碳</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%，V/V</w:t>
                  </w:r>
                  <w:r>
                    <w:rPr>
                      <w:rFonts w:hint="default" w:ascii="Times New Roman" w:hAnsi="Times New Roman" w:cs="Times New Roman"/>
                      <w:sz w:val="21"/>
                      <w:szCs w:val="21"/>
                      <w:lang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w:t>
                  </w:r>
                </w:p>
              </w:tc>
              <w:tc>
                <w:tcPr>
                  <w:tcW w:w="16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2357" w:type="dxa"/>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氧气</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%，V/V</w:t>
                  </w:r>
                  <w:r>
                    <w:rPr>
                      <w:rFonts w:hint="default" w:ascii="Times New Roman" w:hAnsi="Times New Roman" w:cs="Times New Roman"/>
                      <w:sz w:val="21"/>
                      <w:szCs w:val="21"/>
                      <w:lang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w:t>
                  </w:r>
                </w:p>
              </w:tc>
              <w:tc>
                <w:tcPr>
                  <w:tcW w:w="16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2357" w:type="dxa"/>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氮气</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%，V/V</w:t>
                  </w:r>
                  <w:r>
                    <w:rPr>
                      <w:rFonts w:hint="default" w:ascii="Times New Roman" w:hAnsi="Times New Roman" w:cs="Times New Roman"/>
                      <w:sz w:val="21"/>
                      <w:szCs w:val="21"/>
                      <w:lang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9</w:t>
                  </w:r>
                </w:p>
              </w:tc>
              <w:tc>
                <w:tcPr>
                  <w:tcW w:w="16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2357" w:type="dxa"/>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氢气</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%，V/V</w:t>
                  </w:r>
                  <w:r>
                    <w:rPr>
                      <w:rFonts w:hint="default" w:ascii="Times New Roman" w:hAnsi="Times New Roman" w:cs="Times New Roman"/>
                      <w:sz w:val="21"/>
                      <w:szCs w:val="21"/>
                      <w:lang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10</w:t>
                  </w:r>
                </w:p>
              </w:tc>
              <w:tc>
                <w:tcPr>
                  <w:tcW w:w="16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2357" w:type="dxa"/>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一氧化碳</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%，V/V</w:t>
                  </w:r>
                  <w:r>
                    <w:rPr>
                      <w:rFonts w:hint="default" w:ascii="Times New Roman" w:hAnsi="Times New Roman" w:cs="Times New Roman"/>
                      <w:sz w:val="21"/>
                      <w:szCs w:val="21"/>
                      <w:lang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11</w:t>
                  </w:r>
                </w:p>
              </w:tc>
              <w:tc>
                <w:tcPr>
                  <w:tcW w:w="16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2357" w:type="dxa"/>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硫化氢</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12</w:t>
                  </w:r>
                </w:p>
              </w:tc>
              <w:tc>
                <w:tcPr>
                  <w:tcW w:w="162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热值</w:t>
                  </w:r>
                </w:p>
              </w:tc>
              <w:tc>
                <w:tcPr>
                  <w:tcW w:w="2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高位发热量（MJ/m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vertAlign w:val="baseline"/>
                      <w:lang w:val="en-US"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13</w:t>
                  </w:r>
                </w:p>
              </w:tc>
              <w:tc>
                <w:tcPr>
                  <w:tcW w:w="16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2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低位发热量（MJ/m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vertAlign w:val="baseline"/>
                      <w:lang w:val="en-US"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14</w:t>
                  </w:r>
                </w:p>
              </w:tc>
              <w:tc>
                <w:tcPr>
                  <w:tcW w:w="162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燃气密度</w:t>
                  </w:r>
                </w:p>
              </w:tc>
              <w:tc>
                <w:tcPr>
                  <w:tcW w:w="2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密度（kg/m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vertAlign w:val="baseline"/>
                      <w:lang w:val="en-US" w:eastAsia="zh-CN"/>
                    </w:rPr>
                    <w:t>）</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15</w:t>
                  </w:r>
                </w:p>
              </w:tc>
              <w:tc>
                <w:tcPr>
                  <w:tcW w:w="16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2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相对密度</w:t>
                  </w:r>
                </w:p>
              </w:tc>
              <w:tc>
                <w:tcPr>
                  <w:tcW w:w="2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0.8995</w:t>
                  </w:r>
                </w:p>
              </w:tc>
            </w:tr>
          </w:tbl>
          <w:p>
            <w:pPr>
              <w:adjustRightInd w:val="0"/>
              <w:snapToGrid w:val="0"/>
              <w:spacing w:line="360" w:lineRule="auto"/>
              <w:ind w:firstLine="482" w:firstLineChars="200"/>
              <w:rPr>
                <w:rFonts w:hint="default" w:ascii="Times New Roman" w:hAnsi="Times New Roman" w:cs="Times New Roman"/>
                <w:sz w:val="24"/>
                <w:szCs w:val="32"/>
              </w:rPr>
            </w:pPr>
            <w:r>
              <w:rPr>
                <w:rFonts w:hint="default" w:ascii="Times New Roman" w:hAnsi="Times New Roman" w:cs="Times New Roman"/>
                <w:b/>
                <w:bCs/>
                <w:sz w:val="24"/>
                <w:szCs w:val="32"/>
              </w:rPr>
              <w:t>机油：</w:t>
            </w:r>
            <w:r>
              <w:rPr>
                <w:rFonts w:hint="default" w:ascii="Times New Roman" w:hAnsi="Times New Roman" w:cs="Times New Roman"/>
                <w:sz w:val="24"/>
                <w:szCs w:val="32"/>
              </w:rPr>
              <w:t>即发动机润滑油，英文名称：Engine oil。密度约为0.91×10³（kg/m³）能对发动机起到润滑减磨、辅助冷却降温、密封防漏、防锈防蚀、减震缓冲等作用。被誉为汽车的“血液”。机油由基础油和添加剂两部分组成。基础油是润滑油的主要成分，决定着润滑油的基本性质，添加剂则可弥补和改善基础油性能方面的不足，赋予某些新的性能，是润滑油的重要组成部分。</w:t>
            </w:r>
          </w:p>
          <w:p>
            <w:pPr>
              <w:pStyle w:val="22"/>
              <w:spacing w:line="360" w:lineRule="auto"/>
              <w:ind w:firstLine="48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6、锅炉主要经济技术指标</w:t>
            </w:r>
          </w:p>
          <w:p>
            <w:pPr>
              <w:pStyle w:val="22"/>
              <w:spacing w:line="360" w:lineRule="auto"/>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本项目选用SHS-12-2.45-Q燃气蒸汽锅炉，主要由炉膛部分、燃烧器、节能器、冷凝器等连接管道等组成，其主要技术参数如下。</w:t>
            </w:r>
          </w:p>
          <w:p>
            <w:pPr>
              <w:jc w:val="center"/>
              <w:rPr>
                <w:rFonts w:hint="eastAsia" w:eastAsia="宋体"/>
                <w:b/>
                <w:color w:val="auto"/>
                <w:sz w:val="21"/>
                <w:szCs w:val="21"/>
                <w:lang w:eastAsia="zh-CN"/>
              </w:rPr>
            </w:pPr>
            <w:r>
              <w:rPr>
                <w:b/>
                <w:color w:val="auto"/>
                <w:sz w:val="21"/>
                <w:szCs w:val="21"/>
              </w:rPr>
              <w:t>表</w:t>
            </w:r>
            <w:r>
              <w:rPr>
                <w:rFonts w:hint="eastAsia"/>
                <w:b/>
                <w:color w:val="auto"/>
                <w:sz w:val="21"/>
                <w:szCs w:val="21"/>
              </w:rPr>
              <w:t>2-</w:t>
            </w:r>
            <w:r>
              <w:rPr>
                <w:rFonts w:hint="eastAsia"/>
                <w:b/>
                <w:color w:val="auto"/>
                <w:sz w:val="21"/>
                <w:szCs w:val="21"/>
                <w:lang w:val="en-US" w:eastAsia="zh-CN"/>
              </w:rPr>
              <w:t xml:space="preserve">6 </w:t>
            </w:r>
            <w:r>
              <w:rPr>
                <w:rFonts w:hint="eastAsia"/>
                <w:b/>
                <w:color w:val="auto"/>
                <w:sz w:val="21"/>
                <w:szCs w:val="21"/>
              </w:rPr>
              <w:t>锅炉技术参数</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3686"/>
              <w:gridCol w:w="33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63" w:type="dxa"/>
                  <w:tcBorders>
                    <w:tl2br w:val="nil"/>
                    <w:tr2bl w:val="nil"/>
                  </w:tcBorders>
                  <w:noWrap w:val="0"/>
                  <w:vAlign w:val="center"/>
                </w:tcPr>
                <w:p>
                  <w:pPr>
                    <w:jc w:val="center"/>
                    <w:textAlignment w:val="baseline"/>
                    <w:rPr>
                      <w:rStyle w:val="96"/>
                      <w:color w:val="auto"/>
                      <w:sz w:val="21"/>
                      <w:szCs w:val="21"/>
                      <w:lang w:val="zh-CN"/>
                    </w:rPr>
                  </w:pPr>
                  <w:r>
                    <w:rPr>
                      <w:rStyle w:val="96"/>
                      <w:color w:val="auto"/>
                      <w:sz w:val="21"/>
                      <w:szCs w:val="21"/>
                      <w:lang w:val="zh-CN"/>
                    </w:rPr>
                    <w:t>序号</w:t>
                  </w:r>
                </w:p>
              </w:tc>
              <w:tc>
                <w:tcPr>
                  <w:tcW w:w="3491" w:type="dxa"/>
                  <w:tcBorders>
                    <w:tl2br w:val="nil"/>
                    <w:tr2bl w:val="nil"/>
                  </w:tcBorders>
                  <w:noWrap w:val="0"/>
                  <w:vAlign w:val="center"/>
                </w:tcPr>
                <w:p>
                  <w:pPr>
                    <w:jc w:val="center"/>
                    <w:textAlignment w:val="baseline"/>
                    <w:rPr>
                      <w:rStyle w:val="96"/>
                      <w:color w:val="auto"/>
                      <w:sz w:val="21"/>
                      <w:szCs w:val="21"/>
                      <w:lang w:val="zh-CN"/>
                    </w:rPr>
                  </w:pPr>
                  <w:r>
                    <w:rPr>
                      <w:rStyle w:val="96"/>
                      <w:rFonts w:hint="eastAsia"/>
                      <w:color w:val="auto"/>
                      <w:sz w:val="21"/>
                      <w:szCs w:val="21"/>
                      <w:lang w:val="zh-CN"/>
                    </w:rPr>
                    <w:t>锅炉型号</w:t>
                  </w:r>
                </w:p>
              </w:tc>
              <w:tc>
                <w:tcPr>
                  <w:tcW w:w="3191" w:type="dxa"/>
                  <w:tcBorders>
                    <w:tl2br w:val="nil"/>
                    <w:tr2bl w:val="nil"/>
                  </w:tcBorders>
                  <w:noWrap w:val="0"/>
                  <w:vAlign w:val="center"/>
                </w:tcPr>
                <w:p>
                  <w:pPr>
                    <w:jc w:val="center"/>
                    <w:textAlignment w:val="baseline"/>
                    <w:rPr>
                      <w:rStyle w:val="96"/>
                      <w:color w:val="auto"/>
                      <w:sz w:val="21"/>
                      <w:szCs w:val="21"/>
                      <w:lang w:val="zh-CN"/>
                    </w:rPr>
                  </w:pPr>
                  <w:r>
                    <w:rPr>
                      <w:rFonts w:hint="eastAsia" w:ascii="Times New Roman" w:hAnsi="Times New Roman" w:eastAsia="宋体" w:cs="Times New Roman"/>
                      <w:color w:val="auto"/>
                      <w:sz w:val="21"/>
                      <w:szCs w:val="21"/>
                      <w:highlight w:val="none"/>
                      <w:lang w:val="en-US" w:eastAsia="zh-CN"/>
                    </w:rPr>
                    <w:t>SHS-12-2.45-Q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263" w:type="dxa"/>
                  <w:tcBorders>
                    <w:tl2br w:val="nil"/>
                    <w:tr2bl w:val="nil"/>
                  </w:tcBorders>
                  <w:noWrap w:val="0"/>
                  <w:vAlign w:val="center"/>
                </w:tcPr>
                <w:p>
                  <w:pPr>
                    <w:jc w:val="center"/>
                    <w:textAlignment w:val="baseline"/>
                    <w:rPr>
                      <w:rStyle w:val="96"/>
                      <w:color w:val="auto"/>
                      <w:sz w:val="21"/>
                      <w:szCs w:val="21"/>
                      <w:lang w:val="zh-CN"/>
                    </w:rPr>
                  </w:pPr>
                  <w:r>
                    <w:rPr>
                      <w:rStyle w:val="96"/>
                      <w:color w:val="auto"/>
                      <w:sz w:val="21"/>
                      <w:szCs w:val="21"/>
                      <w:lang w:val="zh-CN"/>
                    </w:rPr>
                    <w:t>1</w:t>
                  </w:r>
                </w:p>
              </w:tc>
              <w:tc>
                <w:tcPr>
                  <w:tcW w:w="3491"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额定蒸汽量</w:t>
                  </w:r>
                </w:p>
              </w:tc>
              <w:tc>
                <w:tcPr>
                  <w:tcW w:w="3191"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1</w:t>
                  </w:r>
                  <w:r>
                    <w:rPr>
                      <w:rStyle w:val="96"/>
                      <w:rFonts w:hint="eastAsia"/>
                      <w:color w:val="auto"/>
                      <w:sz w:val="21"/>
                      <w:szCs w:val="21"/>
                      <w:lang w:val="en-US"/>
                    </w:rPr>
                    <w:t>2</w:t>
                  </w:r>
                  <w:r>
                    <w:rPr>
                      <w:rStyle w:val="96"/>
                      <w:rFonts w:hint="eastAsia"/>
                      <w:color w:val="auto"/>
                      <w:sz w:val="21"/>
                      <w:szCs w:val="21"/>
                    </w:rPr>
                    <w:t>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63" w:type="dxa"/>
                  <w:tcBorders>
                    <w:tl2br w:val="nil"/>
                    <w:tr2bl w:val="nil"/>
                  </w:tcBorders>
                  <w:noWrap w:val="0"/>
                  <w:vAlign w:val="center"/>
                </w:tcPr>
                <w:p>
                  <w:pPr>
                    <w:jc w:val="center"/>
                    <w:textAlignment w:val="baseline"/>
                    <w:rPr>
                      <w:rStyle w:val="96"/>
                      <w:color w:val="auto"/>
                      <w:sz w:val="21"/>
                      <w:szCs w:val="21"/>
                    </w:rPr>
                  </w:pPr>
                  <w:r>
                    <w:rPr>
                      <w:rStyle w:val="96"/>
                      <w:color w:val="auto"/>
                      <w:sz w:val="21"/>
                      <w:szCs w:val="21"/>
                    </w:rPr>
                    <w:t>2</w:t>
                  </w:r>
                </w:p>
              </w:tc>
              <w:tc>
                <w:tcPr>
                  <w:tcW w:w="3491" w:type="dxa"/>
                  <w:tcBorders>
                    <w:tl2br w:val="nil"/>
                    <w:tr2bl w:val="nil"/>
                  </w:tcBorders>
                  <w:noWrap w:val="0"/>
                  <w:vAlign w:val="center"/>
                </w:tcPr>
                <w:p>
                  <w:pPr>
                    <w:jc w:val="center"/>
                    <w:textAlignment w:val="baseline"/>
                    <w:rPr>
                      <w:rStyle w:val="96"/>
                      <w:color w:val="auto"/>
                      <w:sz w:val="21"/>
                      <w:szCs w:val="21"/>
                      <w:lang w:val="zh-CN"/>
                    </w:rPr>
                  </w:pPr>
                  <w:r>
                    <w:rPr>
                      <w:rStyle w:val="96"/>
                      <w:rFonts w:hint="eastAsia"/>
                      <w:color w:val="auto"/>
                      <w:sz w:val="21"/>
                      <w:szCs w:val="21"/>
                      <w:lang w:val="zh-CN"/>
                    </w:rPr>
                    <w:t>额定工作压力</w:t>
                  </w:r>
                </w:p>
              </w:tc>
              <w:tc>
                <w:tcPr>
                  <w:tcW w:w="3191"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lang w:val="en-US"/>
                    </w:rPr>
                    <w:t>2.45</w:t>
                  </w:r>
                  <w:r>
                    <w:rPr>
                      <w:rStyle w:val="96"/>
                      <w:rFonts w:hint="eastAsia"/>
                      <w:color w:val="auto"/>
                      <w:sz w:val="21"/>
                      <w:szCs w:val="21"/>
                    </w:rPr>
                    <w:t>Mpa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263" w:type="dxa"/>
                  <w:tcBorders>
                    <w:tl2br w:val="nil"/>
                    <w:tr2bl w:val="nil"/>
                  </w:tcBorders>
                  <w:noWrap w:val="0"/>
                  <w:vAlign w:val="center"/>
                </w:tcPr>
                <w:p>
                  <w:pPr>
                    <w:jc w:val="center"/>
                    <w:textAlignment w:val="baseline"/>
                    <w:rPr>
                      <w:rStyle w:val="96"/>
                      <w:color w:val="auto"/>
                      <w:sz w:val="21"/>
                      <w:szCs w:val="21"/>
                    </w:rPr>
                  </w:pPr>
                  <w:r>
                    <w:rPr>
                      <w:rStyle w:val="96"/>
                      <w:color w:val="auto"/>
                      <w:sz w:val="21"/>
                      <w:szCs w:val="21"/>
                    </w:rPr>
                    <w:t>3</w:t>
                  </w:r>
                </w:p>
              </w:tc>
              <w:tc>
                <w:tcPr>
                  <w:tcW w:w="3491" w:type="dxa"/>
                  <w:tcBorders>
                    <w:tl2br w:val="nil"/>
                    <w:tr2bl w:val="nil"/>
                  </w:tcBorders>
                  <w:noWrap w:val="0"/>
                  <w:vAlign w:val="center"/>
                </w:tcPr>
                <w:p>
                  <w:pPr>
                    <w:jc w:val="center"/>
                    <w:textAlignment w:val="baseline"/>
                    <w:rPr>
                      <w:rStyle w:val="96"/>
                      <w:color w:val="auto"/>
                      <w:sz w:val="21"/>
                      <w:szCs w:val="21"/>
                      <w:lang w:val="zh-CN"/>
                    </w:rPr>
                  </w:pPr>
                  <w:r>
                    <w:rPr>
                      <w:rStyle w:val="96"/>
                      <w:rFonts w:hint="eastAsia"/>
                      <w:color w:val="auto"/>
                      <w:sz w:val="21"/>
                      <w:szCs w:val="21"/>
                      <w:lang w:val="zh-CN"/>
                    </w:rPr>
                    <w:t>给水温度</w:t>
                  </w:r>
                </w:p>
              </w:tc>
              <w:tc>
                <w:tcPr>
                  <w:tcW w:w="3191" w:type="dxa"/>
                  <w:tcBorders>
                    <w:tl2br w:val="nil"/>
                    <w:tr2bl w:val="nil"/>
                  </w:tcBorders>
                  <w:noWrap w:val="0"/>
                  <w:vAlign w:val="center"/>
                </w:tcPr>
                <w:p>
                  <w:pPr>
                    <w:jc w:val="center"/>
                    <w:textAlignment w:val="baseline"/>
                    <w:rPr>
                      <w:rStyle w:val="96"/>
                      <w:rFonts w:hint="default"/>
                      <w:color w:val="auto"/>
                      <w:sz w:val="21"/>
                      <w:szCs w:val="21"/>
                      <w:lang w:val="en-US"/>
                    </w:rPr>
                  </w:pPr>
                  <w:r>
                    <w:rPr>
                      <w:rStyle w:val="96"/>
                      <w:rFonts w:hint="eastAsia"/>
                      <w:color w:val="auto"/>
                      <w:sz w:val="21"/>
                      <w:szCs w:val="21"/>
                      <w:lang w:val="en-US"/>
                    </w:rPr>
                    <w:t>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263"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4</w:t>
                  </w:r>
                </w:p>
              </w:tc>
              <w:tc>
                <w:tcPr>
                  <w:tcW w:w="3491" w:type="dxa"/>
                  <w:tcBorders>
                    <w:tl2br w:val="nil"/>
                    <w:tr2bl w:val="nil"/>
                  </w:tcBorders>
                  <w:noWrap w:val="0"/>
                  <w:vAlign w:val="center"/>
                </w:tcPr>
                <w:p>
                  <w:pPr>
                    <w:jc w:val="center"/>
                    <w:textAlignment w:val="baseline"/>
                    <w:rPr>
                      <w:rStyle w:val="96"/>
                      <w:color w:val="auto"/>
                      <w:sz w:val="21"/>
                      <w:szCs w:val="21"/>
                      <w:lang w:val="zh-CN"/>
                    </w:rPr>
                  </w:pPr>
                  <w:r>
                    <w:rPr>
                      <w:rStyle w:val="96"/>
                      <w:rFonts w:hint="eastAsia"/>
                      <w:color w:val="auto"/>
                      <w:sz w:val="21"/>
                      <w:szCs w:val="21"/>
                      <w:lang w:val="zh-CN"/>
                    </w:rPr>
                    <w:t>出口蒸汽温度</w:t>
                  </w:r>
                </w:p>
              </w:tc>
              <w:tc>
                <w:tcPr>
                  <w:tcW w:w="3191"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2</w:t>
                  </w:r>
                  <w:r>
                    <w:rPr>
                      <w:rStyle w:val="96"/>
                      <w:rFonts w:hint="eastAsia"/>
                      <w:color w:val="auto"/>
                      <w:sz w:val="21"/>
                      <w:szCs w:val="21"/>
                      <w:lang w:val="en-US"/>
                    </w:rPr>
                    <w:t>2</w:t>
                  </w:r>
                  <w:r>
                    <w:rPr>
                      <w:rStyle w:val="96"/>
                      <w:rFonts w:hint="eastAsia"/>
                      <w:color w:val="auto"/>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263" w:type="dxa"/>
                  <w:tcBorders>
                    <w:tl2br w:val="nil"/>
                    <w:tr2bl w:val="nil"/>
                  </w:tcBorders>
                  <w:noWrap w:val="0"/>
                  <w:vAlign w:val="center"/>
                </w:tcPr>
                <w:p>
                  <w:pPr>
                    <w:jc w:val="center"/>
                    <w:textAlignment w:val="baseline"/>
                    <w:rPr>
                      <w:rStyle w:val="96"/>
                      <w:color w:val="auto"/>
                      <w:sz w:val="21"/>
                      <w:szCs w:val="21"/>
                    </w:rPr>
                  </w:pPr>
                  <w:r>
                    <w:rPr>
                      <w:rStyle w:val="96"/>
                      <w:color w:val="auto"/>
                      <w:sz w:val="21"/>
                      <w:szCs w:val="21"/>
                    </w:rPr>
                    <w:t>5</w:t>
                  </w:r>
                </w:p>
              </w:tc>
              <w:tc>
                <w:tcPr>
                  <w:tcW w:w="3491" w:type="dxa"/>
                  <w:tcBorders>
                    <w:tl2br w:val="nil"/>
                    <w:tr2bl w:val="nil"/>
                  </w:tcBorders>
                  <w:noWrap w:val="0"/>
                  <w:vAlign w:val="center"/>
                </w:tcPr>
                <w:p>
                  <w:pPr>
                    <w:jc w:val="center"/>
                    <w:textAlignment w:val="baseline"/>
                    <w:rPr>
                      <w:rStyle w:val="96"/>
                      <w:color w:val="auto"/>
                      <w:sz w:val="21"/>
                      <w:szCs w:val="21"/>
                      <w:lang w:val="zh-CN"/>
                    </w:rPr>
                  </w:pPr>
                  <w:r>
                    <w:rPr>
                      <w:rStyle w:val="96"/>
                      <w:rFonts w:hint="eastAsia"/>
                      <w:color w:val="auto"/>
                      <w:sz w:val="21"/>
                      <w:szCs w:val="21"/>
                      <w:lang w:val="zh-CN"/>
                    </w:rPr>
                    <w:t>水压试验</w:t>
                  </w:r>
                </w:p>
              </w:tc>
              <w:tc>
                <w:tcPr>
                  <w:tcW w:w="3191" w:type="dxa"/>
                  <w:tcBorders>
                    <w:tl2br w:val="nil"/>
                    <w:tr2bl w:val="nil"/>
                  </w:tcBorders>
                  <w:noWrap w:val="0"/>
                  <w:vAlign w:val="center"/>
                </w:tcPr>
                <w:p>
                  <w:pPr>
                    <w:jc w:val="center"/>
                    <w:textAlignment w:val="baseline"/>
                    <w:rPr>
                      <w:rStyle w:val="96"/>
                      <w:rFonts w:hint="default"/>
                      <w:color w:val="auto"/>
                      <w:sz w:val="21"/>
                      <w:szCs w:val="21"/>
                      <w:lang w:val="en-US"/>
                    </w:rPr>
                  </w:pPr>
                  <w:r>
                    <w:rPr>
                      <w:rStyle w:val="96"/>
                      <w:rFonts w:hint="eastAsia"/>
                      <w:color w:val="auto"/>
                      <w:sz w:val="21"/>
                      <w:szCs w:val="21"/>
                      <w:lang w:val="en-US"/>
                    </w:rPr>
                    <w:t>3Mpa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263"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6</w:t>
                  </w:r>
                </w:p>
              </w:tc>
              <w:tc>
                <w:tcPr>
                  <w:tcW w:w="3491" w:type="dxa"/>
                  <w:tcBorders>
                    <w:tl2br w:val="nil"/>
                    <w:tr2bl w:val="nil"/>
                  </w:tcBorders>
                  <w:noWrap w:val="0"/>
                  <w:vAlign w:val="center"/>
                </w:tcPr>
                <w:p>
                  <w:pPr>
                    <w:jc w:val="center"/>
                    <w:textAlignment w:val="baseline"/>
                    <w:rPr>
                      <w:rStyle w:val="96"/>
                      <w:color w:val="auto"/>
                      <w:sz w:val="21"/>
                      <w:szCs w:val="21"/>
                      <w:lang w:val="zh-CN"/>
                    </w:rPr>
                  </w:pPr>
                  <w:r>
                    <w:rPr>
                      <w:rStyle w:val="96"/>
                      <w:rFonts w:hint="eastAsia"/>
                      <w:color w:val="auto"/>
                      <w:sz w:val="21"/>
                      <w:szCs w:val="21"/>
                      <w:lang w:val="zh-CN"/>
                    </w:rPr>
                    <w:t>锅炉水容量</w:t>
                  </w:r>
                </w:p>
              </w:tc>
              <w:tc>
                <w:tcPr>
                  <w:tcW w:w="3191" w:type="dxa"/>
                  <w:tcBorders>
                    <w:tl2br w:val="nil"/>
                    <w:tr2bl w:val="nil"/>
                  </w:tcBorders>
                  <w:noWrap w:val="0"/>
                  <w:vAlign w:val="center"/>
                </w:tcPr>
                <w:p>
                  <w:pPr>
                    <w:jc w:val="center"/>
                    <w:textAlignment w:val="baseline"/>
                    <w:rPr>
                      <w:rStyle w:val="96"/>
                      <w:rFonts w:hint="default"/>
                      <w:color w:val="auto"/>
                      <w:sz w:val="21"/>
                      <w:szCs w:val="21"/>
                      <w:lang w:val="en-US"/>
                    </w:rPr>
                  </w:pPr>
                  <w:r>
                    <w:rPr>
                      <w:rStyle w:val="96"/>
                      <w:rFonts w:hint="eastAsia"/>
                      <w:color w:val="auto"/>
                      <w:sz w:val="21"/>
                      <w:szCs w:val="21"/>
                      <w:lang w:val="en-US"/>
                    </w:rPr>
                    <w:t>10t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63"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7</w:t>
                  </w:r>
                </w:p>
              </w:tc>
              <w:tc>
                <w:tcPr>
                  <w:tcW w:w="3491" w:type="dxa"/>
                  <w:tcBorders>
                    <w:tl2br w:val="nil"/>
                    <w:tr2bl w:val="nil"/>
                  </w:tcBorders>
                  <w:noWrap w:val="0"/>
                  <w:vAlign w:val="center"/>
                </w:tcPr>
                <w:p>
                  <w:pPr>
                    <w:jc w:val="center"/>
                    <w:textAlignment w:val="baseline"/>
                    <w:rPr>
                      <w:rStyle w:val="96"/>
                      <w:color w:val="auto"/>
                      <w:sz w:val="21"/>
                      <w:szCs w:val="21"/>
                      <w:lang w:val="zh-CN"/>
                    </w:rPr>
                  </w:pPr>
                  <w:r>
                    <w:rPr>
                      <w:rStyle w:val="96"/>
                      <w:rFonts w:hint="eastAsia"/>
                      <w:color w:val="auto"/>
                      <w:sz w:val="21"/>
                      <w:szCs w:val="21"/>
                      <w:lang w:val="zh-CN"/>
                    </w:rPr>
                    <w:t>满负荷烟尘初始排放浓度</w:t>
                  </w:r>
                </w:p>
              </w:tc>
              <w:tc>
                <w:tcPr>
                  <w:tcW w:w="3191" w:type="dxa"/>
                  <w:tcBorders>
                    <w:tl2br w:val="nil"/>
                    <w:tr2bl w:val="nil"/>
                  </w:tcBorders>
                  <w:noWrap w:val="0"/>
                  <w:vAlign w:val="center"/>
                </w:tcPr>
                <w:p>
                  <w:pPr>
                    <w:jc w:val="center"/>
                    <w:textAlignment w:val="baseline"/>
                    <w:rPr>
                      <w:rStyle w:val="96"/>
                      <w:rFonts w:hint="default"/>
                      <w:color w:val="auto"/>
                      <w:sz w:val="21"/>
                      <w:szCs w:val="21"/>
                      <w:lang w:val="en-US"/>
                    </w:rPr>
                  </w:pPr>
                  <w:r>
                    <w:rPr>
                      <w:rStyle w:val="96"/>
                      <w:rFonts w:hint="eastAsia"/>
                      <w:color w:val="auto"/>
                      <w:sz w:val="21"/>
                      <w:szCs w:val="21"/>
                      <w:lang w:val="en-US"/>
                    </w:rPr>
                    <w:t>50mg-100mg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263"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8</w:t>
                  </w:r>
                </w:p>
              </w:tc>
              <w:tc>
                <w:tcPr>
                  <w:tcW w:w="3491" w:type="dxa"/>
                  <w:tcBorders>
                    <w:tl2br w:val="nil"/>
                    <w:tr2bl w:val="nil"/>
                  </w:tcBorders>
                  <w:noWrap w:val="0"/>
                  <w:vAlign w:val="center"/>
                </w:tcPr>
                <w:p>
                  <w:pPr>
                    <w:jc w:val="center"/>
                    <w:textAlignment w:val="baseline"/>
                    <w:rPr>
                      <w:rStyle w:val="96"/>
                      <w:color w:val="auto"/>
                      <w:sz w:val="21"/>
                      <w:szCs w:val="21"/>
                      <w:lang w:val="zh-CN"/>
                    </w:rPr>
                  </w:pPr>
                  <w:r>
                    <w:rPr>
                      <w:rStyle w:val="96"/>
                      <w:rFonts w:hint="eastAsia"/>
                      <w:color w:val="auto"/>
                      <w:sz w:val="21"/>
                      <w:szCs w:val="21"/>
                      <w:lang w:val="zh-CN"/>
                    </w:rPr>
                    <w:t>烟气黑度</w:t>
                  </w:r>
                </w:p>
              </w:tc>
              <w:tc>
                <w:tcPr>
                  <w:tcW w:w="3191"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0.101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63"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9</w:t>
                  </w:r>
                </w:p>
              </w:tc>
              <w:tc>
                <w:tcPr>
                  <w:tcW w:w="3491" w:type="dxa"/>
                  <w:tcBorders>
                    <w:tl2br w:val="nil"/>
                    <w:tr2bl w:val="nil"/>
                  </w:tcBorders>
                  <w:noWrap w:val="0"/>
                  <w:vAlign w:val="center"/>
                </w:tcPr>
                <w:p>
                  <w:pPr>
                    <w:jc w:val="center"/>
                    <w:textAlignment w:val="baseline"/>
                    <w:rPr>
                      <w:rStyle w:val="96"/>
                      <w:color w:val="auto"/>
                      <w:sz w:val="21"/>
                      <w:szCs w:val="21"/>
                      <w:lang w:val="zh-CN"/>
                    </w:rPr>
                  </w:pPr>
                  <w:r>
                    <w:rPr>
                      <w:rStyle w:val="96"/>
                      <w:rFonts w:hint="eastAsia"/>
                      <w:color w:val="auto"/>
                      <w:sz w:val="21"/>
                      <w:szCs w:val="21"/>
                      <w:lang w:val="zh-CN"/>
                    </w:rPr>
                    <w:t>设计燃料</w:t>
                  </w:r>
                </w:p>
              </w:tc>
              <w:tc>
                <w:tcPr>
                  <w:tcW w:w="3191" w:type="dxa"/>
                  <w:tcBorders>
                    <w:tl2br w:val="nil"/>
                    <w:tr2bl w:val="nil"/>
                  </w:tcBorders>
                  <w:noWrap w:val="0"/>
                  <w:vAlign w:val="center"/>
                </w:tcPr>
                <w:p>
                  <w:pPr>
                    <w:jc w:val="center"/>
                    <w:textAlignment w:val="baseline"/>
                    <w:rPr>
                      <w:rStyle w:val="96"/>
                      <w:rFonts w:hint="default"/>
                      <w:color w:val="auto"/>
                      <w:sz w:val="21"/>
                      <w:szCs w:val="21"/>
                      <w:lang w:val="en-US"/>
                    </w:rPr>
                  </w:pPr>
                  <w:r>
                    <w:rPr>
                      <w:rStyle w:val="96"/>
                      <w:rFonts w:hint="eastAsia"/>
                      <w:color w:val="auto"/>
                      <w:sz w:val="21"/>
                      <w:szCs w:val="21"/>
                      <w:lang w:val="en-US"/>
                    </w:rPr>
                    <w:t>生物质气化气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263"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10</w:t>
                  </w:r>
                </w:p>
              </w:tc>
              <w:tc>
                <w:tcPr>
                  <w:tcW w:w="3491" w:type="dxa"/>
                  <w:tcBorders>
                    <w:tl2br w:val="nil"/>
                    <w:tr2bl w:val="nil"/>
                  </w:tcBorders>
                  <w:noWrap w:val="0"/>
                  <w:vAlign w:val="center"/>
                </w:tcPr>
                <w:p>
                  <w:pPr>
                    <w:jc w:val="center"/>
                    <w:textAlignment w:val="baseline"/>
                    <w:rPr>
                      <w:rStyle w:val="96"/>
                      <w:color w:val="auto"/>
                      <w:sz w:val="21"/>
                      <w:szCs w:val="21"/>
                      <w:lang w:val="zh-CN"/>
                    </w:rPr>
                  </w:pPr>
                  <w:r>
                    <w:rPr>
                      <w:rStyle w:val="96"/>
                      <w:rFonts w:hint="eastAsia"/>
                      <w:color w:val="auto"/>
                      <w:sz w:val="21"/>
                      <w:szCs w:val="21"/>
                      <w:lang w:val="zh-CN"/>
                    </w:rPr>
                    <w:t>燃料额定耗量</w:t>
                  </w:r>
                </w:p>
              </w:tc>
              <w:tc>
                <w:tcPr>
                  <w:tcW w:w="3191" w:type="dxa"/>
                  <w:tcBorders>
                    <w:tl2br w:val="nil"/>
                    <w:tr2bl w:val="nil"/>
                  </w:tcBorders>
                  <w:noWrap w:val="0"/>
                  <w:vAlign w:val="center"/>
                </w:tcPr>
                <w:p>
                  <w:pPr>
                    <w:jc w:val="center"/>
                    <w:textAlignment w:val="baseline"/>
                    <w:rPr>
                      <w:rStyle w:val="96"/>
                      <w:rFonts w:hint="default"/>
                      <w:color w:val="auto"/>
                      <w:sz w:val="21"/>
                      <w:szCs w:val="21"/>
                      <w:lang w:val="en-US"/>
                    </w:rPr>
                  </w:pPr>
                  <w:r>
                    <w:rPr>
                      <w:rStyle w:val="96"/>
                      <w:rFonts w:hint="eastAsia"/>
                      <w:color w:val="auto"/>
                      <w:sz w:val="21"/>
                      <w:szCs w:val="21"/>
                      <w:lang w:val="en-US"/>
                    </w:rPr>
                    <w:t>7500m3/h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263"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11</w:t>
                  </w:r>
                </w:p>
              </w:tc>
              <w:tc>
                <w:tcPr>
                  <w:tcW w:w="3491" w:type="dxa"/>
                  <w:tcBorders>
                    <w:tl2br w:val="nil"/>
                    <w:tr2bl w:val="nil"/>
                  </w:tcBorders>
                  <w:noWrap w:val="0"/>
                  <w:vAlign w:val="center"/>
                </w:tcPr>
                <w:p>
                  <w:pPr>
                    <w:jc w:val="center"/>
                    <w:textAlignment w:val="baseline"/>
                    <w:rPr>
                      <w:rStyle w:val="96"/>
                      <w:color w:val="auto"/>
                      <w:sz w:val="21"/>
                      <w:szCs w:val="21"/>
                      <w:lang w:val="zh-CN"/>
                    </w:rPr>
                  </w:pPr>
                  <w:r>
                    <w:rPr>
                      <w:rStyle w:val="96"/>
                      <w:rFonts w:hint="eastAsia"/>
                      <w:color w:val="auto"/>
                      <w:sz w:val="21"/>
                      <w:szCs w:val="21"/>
                      <w:lang w:val="zh-CN"/>
                    </w:rPr>
                    <w:t>锅炉尺寸</w:t>
                  </w:r>
                </w:p>
              </w:tc>
              <w:tc>
                <w:tcPr>
                  <w:tcW w:w="3191" w:type="dxa"/>
                  <w:tcBorders>
                    <w:tl2br w:val="nil"/>
                    <w:tr2bl w:val="nil"/>
                  </w:tcBorders>
                  <w:noWrap w:val="0"/>
                  <w:vAlign w:val="center"/>
                </w:tcPr>
                <w:p>
                  <w:pPr>
                    <w:jc w:val="center"/>
                    <w:textAlignment w:val="baseline"/>
                    <w:rPr>
                      <w:rStyle w:val="96"/>
                      <w:rFonts w:hint="default"/>
                      <w:color w:val="auto"/>
                      <w:sz w:val="21"/>
                      <w:szCs w:val="21"/>
                      <w:lang w:val="en-US"/>
                    </w:rPr>
                  </w:pPr>
                  <w:r>
                    <w:rPr>
                      <w:rStyle w:val="96"/>
                      <w:rFonts w:hint="eastAsia"/>
                      <w:color w:val="auto"/>
                      <w:sz w:val="21"/>
                      <w:szCs w:val="21"/>
                      <w:lang w:val="en-US"/>
                    </w:rPr>
                    <w:t>长9000宽4100高</w:t>
                  </w:r>
                </w:p>
              </w:tc>
            </w:tr>
          </w:tbl>
          <w:p>
            <w:pPr>
              <w:jc w:val="center"/>
              <w:rPr>
                <w:rFonts w:hint="eastAsia" w:eastAsia="宋体"/>
                <w:b/>
                <w:color w:val="auto"/>
                <w:sz w:val="21"/>
                <w:szCs w:val="21"/>
                <w:lang w:eastAsia="zh-CN"/>
              </w:rPr>
            </w:pPr>
            <w:r>
              <w:rPr>
                <w:b/>
                <w:color w:val="auto"/>
                <w:sz w:val="21"/>
                <w:szCs w:val="21"/>
              </w:rPr>
              <w:t>表</w:t>
            </w:r>
            <w:r>
              <w:rPr>
                <w:rFonts w:hint="eastAsia"/>
                <w:b/>
                <w:color w:val="auto"/>
                <w:sz w:val="21"/>
                <w:szCs w:val="21"/>
              </w:rPr>
              <w:t>2-</w:t>
            </w:r>
            <w:r>
              <w:rPr>
                <w:rFonts w:hint="eastAsia"/>
                <w:b/>
                <w:color w:val="auto"/>
                <w:sz w:val="21"/>
                <w:szCs w:val="21"/>
                <w:lang w:val="en-US" w:eastAsia="zh-CN"/>
              </w:rPr>
              <w:t>7</w:t>
            </w:r>
            <w:r>
              <w:rPr>
                <w:rFonts w:hint="eastAsia"/>
                <w:b/>
                <w:color w:val="auto"/>
                <w:sz w:val="21"/>
                <w:szCs w:val="21"/>
              </w:rPr>
              <w:t xml:space="preserve"> </w:t>
            </w:r>
            <w:r>
              <w:rPr>
                <w:rFonts w:hint="eastAsia"/>
                <w:b/>
                <w:color w:val="auto"/>
                <w:sz w:val="21"/>
                <w:szCs w:val="21"/>
                <w:lang w:val="en-US" w:eastAsia="zh-CN"/>
              </w:rPr>
              <w:t>气化</w:t>
            </w:r>
            <w:r>
              <w:rPr>
                <w:rFonts w:hint="eastAsia"/>
                <w:b/>
                <w:color w:val="auto"/>
                <w:sz w:val="21"/>
                <w:szCs w:val="21"/>
              </w:rPr>
              <w:t>技术参数</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3666"/>
              <w:gridCol w:w="33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355" w:type="dxa"/>
                  <w:tcBorders>
                    <w:tl2br w:val="nil"/>
                    <w:tr2bl w:val="nil"/>
                  </w:tcBorders>
                  <w:noWrap w:val="0"/>
                  <w:vAlign w:val="center"/>
                </w:tcPr>
                <w:p>
                  <w:pPr>
                    <w:jc w:val="center"/>
                    <w:textAlignment w:val="baseline"/>
                    <w:rPr>
                      <w:rStyle w:val="96"/>
                      <w:color w:val="auto"/>
                      <w:sz w:val="21"/>
                      <w:szCs w:val="21"/>
                      <w:lang w:val="zh-CN"/>
                    </w:rPr>
                  </w:pPr>
                  <w:r>
                    <w:rPr>
                      <w:rStyle w:val="96"/>
                      <w:color w:val="auto"/>
                      <w:sz w:val="21"/>
                      <w:szCs w:val="21"/>
                      <w:lang w:val="zh-CN"/>
                    </w:rPr>
                    <w:t>序号</w:t>
                  </w:r>
                </w:p>
              </w:tc>
              <w:tc>
                <w:tcPr>
                  <w:tcW w:w="3745" w:type="dxa"/>
                  <w:tcBorders>
                    <w:tl2br w:val="nil"/>
                    <w:tr2bl w:val="nil"/>
                  </w:tcBorders>
                  <w:noWrap w:val="0"/>
                  <w:vAlign w:val="center"/>
                </w:tcPr>
                <w:p>
                  <w:pPr>
                    <w:jc w:val="left"/>
                    <w:textAlignment w:val="baseline"/>
                    <w:rPr>
                      <w:rStyle w:val="96"/>
                      <w:color w:val="auto"/>
                      <w:sz w:val="21"/>
                      <w:szCs w:val="21"/>
                      <w:lang w:val="zh-CN"/>
                    </w:rPr>
                  </w:pPr>
                  <w:r>
                    <w:rPr>
                      <w:rStyle w:val="96"/>
                      <w:rFonts w:hint="eastAsia"/>
                      <w:color w:val="auto"/>
                      <w:sz w:val="21"/>
                      <w:szCs w:val="21"/>
                      <w:lang w:val="en-US"/>
                    </w:rPr>
                    <w:t>气化炉</w:t>
                  </w:r>
                  <w:r>
                    <w:rPr>
                      <w:rStyle w:val="96"/>
                      <w:rFonts w:hint="eastAsia"/>
                      <w:color w:val="auto"/>
                      <w:sz w:val="21"/>
                      <w:szCs w:val="21"/>
                      <w:lang w:val="zh-CN"/>
                    </w:rPr>
                    <w:t>型号</w:t>
                  </w:r>
                </w:p>
              </w:tc>
              <w:tc>
                <w:tcPr>
                  <w:tcW w:w="3423" w:type="dxa"/>
                  <w:tcBorders>
                    <w:tl2br w:val="nil"/>
                    <w:tr2bl w:val="nil"/>
                  </w:tcBorders>
                  <w:noWrap w:val="0"/>
                  <w:vAlign w:val="center"/>
                </w:tcPr>
                <w:p>
                  <w:pPr>
                    <w:jc w:val="left"/>
                    <w:textAlignment w:val="baseline"/>
                    <w:rPr>
                      <w:rStyle w:val="96"/>
                      <w:color w:val="auto"/>
                      <w:sz w:val="21"/>
                      <w:szCs w:val="21"/>
                      <w:lang w:val="zh-CN"/>
                    </w:rPr>
                  </w:pPr>
                  <w:r>
                    <w:rPr>
                      <w:rStyle w:val="96"/>
                      <w:rFonts w:hint="eastAsia"/>
                      <w:color w:val="auto"/>
                      <w:sz w:val="21"/>
                      <w:szCs w:val="21"/>
                      <w:lang w:val="en-US"/>
                    </w:rPr>
                    <w:t>12000LXQ3750-BPF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355" w:type="dxa"/>
                  <w:tcBorders>
                    <w:tl2br w:val="nil"/>
                    <w:tr2bl w:val="nil"/>
                  </w:tcBorders>
                  <w:noWrap w:val="0"/>
                  <w:vAlign w:val="center"/>
                </w:tcPr>
                <w:p>
                  <w:pPr>
                    <w:jc w:val="center"/>
                    <w:textAlignment w:val="baseline"/>
                    <w:rPr>
                      <w:rStyle w:val="96"/>
                      <w:color w:val="auto"/>
                      <w:sz w:val="21"/>
                      <w:szCs w:val="21"/>
                      <w:lang w:val="zh-CN"/>
                    </w:rPr>
                  </w:pPr>
                  <w:r>
                    <w:rPr>
                      <w:rStyle w:val="96"/>
                      <w:color w:val="auto"/>
                      <w:sz w:val="21"/>
                      <w:szCs w:val="21"/>
                      <w:lang w:val="zh-CN"/>
                    </w:rPr>
                    <w:t>1</w:t>
                  </w:r>
                </w:p>
              </w:tc>
              <w:tc>
                <w:tcPr>
                  <w:tcW w:w="3745" w:type="dxa"/>
                  <w:tcBorders>
                    <w:tl2br w:val="nil"/>
                    <w:tr2bl w:val="nil"/>
                  </w:tcBorders>
                  <w:noWrap w:val="0"/>
                  <w:vAlign w:val="center"/>
                </w:tcPr>
                <w:p>
                  <w:pPr>
                    <w:jc w:val="both"/>
                    <w:textAlignment w:val="baseline"/>
                    <w:rPr>
                      <w:rStyle w:val="96"/>
                      <w:rFonts w:hint="default"/>
                      <w:color w:val="auto"/>
                      <w:sz w:val="21"/>
                      <w:szCs w:val="21"/>
                      <w:lang w:val="en-US"/>
                    </w:rPr>
                  </w:pPr>
                  <w:r>
                    <w:rPr>
                      <w:rStyle w:val="96"/>
                      <w:rFonts w:hint="eastAsia"/>
                      <w:color w:val="auto"/>
                      <w:sz w:val="21"/>
                      <w:szCs w:val="21"/>
                      <w:lang w:val="en-US"/>
                    </w:rPr>
                    <w:t>生物质燃料消耗量</w:t>
                  </w:r>
                </w:p>
              </w:tc>
              <w:tc>
                <w:tcPr>
                  <w:tcW w:w="3423"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3750kg/h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55" w:type="dxa"/>
                  <w:tcBorders>
                    <w:tl2br w:val="nil"/>
                    <w:tr2bl w:val="nil"/>
                  </w:tcBorders>
                  <w:noWrap w:val="0"/>
                  <w:vAlign w:val="center"/>
                </w:tcPr>
                <w:p>
                  <w:pPr>
                    <w:jc w:val="center"/>
                    <w:textAlignment w:val="baseline"/>
                    <w:rPr>
                      <w:rStyle w:val="96"/>
                      <w:color w:val="auto"/>
                      <w:sz w:val="21"/>
                      <w:szCs w:val="21"/>
                    </w:rPr>
                  </w:pPr>
                  <w:r>
                    <w:rPr>
                      <w:rStyle w:val="96"/>
                      <w:color w:val="auto"/>
                      <w:sz w:val="21"/>
                      <w:szCs w:val="21"/>
                    </w:rPr>
                    <w:t>2</w:t>
                  </w:r>
                </w:p>
              </w:tc>
              <w:tc>
                <w:tcPr>
                  <w:tcW w:w="3745"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气化强度</w:t>
                  </w:r>
                </w:p>
              </w:tc>
              <w:tc>
                <w:tcPr>
                  <w:tcW w:w="3423"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450kg/（m</w:t>
                  </w:r>
                  <w:r>
                    <w:rPr>
                      <w:rStyle w:val="96"/>
                      <w:rFonts w:hint="eastAsia"/>
                      <w:color w:val="auto"/>
                      <w:sz w:val="21"/>
                      <w:szCs w:val="21"/>
                      <w:vertAlign w:val="superscript"/>
                      <w:lang w:val="en-US"/>
                    </w:rPr>
                    <w:t>2</w:t>
                  </w:r>
                  <w:r>
                    <w:rPr>
                      <w:rStyle w:val="96"/>
                      <w:rFonts w:hint="eastAsia"/>
                      <w:color w:val="auto"/>
                      <w:sz w:val="21"/>
                      <w:szCs w:val="21"/>
                      <w:lang w:val="en-US"/>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55" w:type="dxa"/>
                  <w:tcBorders>
                    <w:tl2br w:val="nil"/>
                    <w:tr2bl w:val="nil"/>
                  </w:tcBorders>
                  <w:noWrap w:val="0"/>
                  <w:vAlign w:val="center"/>
                </w:tcPr>
                <w:p>
                  <w:pPr>
                    <w:jc w:val="center"/>
                    <w:textAlignment w:val="baseline"/>
                    <w:rPr>
                      <w:rStyle w:val="96"/>
                      <w:color w:val="auto"/>
                      <w:sz w:val="21"/>
                      <w:szCs w:val="21"/>
                    </w:rPr>
                  </w:pPr>
                  <w:r>
                    <w:rPr>
                      <w:rStyle w:val="96"/>
                      <w:color w:val="auto"/>
                      <w:sz w:val="21"/>
                      <w:szCs w:val="21"/>
                    </w:rPr>
                    <w:t>3</w:t>
                  </w:r>
                </w:p>
              </w:tc>
              <w:tc>
                <w:tcPr>
                  <w:tcW w:w="3745"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产气量输出功率</w:t>
                  </w:r>
                </w:p>
              </w:tc>
              <w:tc>
                <w:tcPr>
                  <w:tcW w:w="3423"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1080X104kcal/h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5" w:hRule="atLeast"/>
                <w:jc w:val="center"/>
              </w:trPr>
              <w:tc>
                <w:tcPr>
                  <w:tcW w:w="1355"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4</w:t>
                  </w:r>
                </w:p>
              </w:tc>
              <w:tc>
                <w:tcPr>
                  <w:tcW w:w="3745"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额定产气量</w:t>
                  </w:r>
                </w:p>
              </w:tc>
              <w:tc>
                <w:tcPr>
                  <w:tcW w:w="3423" w:type="dxa"/>
                  <w:tcBorders>
                    <w:tl2br w:val="nil"/>
                    <w:tr2bl w:val="nil"/>
                  </w:tcBorders>
                  <w:noWrap w:val="0"/>
                  <w:vAlign w:val="center"/>
                </w:tcPr>
                <w:p>
                  <w:pPr>
                    <w:jc w:val="left"/>
                    <w:textAlignment w:val="baseline"/>
                    <w:rPr>
                      <w:rStyle w:val="96"/>
                      <w:rFonts w:hint="default"/>
                      <w:color w:val="auto"/>
                      <w:sz w:val="21"/>
                      <w:szCs w:val="21"/>
                      <w:vertAlign w:val="baseline"/>
                      <w:lang w:val="en-US"/>
                    </w:rPr>
                  </w:pPr>
                  <w:r>
                    <w:rPr>
                      <w:rStyle w:val="96"/>
                      <w:rFonts w:hint="eastAsia"/>
                      <w:color w:val="auto"/>
                      <w:sz w:val="21"/>
                      <w:szCs w:val="21"/>
                      <w:lang w:val="en-US"/>
                    </w:rPr>
                    <w:t>8250m</w:t>
                  </w:r>
                  <w:r>
                    <w:rPr>
                      <w:rStyle w:val="96"/>
                      <w:rFonts w:hint="eastAsia"/>
                      <w:color w:val="auto"/>
                      <w:sz w:val="21"/>
                      <w:szCs w:val="21"/>
                      <w:vertAlign w:val="superscript"/>
                      <w:lang w:val="en-US"/>
                    </w:rPr>
                    <w:t>3</w:t>
                  </w:r>
                  <w:r>
                    <w:rPr>
                      <w:rStyle w:val="96"/>
                      <w:rFonts w:hint="eastAsia"/>
                      <w:color w:val="auto"/>
                      <w:sz w:val="21"/>
                      <w:szCs w:val="21"/>
                      <w:vertAlign w:val="baseline"/>
                      <w:lang w:val="en-US"/>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355" w:type="dxa"/>
                  <w:tcBorders>
                    <w:tl2br w:val="nil"/>
                    <w:tr2bl w:val="nil"/>
                  </w:tcBorders>
                  <w:noWrap w:val="0"/>
                  <w:vAlign w:val="center"/>
                </w:tcPr>
                <w:p>
                  <w:pPr>
                    <w:jc w:val="center"/>
                    <w:textAlignment w:val="baseline"/>
                    <w:rPr>
                      <w:rStyle w:val="96"/>
                      <w:color w:val="auto"/>
                      <w:sz w:val="21"/>
                      <w:szCs w:val="21"/>
                    </w:rPr>
                  </w:pPr>
                  <w:r>
                    <w:rPr>
                      <w:rStyle w:val="96"/>
                      <w:color w:val="auto"/>
                      <w:sz w:val="21"/>
                      <w:szCs w:val="21"/>
                    </w:rPr>
                    <w:t>5</w:t>
                  </w:r>
                </w:p>
              </w:tc>
              <w:tc>
                <w:tcPr>
                  <w:tcW w:w="3745"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气化效率</w:t>
                  </w:r>
                </w:p>
              </w:tc>
              <w:tc>
                <w:tcPr>
                  <w:tcW w:w="3423"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355"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6</w:t>
                  </w:r>
                </w:p>
              </w:tc>
              <w:tc>
                <w:tcPr>
                  <w:tcW w:w="3745"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生物质燃料水分要求</w:t>
                  </w:r>
                </w:p>
              </w:tc>
              <w:tc>
                <w:tcPr>
                  <w:tcW w:w="3423"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55"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7</w:t>
                  </w:r>
                </w:p>
              </w:tc>
              <w:tc>
                <w:tcPr>
                  <w:tcW w:w="3745"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生物质燃料粒度要求</w:t>
                  </w:r>
                </w:p>
              </w:tc>
              <w:tc>
                <w:tcPr>
                  <w:tcW w:w="3423"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30-100mm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55"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8</w:t>
                  </w:r>
                </w:p>
              </w:tc>
              <w:tc>
                <w:tcPr>
                  <w:tcW w:w="3745"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生物质燃气热值</w:t>
                  </w:r>
                </w:p>
              </w:tc>
              <w:tc>
                <w:tcPr>
                  <w:tcW w:w="3423"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1000--1400kcal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355"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9</w:t>
                  </w:r>
                </w:p>
              </w:tc>
              <w:tc>
                <w:tcPr>
                  <w:tcW w:w="3745"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设备占地面积</w:t>
                  </w:r>
                </w:p>
              </w:tc>
              <w:tc>
                <w:tcPr>
                  <w:tcW w:w="3423"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200m</w:t>
                  </w:r>
                  <w:r>
                    <w:rPr>
                      <w:rStyle w:val="96"/>
                      <w:rFonts w:hint="eastAsia"/>
                      <w:color w:val="auto"/>
                      <w:sz w:val="21"/>
                      <w:szCs w:val="21"/>
                      <w:vertAlign w:val="superscript"/>
                      <w:lang w:val="en-US"/>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55" w:type="dxa"/>
                  <w:tcBorders>
                    <w:tl2br w:val="nil"/>
                    <w:tr2bl w:val="nil"/>
                  </w:tcBorders>
                  <w:noWrap w:val="0"/>
                  <w:vAlign w:val="center"/>
                </w:tcPr>
                <w:p>
                  <w:pPr>
                    <w:jc w:val="center"/>
                    <w:textAlignment w:val="baseline"/>
                    <w:rPr>
                      <w:rStyle w:val="96"/>
                      <w:color w:val="auto"/>
                      <w:sz w:val="21"/>
                      <w:szCs w:val="21"/>
                    </w:rPr>
                  </w:pPr>
                  <w:r>
                    <w:rPr>
                      <w:rStyle w:val="96"/>
                      <w:rFonts w:hint="eastAsia"/>
                      <w:color w:val="auto"/>
                      <w:sz w:val="21"/>
                      <w:szCs w:val="21"/>
                    </w:rPr>
                    <w:t>10</w:t>
                  </w:r>
                </w:p>
              </w:tc>
              <w:tc>
                <w:tcPr>
                  <w:tcW w:w="3745"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设备耗电功率</w:t>
                  </w:r>
                </w:p>
              </w:tc>
              <w:tc>
                <w:tcPr>
                  <w:tcW w:w="3423" w:type="dxa"/>
                  <w:tcBorders>
                    <w:tl2br w:val="nil"/>
                    <w:tr2bl w:val="nil"/>
                  </w:tcBorders>
                  <w:noWrap w:val="0"/>
                  <w:vAlign w:val="center"/>
                </w:tcPr>
                <w:p>
                  <w:pPr>
                    <w:jc w:val="left"/>
                    <w:textAlignment w:val="baseline"/>
                    <w:rPr>
                      <w:rStyle w:val="96"/>
                      <w:rFonts w:hint="default"/>
                      <w:color w:val="auto"/>
                      <w:sz w:val="21"/>
                      <w:szCs w:val="21"/>
                      <w:lang w:val="en-US"/>
                    </w:rPr>
                  </w:pPr>
                  <w:r>
                    <w:rPr>
                      <w:rStyle w:val="96"/>
                      <w:rFonts w:hint="eastAsia"/>
                      <w:color w:val="auto"/>
                      <w:sz w:val="21"/>
                      <w:szCs w:val="21"/>
                      <w:lang w:val="en-US"/>
                    </w:rPr>
                    <w:t>单套110KW/H实际为60%</w:t>
                  </w:r>
                </w:p>
              </w:tc>
            </w:tr>
          </w:tbl>
          <w:p>
            <w:pPr>
              <w:pStyle w:val="22"/>
              <w:spacing w:line="360" w:lineRule="auto"/>
              <w:ind w:firstLine="482"/>
              <w:rPr>
                <w:rFonts w:hint="default" w:ascii="Times New Roman" w:hAnsi="Times New Roman" w:cs="Times New Roman"/>
              </w:rPr>
            </w:pPr>
            <w:r>
              <w:rPr>
                <w:rFonts w:hint="default" w:ascii="Times New Roman" w:hAnsi="Times New Roman" w:cs="Times New Roman"/>
              </w:rPr>
              <w:t>7、公用工程</w:t>
            </w:r>
          </w:p>
          <w:p>
            <w:pPr>
              <w:spacing w:line="360" w:lineRule="auto"/>
              <w:ind w:firstLine="480"/>
              <w:rPr>
                <w:rFonts w:hint="default" w:ascii="Times New Roman" w:hAnsi="Times New Roman" w:cs="Times New Roman"/>
                <w:b/>
                <w:sz w:val="24"/>
              </w:rPr>
            </w:pPr>
            <w:r>
              <w:rPr>
                <w:rFonts w:hint="default" w:ascii="Times New Roman" w:hAnsi="Times New Roman" w:cs="Times New Roman" w:eastAsiaTheme="minorEastAsia"/>
                <w:b/>
                <w:sz w:val="24"/>
              </w:rPr>
              <w:t>（1）供电</w:t>
            </w:r>
          </w:p>
          <w:p>
            <w:pPr>
              <w:pStyle w:val="7"/>
              <w:widowControl/>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建设项目用电由市政电网供给，由380/220V配电线路引入，新建变配电站，满足项目各车间使用。应急照明采用自带蓄电池的应急照明灯具。</w:t>
            </w:r>
          </w:p>
          <w:p>
            <w:pPr>
              <w:pStyle w:val="58"/>
              <w:numPr>
                <w:ilvl w:val="0"/>
                <w:numId w:val="2"/>
              </w:numPr>
              <w:adjustRightInd w:val="0"/>
              <w:snapToGrid w:val="0"/>
              <w:spacing w:beforeLines="0"/>
              <w:ind w:firstLine="422" w:firstLineChars="0"/>
              <w:rPr>
                <w:rFonts w:hint="default" w:ascii="Times New Roman" w:hAnsi="Times New Roman" w:cs="Times New Roman"/>
                <w:b/>
              </w:rPr>
            </w:pPr>
            <w:r>
              <w:rPr>
                <w:rFonts w:hint="default" w:ascii="Times New Roman" w:hAnsi="Times New Roman" w:cs="Times New Roman"/>
                <w:b/>
                <w:lang w:val="en-US" w:eastAsia="zh-CN"/>
              </w:rPr>
              <w:t>给水</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建设项目厂区内生活用水由园区市政供水管网统一供给，生产用水给水系统采用单元制，设</w:t>
            </w:r>
            <w:r>
              <w:rPr>
                <w:rFonts w:hint="default" w:ascii="Times New Roman" w:hAnsi="Times New Roman" w:cs="Times New Roman"/>
                <w:kern w:val="0"/>
                <w:sz w:val="24"/>
                <w:lang w:val="en-US" w:eastAsia="zh-CN" w:bidi="ar"/>
              </w:rPr>
              <w:t>有</w:t>
            </w:r>
            <w:r>
              <w:rPr>
                <w:rFonts w:hint="default" w:ascii="Times New Roman" w:hAnsi="Times New Roman" w:cs="Times New Roman"/>
                <w:kern w:val="0"/>
                <w:sz w:val="24"/>
                <w:lang w:bidi="ar"/>
              </w:rPr>
              <w:t>管道，</w:t>
            </w:r>
            <w:r>
              <w:rPr>
                <w:rFonts w:hint="default" w:ascii="Times New Roman" w:hAnsi="Times New Roman" w:cs="Times New Roman"/>
                <w:kern w:val="0"/>
                <w:sz w:val="24"/>
                <w:lang w:val="en-US" w:eastAsia="zh-CN" w:bidi="ar"/>
              </w:rPr>
              <w:t>经钠离子软水处理装置软化后，</w:t>
            </w:r>
            <w:r>
              <w:rPr>
                <w:rFonts w:hint="default" w:ascii="Times New Roman" w:hAnsi="Times New Roman" w:cs="Times New Roman"/>
                <w:kern w:val="0"/>
                <w:sz w:val="24"/>
                <w:lang w:bidi="ar"/>
              </w:rPr>
              <w:t>由系统水箱接入本项目锅炉。</w:t>
            </w:r>
          </w:p>
          <w:p>
            <w:pPr>
              <w:widowControl/>
              <w:adjustRightInd w:val="0"/>
              <w:snapToGrid w:val="0"/>
              <w:spacing w:line="360" w:lineRule="auto"/>
              <w:ind w:firstLine="480" w:firstLineChars="200"/>
              <w:jc w:val="left"/>
              <w:rPr>
                <w:rFonts w:hint="default" w:ascii="Times New Roman" w:hAnsi="Times New Roman" w:cs="Times New Roman"/>
                <w:kern w:val="0"/>
                <w:sz w:val="24"/>
                <w:lang w:eastAsia="zh-CN" w:bidi="ar"/>
              </w:rPr>
            </w:pPr>
            <w:r>
              <w:rPr>
                <w:rFonts w:hint="default" w:ascii="Times New Roman" w:hAnsi="Times New Roman" w:cs="Times New Roman"/>
                <w:kern w:val="0"/>
                <w:sz w:val="24"/>
                <w:lang w:eastAsia="zh-CN" w:bidi="ar"/>
              </w:rPr>
              <w:t>①锅炉补充用水</w:t>
            </w:r>
          </w:p>
          <w:p>
            <w:pPr>
              <w:widowControl/>
              <w:adjustRightInd w:val="0"/>
              <w:snapToGrid w:val="0"/>
              <w:spacing w:line="360" w:lineRule="auto"/>
              <w:ind w:firstLine="480" w:firstLineChars="200"/>
              <w:jc w:val="left"/>
              <w:rPr>
                <w:rFonts w:hint="default" w:ascii="Times New Roman" w:hAnsi="Times New Roman" w:cs="Times New Roman"/>
                <w:kern w:val="0"/>
                <w:sz w:val="24"/>
                <w:lang w:eastAsia="zh-CN" w:bidi="ar"/>
              </w:rPr>
            </w:pPr>
            <w:r>
              <w:rPr>
                <w:rFonts w:hint="default" w:ascii="Times New Roman" w:hAnsi="Times New Roman" w:cs="Times New Roman"/>
                <w:kern w:val="0"/>
                <w:sz w:val="24"/>
                <w:lang w:val="en-US" w:eastAsia="zh-CN" w:bidi="ar"/>
              </w:rPr>
              <w:t>本项目</w:t>
            </w:r>
            <w:r>
              <w:rPr>
                <w:rFonts w:hint="default" w:ascii="Times New Roman" w:hAnsi="Times New Roman" w:cs="Times New Roman"/>
                <w:kern w:val="0"/>
                <w:sz w:val="24"/>
                <w:lang w:bidi="ar"/>
              </w:rPr>
              <w:t>设置有</w:t>
            </w:r>
            <w:r>
              <w:rPr>
                <w:rFonts w:hint="default" w:ascii="Times New Roman" w:hAnsi="Times New Roman" w:cs="Times New Roman"/>
                <w:kern w:val="0"/>
                <w:sz w:val="24"/>
                <w:lang w:val="en-US" w:eastAsia="zh-CN" w:bidi="ar"/>
              </w:rPr>
              <w:t>1</w:t>
            </w:r>
            <w:r>
              <w:rPr>
                <w:rFonts w:hint="default" w:ascii="Times New Roman" w:hAnsi="Times New Roman" w:cs="Times New Roman"/>
                <w:kern w:val="0"/>
                <w:sz w:val="24"/>
                <w:lang w:bidi="ar"/>
              </w:rPr>
              <w:t>台</w:t>
            </w:r>
            <w:r>
              <w:rPr>
                <w:rFonts w:hint="default" w:ascii="Times New Roman" w:hAnsi="Times New Roman" w:cs="Times New Roman"/>
                <w:kern w:val="0"/>
                <w:sz w:val="24"/>
                <w:lang w:val="en-US" w:eastAsia="zh-CN" w:bidi="ar"/>
              </w:rPr>
              <w:t>12</w:t>
            </w:r>
            <w:r>
              <w:rPr>
                <w:rFonts w:hint="default" w:ascii="Times New Roman" w:hAnsi="Times New Roman" w:cs="Times New Roman"/>
                <w:kern w:val="0"/>
                <w:sz w:val="24"/>
                <w:lang w:bidi="ar"/>
              </w:rPr>
              <w:t xml:space="preserve"> t/h生物质气化燃气锅炉，额定蒸汽量为</w:t>
            </w:r>
            <w:r>
              <w:rPr>
                <w:rFonts w:hint="default" w:ascii="Times New Roman" w:hAnsi="Times New Roman" w:cs="Times New Roman"/>
                <w:kern w:val="0"/>
                <w:sz w:val="24"/>
                <w:lang w:val="en-US" w:eastAsia="zh-CN" w:bidi="ar"/>
              </w:rPr>
              <w:t>12</w:t>
            </w:r>
            <w:r>
              <w:rPr>
                <w:rFonts w:hint="default" w:ascii="Times New Roman" w:hAnsi="Times New Roman" w:cs="Times New Roman"/>
                <w:kern w:val="0"/>
                <w:sz w:val="24"/>
                <w:lang w:bidi="ar"/>
              </w:rPr>
              <w:t>t/h（即</w:t>
            </w:r>
            <w:r>
              <w:rPr>
                <w:rFonts w:hint="default" w:ascii="Times New Roman" w:hAnsi="Times New Roman" w:cs="Times New Roman"/>
                <w:kern w:val="0"/>
                <w:sz w:val="24"/>
                <w:lang w:val="en-US" w:eastAsia="zh-CN" w:bidi="ar"/>
              </w:rPr>
              <w:t>95040</w:t>
            </w:r>
            <w:r>
              <w:rPr>
                <w:rFonts w:hint="default" w:ascii="Times New Roman" w:hAnsi="Times New Roman" w:cs="Times New Roman"/>
                <w:kern w:val="0"/>
                <w:sz w:val="24"/>
                <w:lang w:bidi="ar"/>
              </w:rPr>
              <w:t>t/a），因在实际操作过程中，因压力、温度等原因影响，锅炉实际蒸汽量小于额定蒸汽量，本项目按照实际蒸汽量为额定蒸汽量的9</w:t>
            </w:r>
            <w:r>
              <w:rPr>
                <w:rFonts w:hint="default" w:ascii="Times New Roman" w:hAnsi="Times New Roman" w:cs="Times New Roman"/>
                <w:kern w:val="0"/>
                <w:sz w:val="24"/>
                <w:lang w:val="en-US" w:eastAsia="zh-CN" w:bidi="ar"/>
              </w:rPr>
              <w:t>5</w:t>
            </w:r>
            <w:r>
              <w:rPr>
                <w:rFonts w:hint="default" w:ascii="Times New Roman" w:hAnsi="Times New Roman" w:cs="Times New Roman"/>
                <w:kern w:val="0"/>
                <w:sz w:val="24"/>
                <w:lang w:bidi="ar"/>
              </w:rPr>
              <w:t>%计算，即实际蒸汽量为</w:t>
            </w:r>
            <w:r>
              <w:rPr>
                <w:rFonts w:hint="default" w:ascii="Times New Roman" w:hAnsi="Times New Roman" w:cs="Times New Roman"/>
                <w:kern w:val="0"/>
                <w:sz w:val="24"/>
                <w:lang w:val="en-US" w:eastAsia="zh-CN" w:bidi="ar"/>
              </w:rPr>
              <w:t>11.4</w:t>
            </w:r>
            <w:r>
              <w:rPr>
                <w:rFonts w:hint="default" w:ascii="Times New Roman" w:hAnsi="Times New Roman" w:cs="Times New Roman"/>
                <w:kern w:val="0"/>
                <w:sz w:val="24"/>
                <w:lang w:bidi="ar"/>
              </w:rPr>
              <w:t>t/h（即</w:t>
            </w:r>
            <w:r>
              <w:rPr>
                <w:rFonts w:hint="default" w:ascii="Times New Roman" w:hAnsi="Times New Roman" w:cs="Times New Roman"/>
                <w:kern w:val="0"/>
                <w:sz w:val="24"/>
                <w:lang w:val="en-US" w:eastAsia="zh-CN" w:bidi="ar"/>
              </w:rPr>
              <w:t>90288</w:t>
            </w:r>
            <w:r>
              <w:rPr>
                <w:rFonts w:hint="default" w:ascii="Times New Roman" w:hAnsi="Times New Roman" w:cs="Times New Roman"/>
                <w:kern w:val="0"/>
                <w:sz w:val="24"/>
                <w:lang w:bidi="ar"/>
              </w:rPr>
              <w:t>t/a）。根据《工业锅炉水质》（GB 1576-2008），</w:t>
            </w:r>
            <w:r>
              <w:rPr>
                <w:rFonts w:hint="eastAsia" w:cs="Times New Roman"/>
                <w:kern w:val="0"/>
                <w:sz w:val="24"/>
                <w:lang w:eastAsia="zh-CN" w:bidi="ar"/>
              </w:rPr>
              <w:t>以</w:t>
            </w:r>
            <w:r>
              <w:rPr>
                <w:rFonts w:hint="default" w:ascii="Times New Roman" w:hAnsi="Times New Roman" w:cs="Times New Roman"/>
                <w:kern w:val="0"/>
                <w:sz w:val="24"/>
                <w:lang w:bidi="ar"/>
              </w:rPr>
              <w:t>软化水为补给水的锅炉正常排污率不应超过10%，本项目按5%计算，则锅炉排水量为</w:t>
            </w:r>
            <w:r>
              <w:rPr>
                <w:rFonts w:hint="default" w:ascii="Times New Roman" w:hAnsi="Times New Roman" w:cs="Times New Roman"/>
                <w:kern w:val="0"/>
                <w:sz w:val="24"/>
                <w:lang w:val="en-US" w:eastAsia="zh-CN" w:bidi="ar"/>
              </w:rPr>
              <w:t>4514.4</w:t>
            </w:r>
            <w:r>
              <w:rPr>
                <w:rFonts w:hint="default" w:ascii="Times New Roman" w:hAnsi="Times New Roman" w:cs="Times New Roman"/>
                <w:kern w:val="0"/>
                <w:sz w:val="24"/>
                <w:lang w:bidi="ar"/>
              </w:rPr>
              <w:t>m</w:t>
            </w:r>
            <w:r>
              <w:rPr>
                <w:rFonts w:hint="default" w:ascii="Times New Roman" w:hAnsi="Times New Roman" w:cs="Times New Roman"/>
                <w:kern w:val="0"/>
                <w:sz w:val="24"/>
                <w:vertAlign w:val="superscript"/>
                <w:lang w:bidi="ar"/>
              </w:rPr>
              <w:t>3</w:t>
            </w:r>
            <w:r>
              <w:rPr>
                <w:rFonts w:hint="default" w:ascii="Times New Roman" w:hAnsi="Times New Roman" w:cs="Times New Roman"/>
                <w:kern w:val="0"/>
                <w:sz w:val="24"/>
                <w:lang w:bidi="ar"/>
              </w:rPr>
              <w:t>/a。</w:t>
            </w:r>
            <w:r>
              <w:rPr>
                <w:rFonts w:hint="default" w:ascii="Times New Roman" w:hAnsi="Times New Roman" w:cs="Times New Roman"/>
                <w:kern w:val="0"/>
                <w:sz w:val="24"/>
                <w:lang w:eastAsia="zh-CN" w:bidi="ar"/>
              </w:rPr>
              <w:t>管道汽水损失约为蒸汽量的1%，则管道水汽损失量为</w:t>
            </w:r>
            <w:r>
              <w:rPr>
                <w:rFonts w:hint="default" w:ascii="Times New Roman" w:hAnsi="Times New Roman" w:cs="Times New Roman"/>
                <w:kern w:val="0"/>
                <w:sz w:val="24"/>
                <w:lang w:val="en-US" w:eastAsia="zh-CN" w:bidi="ar"/>
              </w:rPr>
              <w:t>950.4</w:t>
            </w:r>
            <w:r>
              <w:rPr>
                <w:rFonts w:hint="default" w:ascii="Times New Roman" w:hAnsi="Times New Roman" w:cs="Times New Roman"/>
                <w:kern w:val="0"/>
                <w:sz w:val="24"/>
                <w:lang w:eastAsia="zh-CN" w:bidi="ar"/>
              </w:rPr>
              <w:t>m</w:t>
            </w:r>
            <w:r>
              <w:rPr>
                <w:rFonts w:hint="default" w:ascii="Times New Roman" w:hAnsi="Times New Roman" w:cs="Times New Roman"/>
                <w:kern w:val="0"/>
                <w:sz w:val="24"/>
                <w:vertAlign w:val="superscript"/>
                <w:lang w:eastAsia="zh-CN" w:bidi="ar"/>
              </w:rPr>
              <w:t>3</w:t>
            </w:r>
            <w:r>
              <w:rPr>
                <w:rFonts w:hint="default" w:ascii="Times New Roman" w:hAnsi="Times New Roman" w:cs="Times New Roman"/>
                <w:kern w:val="0"/>
                <w:sz w:val="24"/>
                <w:lang w:eastAsia="zh-CN" w:bidi="ar"/>
              </w:rPr>
              <w:t>/a。</w:t>
            </w:r>
            <w:r>
              <w:rPr>
                <w:rFonts w:hint="default" w:ascii="Times New Roman" w:hAnsi="Times New Roman" w:cs="Times New Roman"/>
                <w:kern w:val="0"/>
                <w:sz w:val="24"/>
                <w:lang w:val="en-US" w:eastAsia="zh-CN" w:bidi="ar"/>
              </w:rPr>
              <w:t>锅炉</w:t>
            </w:r>
            <w:r>
              <w:rPr>
                <w:rFonts w:hint="default" w:ascii="Times New Roman" w:hAnsi="Times New Roman" w:cs="Times New Roman"/>
                <w:kern w:val="0"/>
                <w:sz w:val="24"/>
                <w:lang w:eastAsia="zh-CN" w:bidi="ar"/>
              </w:rPr>
              <w:t>汽水损失量＝锅炉排污损失＋管道汽水损失；则锅炉水损失量</w:t>
            </w:r>
            <w:r>
              <w:rPr>
                <w:rFonts w:hint="default" w:ascii="Times New Roman" w:hAnsi="Times New Roman" w:cs="Times New Roman"/>
                <w:kern w:val="0"/>
                <w:sz w:val="24"/>
                <w:lang w:val="en-US" w:eastAsia="zh-CN" w:bidi="ar"/>
              </w:rPr>
              <w:t>为：4514.4+950.4=5464.8</w:t>
            </w:r>
            <w:r>
              <w:rPr>
                <w:rFonts w:hint="default" w:ascii="Times New Roman" w:hAnsi="Times New Roman" w:cs="Times New Roman"/>
                <w:kern w:val="0"/>
                <w:sz w:val="24"/>
                <w:lang w:eastAsia="zh-CN" w:bidi="ar"/>
              </w:rPr>
              <w:t>m</w:t>
            </w:r>
            <w:r>
              <w:rPr>
                <w:rFonts w:hint="default" w:ascii="Times New Roman" w:hAnsi="Times New Roman" w:cs="Times New Roman"/>
                <w:kern w:val="0"/>
                <w:sz w:val="24"/>
                <w:vertAlign w:val="superscript"/>
                <w:lang w:eastAsia="zh-CN" w:bidi="ar"/>
              </w:rPr>
              <w:t>3</w:t>
            </w:r>
            <w:r>
              <w:rPr>
                <w:rFonts w:hint="default" w:ascii="Times New Roman" w:hAnsi="Times New Roman" w:cs="Times New Roman"/>
                <w:kern w:val="0"/>
                <w:sz w:val="24"/>
                <w:lang w:eastAsia="zh-CN" w:bidi="ar"/>
              </w:rPr>
              <w:t>/a（即</w:t>
            </w:r>
            <w:r>
              <w:rPr>
                <w:rFonts w:hint="default" w:ascii="Times New Roman" w:hAnsi="Times New Roman" w:cs="Times New Roman"/>
                <w:kern w:val="0"/>
                <w:sz w:val="24"/>
                <w:lang w:val="en-US" w:eastAsia="zh-CN" w:bidi="ar"/>
              </w:rPr>
              <w:t>0.69</w:t>
            </w:r>
            <w:r>
              <w:rPr>
                <w:rFonts w:hint="default" w:ascii="Times New Roman" w:hAnsi="Times New Roman" w:cs="Times New Roman"/>
                <w:kern w:val="0"/>
                <w:sz w:val="24"/>
                <w:lang w:eastAsia="zh-CN" w:bidi="ar"/>
              </w:rPr>
              <w:t>t/h）。</w:t>
            </w:r>
          </w:p>
          <w:p>
            <w:pPr>
              <w:widowControl/>
              <w:adjustRightInd w:val="0"/>
              <w:snapToGrid w:val="0"/>
              <w:spacing w:line="360" w:lineRule="auto"/>
              <w:ind w:firstLine="480" w:firstLineChars="200"/>
              <w:jc w:val="left"/>
              <w:rPr>
                <w:rFonts w:hint="default" w:ascii="Times New Roman" w:hAnsi="Times New Roman" w:cs="Times New Roman"/>
                <w:kern w:val="0"/>
                <w:sz w:val="24"/>
                <w:lang w:val="en-US" w:eastAsia="zh-CN" w:bidi="ar"/>
              </w:rPr>
            </w:pPr>
            <w:r>
              <w:rPr>
                <w:rFonts w:hint="default" w:ascii="Times New Roman" w:hAnsi="Times New Roman" w:cs="Times New Roman"/>
                <w:kern w:val="0"/>
                <w:sz w:val="24"/>
                <w:lang w:val="en-US" w:eastAsia="zh-CN" w:bidi="ar"/>
              </w:rPr>
              <w:t>②软水补充水</w:t>
            </w:r>
          </w:p>
          <w:p>
            <w:pPr>
              <w:widowControl/>
              <w:adjustRightInd w:val="0"/>
              <w:snapToGrid w:val="0"/>
              <w:spacing w:line="360" w:lineRule="auto"/>
              <w:ind w:firstLine="480" w:firstLineChars="200"/>
              <w:jc w:val="left"/>
              <w:rPr>
                <w:rFonts w:hint="default" w:ascii="Times New Roman" w:hAnsi="Times New Roman" w:cs="Times New Roman"/>
                <w:kern w:val="0"/>
                <w:sz w:val="24"/>
                <w:lang w:val="en-US" w:eastAsia="zh-CN" w:bidi="ar"/>
              </w:rPr>
            </w:pPr>
            <w:r>
              <w:rPr>
                <w:rFonts w:hint="default" w:ascii="Times New Roman" w:hAnsi="Times New Roman" w:cs="Times New Roman"/>
                <w:kern w:val="0"/>
                <w:sz w:val="24"/>
                <w:lang w:eastAsia="zh-CN" w:bidi="ar"/>
              </w:rPr>
              <w:t>锅炉蒸汽供热后约有90%的蒸汽冷凝水回用于锅炉中，</w:t>
            </w:r>
            <w:r>
              <w:rPr>
                <w:rFonts w:hint="default" w:ascii="Times New Roman" w:hAnsi="Times New Roman" w:cs="Times New Roman"/>
                <w:kern w:val="0"/>
                <w:sz w:val="24"/>
                <w:lang w:val="en-US" w:eastAsia="zh-CN" w:bidi="ar"/>
              </w:rPr>
              <w:t>则</w:t>
            </w:r>
            <w:r>
              <w:rPr>
                <w:rFonts w:hint="default" w:ascii="Times New Roman" w:hAnsi="Times New Roman" w:cs="Times New Roman"/>
                <w:kern w:val="0"/>
                <w:sz w:val="24"/>
                <w:lang w:eastAsia="zh-CN" w:bidi="ar"/>
              </w:rPr>
              <w:t>部分损耗为</w:t>
            </w:r>
            <w:r>
              <w:rPr>
                <w:rFonts w:hint="default" w:ascii="Times New Roman" w:hAnsi="Times New Roman" w:cs="Times New Roman"/>
                <w:kern w:val="0"/>
                <w:sz w:val="24"/>
                <w:lang w:val="en-US" w:eastAsia="zh-CN" w:bidi="ar"/>
              </w:rPr>
              <w:t>1.14</w:t>
            </w:r>
            <w:r>
              <w:rPr>
                <w:rFonts w:hint="default" w:ascii="Times New Roman" w:hAnsi="Times New Roman" w:cs="Times New Roman"/>
                <w:kern w:val="0"/>
                <w:sz w:val="24"/>
                <w:lang w:eastAsia="zh-CN" w:bidi="ar"/>
              </w:rPr>
              <w:t>t/h（</w:t>
            </w:r>
            <w:r>
              <w:rPr>
                <w:rFonts w:hint="default" w:ascii="Times New Roman" w:hAnsi="Times New Roman" w:cs="Times New Roman"/>
                <w:kern w:val="0"/>
                <w:sz w:val="24"/>
                <w:lang w:val="en-US" w:eastAsia="zh-CN" w:bidi="ar"/>
              </w:rPr>
              <w:t>9028.8</w:t>
            </w:r>
            <w:r>
              <w:rPr>
                <w:rFonts w:hint="default" w:ascii="Times New Roman" w:hAnsi="Times New Roman" w:cs="Times New Roman"/>
                <w:kern w:val="0"/>
                <w:sz w:val="24"/>
                <w:lang w:eastAsia="zh-CN" w:bidi="ar"/>
              </w:rPr>
              <w:t>m</w:t>
            </w:r>
            <w:r>
              <w:rPr>
                <w:rFonts w:hint="default" w:ascii="Times New Roman" w:hAnsi="Times New Roman" w:cs="Times New Roman"/>
                <w:kern w:val="0"/>
                <w:sz w:val="24"/>
                <w:vertAlign w:val="superscript"/>
                <w:lang w:eastAsia="zh-CN" w:bidi="ar"/>
              </w:rPr>
              <w:t>3</w:t>
            </w:r>
            <w:r>
              <w:rPr>
                <w:rFonts w:hint="default" w:ascii="Times New Roman" w:hAnsi="Times New Roman" w:cs="Times New Roman"/>
                <w:kern w:val="0"/>
                <w:sz w:val="24"/>
                <w:lang w:eastAsia="zh-CN" w:bidi="ar"/>
              </w:rPr>
              <w:t>/a）。则锅炉需补充软水约</w:t>
            </w:r>
            <w:r>
              <w:rPr>
                <w:rFonts w:hint="default" w:ascii="Times New Roman" w:hAnsi="Times New Roman" w:cs="Times New Roman"/>
                <w:kern w:val="0"/>
                <w:sz w:val="24"/>
                <w:lang w:val="en-US" w:eastAsia="zh-CN" w:bidi="ar"/>
              </w:rPr>
              <w:t>5464.8</w:t>
            </w:r>
            <w:r>
              <w:rPr>
                <w:rFonts w:hint="default" w:ascii="Times New Roman" w:hAnsi="Times New Roman" w:cs="Times New Roman"/>
                <w:kern w:val="0"/>
                <w:sz w:val="24"/>
                <w:lang w:eastAsia="zh-CN" w:bidi="ar"/>
              </w:rPr>
              <w:t>m</w:t>
            </w:r>
            <w:r>
              <w:rPr>
                <w:rFonts w:hint="default" w:ascii="Times New Roman" w:hAnsi="Times New Roman" w:cs="Times New Roman"/>
                <w:kern w:val="0"/>
                <w:sz w:val="24"/>
                <w:vertAlign w:val="superscript"/>
                <w:lang w:eastAsia="zh-CN" w:bidi="ar"/>
              </w:rPr>
              <w:t>3</w:t>
            </w:r>
            <w:r>
              <w:rPr>
                <w:rFonts w:hint="default" w:ascii="Times New Roman" w:hAnsi="Times New Roman" w:cs="Times New Roman"/>
                <w:kern w:val="0"/>
                <w:sz w:val="24"/>
                <w:lang w:eastAsia="zh-CN" w:bidi="ar"/>
              </w:rPr>
              <w:t>/a+</w:t>
            </w:r>
            <w:r>
              <w:rPr>
                <w:rFonts w:hint="default" w:ascii="Times New Roman" w:hAnsi="Times New Roman" w:cs="Times New Roman"/>
                <w:kern w:val="0"/>
                <w:sz w:val="24"/>
                <w:lang w:val="en-US" w:eastAsia="zh-CN" w:bidi="ar"/>
              </w:rPr>
              <w:t>9028.8</w:t>
            </w:r>
            <w:r>
              <w:rPr>
                <w:rFonts w:hint="default" w:ascii="Times New Roman" w:hAnsi="Times New Roman" w:cs="Times New Roman"/>
                <w:kern w:val="0"/>
                <w:sz w:val="24"/>
                <w:lang w:eastAsia="zh-CN" w:bidi="ar"/>
              </w:rPr>
              <w:t>m</w:t>
            </w:r>
            <w:r>
              <w:rPr>
                <w:rFonts w:hint="default" w:ascii="Times New Roman" w:hAnsi="Times New Roman" w:cs="Times New Roman"/>
                <w:kern w:val="0"/>
                <w:sz w:val="24"/>
                <w:vertAlign w:val="superscript"/>
                <w:lang w:eastAsia="zh-CN" w:bidi="ar"/>
              </w:rPr>
              <w:t>3</w:t>
            </w:r>
            <w:r>
              <w:rPr>
                <w:rFonts w:hint="default" w:ascii="Times New Roman" w:hAnsi="Times New Roman" w:cs="Times New Roman"/>
                <w:kern w:val="0"/>
                <w:sz w:val="24"/>
                <w:lang w:eastAsia="zh-CN" w:bidi="ar"/>
              </w:rPr>
              <w:t>/a</w:t>
            </w:r>
            <w:r>
              <w:rPr>
                <w:rFonts w:hint="default" w:ascii="Times New Roman" w:hAnsi="Times New Roman" w:cs="Times New Roman"/>
                <w:kern w:val="0"/>
                <w:sz w:val="24"/>
                <w:lang w:val="en-US" w:eastAsia="zh-CN" w:bidi="ar"/>
              </w:rPr>
              <w:t>=14493.6</w:t>
            </w:r>
            <w:r>
              <w:rPr>
                <w:rFonts w:hint="default" w:ascii="Times New Roman" w:hAnsi="Times New Roman" w:cs="Times New Roman"/>
                <w:kern w:val="0"/>
                <w:sz w:val="24"/>
                <w:lang w:eastAsia="zh-CN" w:bidi="ar"/>
              </w:rPr>
              <w:t>m</w:t>
            </w:r>
            <w:r>
              <w:rPr>
                <w:rFonts w:hint="default" w:ascii="Times New Roman" w:hAnsi="Times New Roman" w:cs="Times New Roman"/>
                <w:kern w:val="0"/>
                <w:sz w:val="24"/>
                <w:vertAlign w:val="superscript"/>
                <w:lang w:eastAsia="zh-CN" w:bidi="ar"/>
              </w:rPr>
              <w:t>3</w:t>
            </w:r>
            <w:r>
              <w:rPr>
                <w:rFonts w:hint="default" w:ascii="Times New Roman" w:hAnsi="Times New Roman" w:cs="Times New Roman"/>
                <w:kern w:val="0"/>
                <w:sz w:val="24"/>
                <w:lang w:eastAsia="zh-CN" w:bidi="ar"/>
              </w:rPr>
              <w:t>/a（即</w:t>
            </w:r>
            <w:r>
              <w:rPr>
                <w:rFonts w:hint="default" w:ascii="Times New Roman" w:hAnsi="Times New Roman" w:cs="Times New Roman"/>
                <w:kern w:val="0"/>
                <w:sz w:val="24"/>
                <w:lang w:val="en-US" w:eastAsia="zh-CN" w:bidi="ar"/>
              </w:rPr>
              <w:t>1.83</w:t>
            </w:r>
            <w:r>
              <w:rPr>
                <w:rFonts w:hint="default" w:ascii="Times New Roman" w:hAnsi="Times New Roman" w:cs="Times New Roman"/>
                <w:kern w:val="0"/>
                <w:sz w:val="24"/>
                <w:lang w:eastAsia="zh-CN" w:bidi="ar"/>
              </w:rPr>
              <w:t>t/h）。由于一般的水都是原水，不能直接进入锅炉，所有进入锅炉的水首先要经过软化，现有项目设置</w:t>
            </w:r>
            <w:r>
              <w:rPr>
                <w:rFonts w:hint="default" w:ascii="Times New Roman" w:hAnsi="Times New Roman" w:cs="Times New Roman"/>
                <w:kern w:val="0"/>
                <w:sz w:val="24"/>
                <w:lang w:val="en-US" w:eastAsia="zh-CN" w:bidi="ar"/>
              </w:rPr>
              <w:t>1</w:t>
            </w:r>
            <w:r>
              <w:rPr>
                <w:rFonts w:hint="default" w:ascii="Times New Roman" w:hAnsi="Times New Roman" w:cs="Times New Roman"/>
                <w:kern w:val="0"/>
                <w:sz w:val="24"/>
                <w:lang w:eastAsia="zh-CN" w:bidi="ar"/>
              </w:rPr>
              <w:t>套软水处理设施供给软水，软水制备系统软水制备率约为</w:t>
            </w:r>
            <w:r>
              <w:rPr>
                <w:rFonts w:hint="default" w:ascii="Times New Roman" w:hAnsi="Times New Roman" w:cs="Times New Roman"/>
                <w:kern w:val="0"/>
                <w:sz w:val="24"/>
                <w:lang w:val="en-US" w:eastAsia="zh-CN" w:bidi="ar"/>
              </w:rPr>
              <w:t>95</w:t>
            </w:r>
            <w:r>
              <w:rPr>
                <w:rFonts w:hint="default" w:ascii="Times New Roman" w:hAnsi="Times New Roman" w:cs="Times New Roman"/>
                <w:kern w:val="0"/>
                <w:sz w:val="24"/>
                <w:lang w:eastAsia="zh-CN" w:bidi="ar"/>
              </w:rPr>
              <w:t>%，软水制备用水水量为</w:t>
            </w:r>
            <w:r>
              <w:rPr>
                <w:rFonts w:hint="default" w:ascii="Times New Roman" w:hAnsi="Times New Roman" w:cs="Times New Roman"/>
                <w:kern w:val="0"/>
                <w:sz w:val="24"/>
                <w:lang w:val="en-US" w:eastAsia="zh-CN" w:bidi="ar"/>
              </w:rPr>
              <w:t>1.93</w:t>
            </w:r>
            <w:r>
              <w:rPr>
                <w:rFonts w:hint="default" w:ascii="Times New Roman" w:hAnsi="Times New Roman" w:cs="Times New Roman"/>
                <w:kern w:val="0"/>
                <w:sz w:val="24"/>
                <w:lang w:eastAsia="zh-CN" w:bidi="ar"/>
              </w:rPr>
              <w:t>t/h（即</w:t>
            </w:r>
            <w:r>
              <w:rPr>
                <w:rFonts w:hint="default" w:ascii="Times New Roman" w:hAnsi="Times New Roman" w:cs="Times New Roman"/>
                <w:kern w:val="0"/>
                <w:sz w:val="24"/>
                <w:lang w:val="en-US" w:eastAsia="zh-CN" w:bidi="ar"/>
              </w:rPr>
              <w:t>15285.6</w:t>
            </w:r>
            <w:r>
              <w:rPr>
                <w:rFonts w:hint="default" w:ascii="Times New Roman" w:hAnsi="Times New Roman" w:cs="Times New Roman"/>
                <w:kern w:val="0"/>
                <w:sz w:val="24"/>
                <w:lang w:eastAsia="zh-CN" w:bidi="ar"/>
              </w:rPr>
              <w:t>m</w:t>
            </w:r>
            <w:r>
              <w:rPr>
                <w:rFonts w:hint="default" w:ascii="Times New Roman" w:hAnsi="Times New Roman" w:cs="Times New Roman"/>
                <w:kern w:val="0"/>
                <w:sz w:val="24"/>
                <w:vertAlign w:val="superscript"/>
                <w:lang w:eastAsia="zh-CN" w:bidi="ar"/>
              </w:rPr>
              <w:t>3</w:t>
            </w:r>
            <w:r>
              <w:rPr>
                <w:rFonts w:hint="default" w:ascii="Times New Roman" w:hAnsi="Times New Roman" w:cs="Times New Roman"/>
                <w:kern w:val="0"/>
                <w:sz w:val="24"/>
                <w:lang w:eastAsia="zh-CN" w:bidi="ar"/>
              </w:rPr>
              <w:t>/a）。</w:t>
            </w:r>
            <w:r>
              <w:rPr>
                <w:rFonts w:hint="default" w:ascii="Times New Roman" w:hAnsi="Times New Roman" w:cs="Times New Roman"/>
                <w:kern w:val="0"/>
                <w:sz w:val="24"/>
                <w:lang w:val="en-US" w:eastAsia="zh-CN" w:bidi="ar"/>
              </w:rPr>
              <w:t>排水量为0.1t/h（</w:t>
            </w:r>
            <w:r>
              <w:rPr>
                <w:rFonts w:hint="default" w:ascii="Times New Roman" w:hAnsi="Times New Roman" w:cs="Times New Roman"/>
                <w:kern w:val="0"/>
                <w:sz w:val="24"/>
                <w:lang w:eastAsia="zh-CN" w:bidi="ar"/>
              </w:rPr>
              <w:t>即</w:t>
            </w:r>
            <w:r>
              <w:rPr>
                <w:rFonts w:hint="default" w:ascii="Times New Roman" w:hAnsi="Times New Roman" w:cs="Times New Roman"/>
                <w:kern w:val="0"/>
                <w:sz w:val="24"/>
                <w:lang w:val="en-US" w:eastAsia="zh-CN" w:bidi="ar"/>
              </w:rPr>
              <w:t>792</w:t>
            </w:r>
            <w:r>
              <w:rPr>
                <w:rFonts w:hint="default" w:ascii="Times New Roman" w:hAnsi="Times New Roman" w:cs="Times New Roman"/>
                <w:kern w:val="0"/>
                <w:sz w:val="24"/>
                <w:lang w:eastAsia="zh-CN" w:bidi="ar"/>
              </w:rPr>
              <w:t>m</w:t>
            </w:r>
            <w:r>
              <w:rPr>
                <w:rFonts w:hint="default" w:ascii="Times New Roman" w:hAnsi="Times New Roman" w:cs="Times New Roman"/>
                <w:kern w:val="0"/>
                <w:sz w:val="24"/>
                <w:vertAlign w:val="superscript"/>
                <w:lang w:eastAsia="zh-CN" w:bidi="ar"/>
              </w:rPr>
              <w:t>3</w:t>
            </w:r>
            <w:r>
              <w:rPr>
                <w:rFonts w:hint="default" w:ascii="Times New Roman" w:hAnsi="Times New Roman" w:cs="Times New Roman"/>
                <w:kern w:val="0"/>
                <w:sz w:val="24"/>
                <w:lang w:eastAsia="zh-CN" w:bidi="ar"/>
              </w:rPr>
              <w:t>/a</w:t>
            </w:r>
            <w:r>
              <w:rPr>
                <w:rFonts w:hint="default" w:ascii="Times New Roman" w:hAnsi="Times New Roman" w:cs="Times New Roman"/>
                <w:kern w:val="0"/>
                <w:sz w:val="24"/>
                <w:lang w:val="en-US" w:eastAsia="zh-CN" w:bidi="ar"/>
              </w:rPr>
              <w:t>）。</w:t>
            </w:r>
          </w:p>
          <w:p>
            <w:pPr>
              <w:widowControl/>
              <w:adjustRightInd w:val="0"/>
              <w:snapToGrid w:val="0"/>
              <w:spacing w:line="360" w:lineRule="auto"/>
              <w:ind w:firstLine="480" w:firstLineChars="200"/>
              <w:jc w:val="left"/>
              <w:rPr>
                <w:rFonts w:hint="default" w:ascii="Times New Roman" w:hAnsi="Times New Roman" w:cs="Times New Roman"/>
                <w:kern w:val="0"/>
                <w:sz w:val="24"/>
                <w:lang w:eastAsia="zh-CN" w:bidi="ar"/>
              </w:rPr>
            </w:pPr>
            <w:r>
              <w:rPr>
                <w:rFonts w:hint="default" w:ascii="Times New Roman" w:hAnsi="Times New Roman" w:cs="Times New Roman"/>
                <w:kern w:val="0"/>
                <w:sz w:val="24"/>
                <w:lang w:eastAsia="zh-CN" w:bidi="ar"/>
              </w:rPr>
              <w:t>综上，项目锅炉补充用水为</w:t>
            </w:r>
            <w:r>
              <w:rPr>
                <w:rFonts w:hint="default" w:ascii="Times New Roman" w:hAnsi="Times New Roman" w:cs="Times New Roman"/>
                <w:kern w:val="0"/>
                <w:sz w:val="24"/>
                <w:lang w:val="en-US" w:eastAsia="zh-CN" w:bidi="ar"/>
              </w:rPr>
              <w:t>15285.6</w:t>
            </w:r>
            <w:r>
              <w:rPr>
                <w:rFonts w:hint="default" w:ascii="Times New Roman" w:hAnsi="Times New Roman" w:cs="Times New Roman"/>
                <w:kern w:val="0"/>
                <w:sz w:val="24"/>
                <w:lang w:eastAsia="zh-CN" w:bidi="ar"/>
              </w:rPr>
              <w:t>m</w:t>
            </w:r>
            <w:r>
              <w:rPr>
                <w:rFonts w:hint="default" w:ascii="Times New Roman" w:hAnsi="Times New Roman" w:cs="Times New Roman"/>
                <w:kern w:val="0"/>
                <w:sz w:val="24"/>
                <w:vertAlign w:val="superscript"/>
                <w:lang w:eastAsia="zh-CN" w:bidi="ar"/>
              </w:rPr>
              <w:t>3</w:t>
            </w:r>
            <w:r>
              <w:rPr>
                <w:rFonts w:hint="default" w:ascii="Times New Roman" w:hAnsi="Times New Roman" w:cs="Times New Roman"/>
                <w:kern w:val="0"/>
                <w:sz w:val="24"/>
                <w:lang w:eastAsia="zh-CN" w:bidi="ar"/>
              </w:rPr>
              <w:t>/a。</w:t>
            </w:r>
          </w:p>
          <w:p>
            <w:pPr>
              <w:widowControl/>
              <w:adjustRightInd w:val="0"/>
              <w:snapToGrid w:val="0"/>
              <w:spacing w:line="360" w:lineRule="auto"/>
              <w:ind w:firstLine="480" w:firstLineChars="200"/>
              <w:jc w:val="left"/>
              <w:rPr>
                <w:rFonts w:hint="default" w:ascii="Times New Roman" w:hAnsi="Times New Roman" w:cs="Times New Roman"/>
                <w:kern w:val="0"/>
                <w:sz w:val="24"/>
                <w:lang w:val="en-US" w:eastAsia="zh-CN" w:bidi="ar"/>
              </w:rPr>
            </w:pPr>
            <w:r>
              <w:rPr>
                <w:rFonts w:hint="default" w:ascii="Times New Roman" w:hAnsi="Times New Roman" w:cs="Times New Roman"/>
                <w:kern w:val="0"/>
                <w:sz w:val="24"/>
                <w:lang w:val="en-US" w:eastAsia="zh-CN" w:bidi="ar"/>
              </w:rPr>
              <w:t>③气化冷却用水</w:t>
            </w:r>
          </w:p>
          <w:p>
            <w:pPr>
              <w:widowControl/>
              <w:adjustRightInd w:val="0"/>
              <w:snapToGrid w:val="0"/>
              <w:spacing w:line="360" w:lineRule="auto"/>
              <w:ind w:firstLine="480" w:firstLineChars="200"/>
              <w:jc w:val="left"/>
              <w:rPr>
                <w:rFonts w:hint="default" w:ascii="Times New Roman" w:hAnsi="Times New Roman" w:cs="Times New Roman"/>
                <w:kern w:val="0"/>
                <w:sz w:val="24"/>
                <w:lang w:eastAsia="zh-CN" w:bidi="ar"/>
              </w:rPr>
            </w:pPr>
            <w:r>
              <w:rPr>
                <w:rFonts w:hint="default" w:ascii="Times New Roman" w:hAnsi="Times New Roman" w:cs="Times New Roman"/>
                <w:kern w:val="0"/>
                <w:sz w:val="24"/>
                <w:lang w:eastAsia="zh-CN" w:bidi="ar"/>
              </w:rPr>
              <w:t>气化炉冷却水主要用于气化炉炉体。气化炉炉体循环冷却水量</w:t>
            </w:r>
            <w:r>
              <w:rPr>
                <w:rFonts w:hint="default" w:ascii="Times New Roman" w:hAnsi="Times New Roman" w:cs="Times New Roman"/>
                <w:kern w:val="0"/>
                <w:sz w:val="24"/>
                <w:lang w:val="en-US" w:eastAsia="zh-CN" w:bidi="ar"/>
              </w:rPr>
              <w:t>2</w:t>
            </w:r>
            <w:r>
              <w:rPr>
                <w:rFonts w:hint="default" w:ascii="Times New Roman" w:hAnsi="Times New Roman" w:cs="Times New Roman"/>
                <w:kern w:val="0"/>
                <w:sz w:val="24"/>
                <w:lang w:eastAsia="zh-CN" w:bidi="ar"/>
              </w:rPr>
              <w:t>0t/h，为保证能源最大化，循环水连接锅炉水箱，提高锅炉给水温度，不外排，定期补充。冷却水补充量按照循环水量的</w:t>
            </w:r>
            <w:r>
              <w:rPr>
                <w:rFonts w:hint="default" w:ascii="Times New Roman" w:hAnsi="Times New Roman" w:cs="Times New Roman"/>
                <w:kern w:val="0"/>
                <w:sz w:val="24"/>
                <w:lang w:val="en-US" w:eastAsia="zh-CN" w:bidi="ar"/>
              </w:rPr>
              <w:t>2</w:t>
            </w:r>
            <w:r>
              <w:rPr>
                <w:rFonts w:hint="default" w:ascii="Times New Roman" w:hAnsi="Times New Roman" w:cs="Times New Roman"/>
                <w:kern w:val="0"/>
                <w:sz w:val="24"/>
                <w:lang w:eastAsia="zh-CN" w:bidi="ar"/>
              </w:rPr>
              <w:t>%计，则项目气化炉冷却水补充量为</w:t>
            </w:r>
            <w:r>
              <w:rPr>
                <w:rFonts w:hint="default" w:ascii="Times New Roman" w:hAnsi="Times New Roman" w:cs="Times New Roman"/>
                <w:kern w:val="0"/>
                <w:sz w:val="24"/>
                <w:lang w:val="en-US" w:eastAsia="zh-CN" w:bidi="ar"/>
              </w:rPr>
              <w:t>0.4t/h，3168</w:t>
            </w:r>
            <w:r>
              <w:rPr>
                <w:rFonts w:hint="default" w:ascii="Times New Roman" w:hAnsi="Times New Roman" w:cs="Times New Roman"/>
                <w:kern w:val="0"/>
                <w:sz w:val="24"/>
                <w:lang w:eastAsia="zh-CN" w:bidi="ar"/>
              </w:rPr>
              <w:t>t/a。</w:t>
            </w:r>
          </w:p>
          <w:p>
            <w:pPr>
              <w:widowControl/>
              <w:adjustRightInd w:val="0"/>
              <w:snapToGrid w:val="0"/>
              <w:spacing w:line="360" w:lineRule="auto"/>
              <w:ind w:firstLine="480" w:firstLineChars="200"/>
              <w:jc w:val="left"/>
              <w:rPr>
                <w:rFonts w:hint="default" w:ascii="Times New Roman" w:hAnsi="Times New Roman" w:cs="Times New Roman"/>
                <w:b w:val="0"/>
                <w:bCs w:val="0"/>
                <w:kern w:val="0"/>
                <w:sz w:val="24"/>
                <w:lang w:bidi="ar"/>
              </w:rPr>
            </w:pPr>
            <w:r>
              <w:rPr>
                <w:rFonts w:hint="default" w:ascii="Times New Roman" w:hAnsi="Times New Roman" w:cs="Times New Roman"/>
                <w:b w:val="0"/>
                <w:bCs w:val="0"/>
                <w:kern w:val="0"/>
                <w:sz w:val="24"/>
                <w:lang w:val="en-US" w:eastAsia="zh-CN" w:bidi="ar"/>
              </w:rPr>
              <w:t>④</w:t>
            </w:r>
            <w:r>
              <w:rPr>
                <w:rFonts w:hint="default" w:ascii="Times New Roman" w:hAnsi="Times New Roman" w:cs="Times New Roman"/>
                <w:b w:val="0"/>
                <w:bCs w:val="0"/>
                <w:kern w:val="0"/>
                <w:sz w:val="24"/>
                <w:lang w:bidi="ar"/>
              </w:rPr>
              <w:t>员工办公生活</w:t>
            </w:r>
            <w:r>
              <w:rPr>
                <w:rFonts w:hint="default" w:ascii="Times New Roman" w:hAnsi="Times New Roman" w:cs="Times New Roman"/>
                <w:b w:val="0"/>
                <w:bCs w:val="0"/>
                <w:kern w:val="0"/>
                <w:sz w:val="24"/>
                <w:lang w:val="en-US" w:eastAsia="zh-CN" w:bidi="ar"/>
              </w:rPr>
              <w:t>用</w:t>
            </w:r>
            <w:r>
              <w:rPr>
                <w:rFonts w:hint="default" w:ascii="Times New Roman" w:hAnsi="Times New Roman" w:cs="Times New Roman"/>
                <w:b w:val="0"/>
                <w:bCs w:val="0"/>
                <w:kern w:val="0"/>
                <w:sz w:val="24"/>
                <w:lang w:bidi="ar"/>
              </w:rPr>
              <w:t>水</w:t>
            </w:r>
          </w:p>
          <w:p>
            <w:pPr>
              <w:pStyle w:val="2"/>
              <w:adjustRightInd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lang w:bidi="ar"/>
              </w:rPr>
              <w:t>项目劳动定员约1</w:t>
            </w:r>
            <w:r>
              <w:rPr>
                <w:rFonts w:hint="default" w:ascii="Times New Roman" w:hAnsi="Times New Roman" w:cs="Times New Roman"/>
                <w:sz w:val="24"/>
                <w:lang w:val="en-US" w:eastAsia="zh-CN" w:bidi="ar"/>
              </w:rPr>
              <w:t>0</w:t>
            </w:r>
            <w:r>
              <w:rPr>
                <w:rFonts w:hint="default" w:ascii="Times New Roman" w:hAnsi="Times New Roman" w:cs="Times New Roman"/>
                <w:sz w:val="24"/>
                <w:lang w:bidi="ar"/>
              </w:rPr>
              <w:t>人，参照《四川省用水定额》（川府函（2021）8号）并结合项目运营特点，工作人员用水量按</w:t>
            </w:r>
            <w:r>
              <w:rPr>
                <w:rFonts w:hint="default" w:ascii="Times New Roman" w:hAnsi="Times New Roman" w:cs="Times New Roman"/>
                <w:sz w:val="24"/>
                <w:lang w:val="en-US" w:eastAsia="zh-CN" w:bidi="ar"/>
              </w:rPr>
              <w:t>1</w:t>
            </w:r>
            <w:r>
              <w:rPr>
                <w:rFonts w:hint="default" w:ascii="Times New Roman" w:hAnsi="Times New Roman" w:cs="Times New Roman"/>
                <w:sz w:val="24"/>
                <w:lang w:bidi="ar"/>
              </w:rPr>
              <w:t>60L/人.d计，一年工作3</w:t>
            </w:r>
            <w:r>
              <w:rPr>
                <w:rFonts w:hint="default" w:ascii="Times New Roman" w:hAnsi="Times New Roman" w:cs="Times New Roman"/>
                <w:sz w:val="24"/>
                <w:lang w:val="en-US" w:eastAsia="zh-CN" w:bidi="ar"/>
              </w:rPr>
              <w:t>30</w:t>
            </w:r>
            <w:r>
              <w:rPr>
                <w:rFonts w:hint="default" w:ascii="Times New Roman" w:hAnsi="Times New Roman" w:cs="Times New Roman"/>
                <w:sz w:val="24"/>
                <w:lang w:bidi="ar"/>
              </w:rPr>
              <w:t>天，则员工办公生活用水量为</w:t>
            </w:r>
            <w:r>
              <w:rPr>
                <w:rFonts w:hint="default" w:ascii="Times New Roman" w:hAnsi="Times New Roman" w:cs="Times New Roman"/>
                <w:sz w:val="24"/>
                <w:lang w:val="en-US" w:eastAsia="zh-CN" w:bidi="ar"/>
              </w:rPr>
              <w:t>1.6</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w:t>
            </w:r>
            <w:r>
              <w:rPr>
                <w:rFonts w:hint="default" w:ascii="Times New Roman" w:hAnsi="Times New Roman" w:cs="Times New Roman"/>
                <w:sz w:val="24"/>
                <w:lang w:val="en-US" w:eastAsia="zh-CN" w:bidi="ar"/>
              </w:rPr>
              <w:t>528</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/a）</w:t>
            </w:r>
            <w:r>
              <w:rPr>
                <w:rFonts w:hint="default" w:ascii="Times New Roman" w:hAnsi="Times New Roman" w:cs="Times New Roman"/>
                <w:sz w:val="24"/>
                <w:szCs w:val="24"/>
              </w:rPr>
              <w:t>。</w:t>
            </w:r>
          </w:p>
          <w:p>
            <w:pPr>
              <w:pStyle w:val="58"/>
              <w:numPr>
                <w:ilvl w:val="0"/>
                <w:numId w:val="2"/>
              </w:numPr>
              <w:adjustRightInd w:val="0"/>
              <w:snapToGrid w:val="0"/>
              <w:spacing w:beforeLines="0"/>
              <w:ind w:firstLine="422" w:firstLineChars="0"/>
              <w:rPr>
                <w:rFonts w:hint="default" w:ascii="Times New Roman" w:hAnsi="Times New Roman" w:cs="Times New Roman"/>
                <w:b/>
              </w:rPr>
            </w:pPr>
            <w:r>
              <w:rPr>
                <w:rFonts w:hint="default" w:ascii="Times New Roman" w:hAnsi="Times New Roman" w:cs="Times New Roman"/>
                <w:b/>
              </w:rPr>
              <w:t>排水</w:t>
            </w:r>
          </w:p>
          <w:p>
            <w:pPr>
              <w:widowControl/>
              <w:adjustRightInd w:val="0"/>
              <w:snapToGrid w:val="0"/>
              <w:spacing w:line="360" w:lineRule="auto"/>
              <w:ind w:firstLine="480" w:firstLineChars="200"/>
              <w:jc w:val="left"/>
              <w:rPr>
                <w:rFonts w:hint="default" w:ascii="Times New Roman" w:hAnsi="Times New Roman" w:eastAsia="宋体" w:cs="Times New Roman"/>
                <w:sz w:val="24"/>
                <w:szCs w:val="32"/>
                <w:lang w:eastAsia="zh-CN"/>
              </w:rPr>
            </w:pPr>
            <w:r>
              <w:rPr>
                <w:rFonts w:hint="default" w:ascii="Times New Roman" w:hAnsi="Times New Roman" w:cs="Times New Roman"/>
                <w:sz w:val="24"/>
                <w:szCs w:val="32"/>
              </w:rPr>
              <w:t>项目锅炉排污水（4514.4m</w:t>
            </w:r>
            <w:r>
              <w:rPr>
                <w:rFonts w:hint="default" w:ascii="Times New Roman" w:hAnsi="Times New Roman" w:cs="Times New Roman"/>
                <w:sz w:val="24"/>
                <w:szCs w:val="32"/>
                <w:vertAlign w:val="superscript"/>
              </w:rPr>
              <w:t>3</w:t>
            </w:r>
            <w:r>
              <w:rPr>
                <w:rFonts w:hint="default" w:ascii="Times New Roman" w:hAnsi="Times New Roman" w:cs="Times New Roman"/>
                <w:sz w:val="24"/>
                <w:szCs w:val="32"/>
              </w:rPr>
              <w:t>/a）、软水制备产生的浓水（</w:t>
            </w:r>
            <w:r>
              <w:rPr>
                <w:rFonts w:hint="default" w:ascii="Times New Roman" w:hAnsi="Times New Roman" w:cs="Times New Roman"/>
                <w:sz w:val="24"/>
                <w:szCs w:val="32"/>
                <w:lang w:val="en-US" w:eastAsia="zh-CN"/>
              </w:rPr>
              <w:t>792</w:t>
            </w:r>
            <w:r>
              <w:rPr>
                <w:rFonts w:hint="default" w:ascii="Times New Roman" w:hAnsi="Times New Roman" w:cs="Times New Roman"/>
                <w:sz w:val="24"/>
                <w:szCs w:val="32"/>
              </w:rPr>
              <w:t>m</w:t>
            </w:r>
            <w:r>
              <w:rPr>
                <w:rFonts w:hint="default" w:ascii="Times New Roman" w:hAnsi="Times New Roman" w:cs="Times New Roman"/>
                <w:sz w:val="24"/>
                <w:szCs w:val="32"/>
                <w:vertAlign w:val="superscript"/>
              </w:rPr>
              <w:t>3</w:t>
            </w:r>
            <w:r>
              <w:rPr>
                <w:rFonts w:hint="default" w:ascii="Times New Roman" w:hAnsi="Times New Roman" w:cs="Times New Roman"/>
                <w:sz w:val="24"/>
                <w:szCs w:val="32"/>
              </w:rPr>
              <w:t>/a）</w:t>
            </w:r>
            <w:r>
              <w:rPr>
                <w:rFonts w:hint="default" w:ascii="Times New Roman" w:hAnsi="Times New Roman" w:cs="Times New Roman"/>
                <w:sz w:val="24"/>
                <w:szCs w:val="32"/>
                <w:lang w:eastAsia="zh-CN"/>
              </w:rPr>
              <w:t>，</w:t>
            </w:r>
            <w:r>
              <w:rPr>
                <w:rFonts w:hint="default" w:ascii="Times New Roman" w:hAnsi="Times New Roman" w:cs="Times New Roman"/>
                <w:sz w:val="24"/>
                <w:szCs w:val="32"/>
              </w:rPr>
              <w:t>生活废水一起送至现有自建污水处理站处理后排入</w:t>
            </w:r>
            <w:r>
              <w:rPr>
                <w:rFonts w:hint="default" w:ascii="Times New Roman" w:hAnsi="Times New Roman" w:cs="Times New Roman"/>
                <w:sz w:val="24"/>
                <w:szCs w:val="32"/>
                <w:lang w:val="en-US" w:eastAsia="zh-CN"/>
              </w:rPr>
              <w:t>大英工业集中区污水处理厂</w:t>
            </w:r>
            <w:r>
              <w:rPr>
                <w:rFonts w:hint="default" w:ascii="Times New Roman" w:hAnsi="Times New Roman" w:cs="Times New Roman"/>
                <w:sz w:val="24"/>
                <w:szCs w:val="32"/>
                <w:lang w:eastAsia="zh-CN"/>
              </w:rPr>
              <w:t>。</w:t>
            </w:r>
          </w:p>
          <w:p>
            <w:pPr>
              <w:widowControl/>
              <w:adjustRightInd w:val="0"/>
              <w:snapToGrid w:val="0"/>
              <w:spacing w:line="360" w:lineRule="auto"/>
              <w:ind w:firstLine="480" w:firstLineChars="200"/>
              <w:jc w:val="left"/>
              <w:rPr>
                <w:rFonts w:hint="default" w:ascii="Times New Roman" w:hAnsi="Times New Roman" w:cs="Times New Roman"/>
                <w:sz w:val="24"/>
                <w:szCs w:val="32"/>
              </w:rPr>
            </w:pPr>
            <w:r>
              <w:rPr>
                <w:rFonts w:hint="default" w:ascii="Times New Roman" w:hAnsi="Times New Roman" w:cs="Times New Roman"/>
                <w:sz w:val="24"/>
                <w:szCs w:val="32"/>
              </w:rPr>
              <w:t>雨水系统收集雨水后排入四川鸿鹏新材料有限公司现有雨水管或直接排入园区。</w:t>
            </w:r>
          </w:p>
          <w:p>
            <w:pPr>
              <w:pStyle w:val="58"/>
              <w:numPr>
                <w:ilvl w:val="0"/>
                <w:numId w:val="2"/>
              </w:numPr>
              <w:adjustRightInd w:val="0"/>
              <w:snapToGrid w:val="0"/>
              <w:spacing w:beforeLines="0"/>
              <w:ind w:firstLine="422" w:firstLineChars="0"/>
              <w:rPr>
                <w:rFonts w:hint="default" w:ascii="Times New Roman" w:hAnsi="Times New Roman" w:cs="Times New Roman"/>
                <w:b/>
              </w:rPr>
            </w:pPr>
            <w:r>
              <w:rPr>
                <w:rFonts w:hint="default" w:ascii="Times New Roman" w:hAnsi="Times New Roman" w:cs="Times New Roman"/>
                <w:b/>
              </w:rPr>
              <w:t>消防</w:t>
            </w:r>
          </w:p>
          <w:p>
            <w:pPr>
              <w:tabs>
                <w:tab w:val="center" w:pos="4320"/>
                <w:tab w:val="right" w:pos="8640"/>
              </w:tabs>
              <w:adjustRightInd w:val="0"/>
              <w:spacing w:line="360" w:lineRule="auto"/>
              <w:ind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建设项目的消防设施接入园区原有的电气消防设施中（如消防设备供电系统、应急照明系统、电气火灾监控系统、消防设备电源监控系统、火灾自动报警及消防联动控制系统、防火分区监控系统、消防应急广播系统），建设项目建筑物外设有消防安全通道，消防设施齐全，拟配备灭火器、消火栓、自动喷水系统，市政给水管网连续供水，给水管网为DN100，园区建立有消防水泵房和2个1000m³的消防水罐，能够满足消防应急用水要求。</w:t>
            </w:r>
          </w:p>
          <w:p>
            <w:pPr>
              <w:tabs>
                <w:tab w:val="center" w:pos="4320"/>
                <w:tab w:val="right" w:pos="8640"/>
              </w:tabs>
              <w:adjustRightInd w:val="0"/>
              <w:spacing w:line="360" w:lineRule="auto"/>
              <w:textAlignment w:val="baseline"/>
              <w:rPr>
                <w:rFonts w:hint="default" w:ascii="Times New Roman" w:hAnsi="Times New Roman" w:cs="Times New Roman"/>
                <w:b/>
                <w:sz w:val="24"/>
              </w:rPr>
            </w:pPr>
            <w:r>
              <w:rPr>
                <w:rFonts w:hint="default" w:ascii="Times New Roman" w:hAnsi="Times New Roman" w:cs="Times New Roman"/>
                <w:b/>
                <w:sz w:val="24"/>
              </w:rPr>
              <w:t>本项目公辅设施依托可行性分析</w:t>
            </w:r>
          </w:p>
          <w:p>
            <w:pPr>
              <w:widowControl/>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szCs w:val="32"/>
              </w:rPr>
              <w:t>本项目与</w:t>
            </w:r>
            <w:r>
              <w:rPr>
                <w:rFonts w:hint="default" w:ascii="Times New Roman" w:hAnsi="Times New Roman" w:cs="Times New Roman"/>
                <w:sz w:val="24"/>
                <w:szCs w:val="32"/>
                <w:lang w:val="en-US" w:eastAsia="zh-CN"/>
              </w:rPr>
              <w:t>现有</w:t>
            </w:r>
            <w:r>
              <w:rPr>
                <w:rFonts w:hint="default" w:ascii="Times New Roman" w:hAnsi="Times New Roman" w:cs="Times New Roman"/>
                <w:sz w:val="24"/>
                <w:szCs w:val="32"/>
              </w:rPr>
              <w:t>公辅设施依托关系如下：</w:t>
            </w:r>
            <w:r>
              <w:rPr>
                <w:rFonts w:hint="default" w:ascii="Times New Roman" w:hAnsi="Times New Roman" w:cs="Times New Roman"/>
                <w:sz w:val="24"/>
              </w:rPr>
              <w:t>根据工程分析和业主确认，本项目给排水管网、供电系统、雨水管网、消防设施、厂区外道路等均依托厂区现有设施；本项目现有给排水管网、雨水管网、供电系统均能满足企业正常生产需求；本项目排水主要为生活污水和少量生产废水，排水量不大，现有排水管网能满足污水处理需求。</w:t>
            </w:r>
          </w:p>
          <w:p>
            <w:pPr>
              <w:widowControl/>
              <w:tabs>
                <w:tab w:val="left" w:pos="851"/>
                <w:tab w:val="left" w:pos="2160"/>
              </w:tabs>
              <w:adjustRightInd w:val="0"/>
              <w:snapToGrid w:val="0"/>
              <w:spacing w:line="360" w:lineRule="auto"/>
              <w:ind w:firstLine="422" w:firstLineChars="200"/>
              <w:jc w:val="center"/>
              <w:outlineLvl w:val="3"/>
              <w:rPr>
                <w:rFonts w:hint="default" w:ascii="Times New Roman" w:hAnsi="Times New Roman" w:cs="Times New Roman"/>
                <w:b/>
                <w:kern w:val="0"/>
                <w:szCs w:val="21"/>
              </w:rPr>
            </w:pPr>
            <w:r>
              <w:rPr>
                <w:rFonts w:hint="default" w:ascii="Times New Roman" w:hAnsi="Times New Roman" w:cs="Times New Roman"/>
                <w:b/>
                <w:kern w:val="0"/>
                <w:szCs w:val="21"/>
              </w:rPr>
              <w:t>表2-</w:t>
            </w:r>
            <w:r>
              <w:rPr>
                <w:rFonts w:hint="eastAsia" w:ascii="Times New Roman" w:hAnsi="Times New Roman" w:cs="Times New Roman"/>
                <w:b/>
                <w:kern w:val="0"/>
                <w:szCs w:val="21"/>
                <w:lang w:val="en-US" w:eastAsia="zh-CN"/>
              </w:rPr>
              <w:t>8</w:t>
            </w:r>
            <w:r>
              <w:rPr>
                <w:rFonts w:hint="default" w:ascii="Times New Roman" w:hAnsi="Times New Roman" w:cs="Times New Roman"/>
                <w:b/>
                <w:kern w:val="0"/>
                <w:szCs w:val="21"/>
              </w:rPr>
              <w:t xml:space="preserve">  公辅设施依托情况一览表</w:t>
            </w:r>
          </w:p>
          <w:tbl>
            <w:tblPr>
              <w:tblStyle w:val="2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356"/>
              <w:gridCol w:w="1496"/>
              <w:gridCol w:w="2682"/>
              <w:gridCol w:w="17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333" w:type="dxa"/>
                  <w:gridSpan w:val="2"/>
                  <w:vAlign w:val="center"/>
                </w:tcPr>
                <w:p>
                  <w:pPr>
                    <w:widowControl/>
                    <w:tabs>
                      <w:tab w:val="left" w:pos="851"/>
                      <w:tab w:val="left" w:pos="2160"/>
                    </w:tabs>
                    <w:adjustRightInd w:val="0"/>
                    <w:snapToGrid w:val="0"/>
                    <w:jc w:val="center"/>
                    <w:outlineLvl w:val="3"/>
                    <w:rPr>
                      <w:rFonts w:hint="default" w:ascii="Times New Roman" w:hAnsi="Times New Roman" w:cs="Times New Roman"/>
                      <w:b/>
                      <w:color w:val="FF0000"/>
                      <w:kern w:val="0"/>
                      <w:szCs w:val="21"/>
                    </w:rPr>
                  </w:pPr>
                  <w:r>
                    <w:rPr>
                      <w:rFonts w:hint="default" w:ascii="Times New Roman" w:hAnsi="Times New Roman" w:cs="Times New Roman"/>
                      <w:b/>
                      <w:kern w:val="0"/>
                      <w:szCs w:val="21"/>
                    </w:rPr>
                    <w:t>名称</w:t>
                  </w:r>
                </w:p>
              </w:tc>
              <w:tc>
                <w:tcPr>
                  <w:tcW w:w="1417" w:type="dxa"/>
                  <w:vAlign w:val="center"/>
                </w:tcPr>
                <w:p>
                  <w:pPr>
                    <w:widowControl/>
                    <w:tabs>
                      <w:tab w:val="left" w:pos="851"/>
                      <w:tab w:val="left" w:pos="2160"/>
                    </w:tabs>
                    <w:adjustRightInd w:val="0"/>
                    <w:snapToGrid w:val="0"/>
                    <w:jc w:val="center"/>
                    <w:outlineLvl w:val="3"/>
                    <w:rPr>
                      <w:rFonts w:hint="default" w:ascii="Times New Roman" w:hAnsi="Times New Roman" w:cs="Times New Roman"/>
                      <w:b/>
                      <w:kern w:val="0"/>
                      <w:szCs w:val="21"/>
                    </w:rPr>
                  </w:pPr>
                  <w:r>
                    <w:rPr>
                      <w:rFonts w:hint="default" w:ascii="Times New Roman" w:hAnsi="Times New Roman" w:cs="Times New Roman"/>
                      <w:b/>
                      <w:kern w:val="0"/>
                      <w:szCs w:val="21"/>
                    </w:rPr>
                    <w:t>设计能力</w:t>
                  </w:r>
                </w:p>
              </w:tc>
              <w:tc>
                <w:tcPr>
                  <w:tcW w:w="2540" w:type="dxa"/>
                  <w:vAlign w:val="center"/>
                </w:tcPr>
                <w:p>
                  <w:pPr>
                    <w:widowControl/>
                    <w:tabs>
                      <w:tab w:val="left" w:pos="851"/>
                      <w:tab w:val="left" w:pos="2160"/>
                    </w:tabs>
                    <w:adjustRightInd w:val="0"/>
                    <w:snapToGrid w:val="0"/>
                    <w:jc w:val="center"/>
                    <w:outlineLvl w:val="3"/>
                    <w:rPr>
                      <w:rFonts w:hint="default" w:ascii="Times New Roman" w:hAnsi="Times New Roman" w:cs="Times New Roman"/>
                      <w:b/>
                      <w:kern w:val="0"/>
                      <w:szCs w:val="21"/>
                    </w:rPr>
                  </w:pPr>
                  <w:r>
                    <w:rPr>
                      <w:rFonts w:hint="default" w:ascii="Times New Roman" w:hAnsi="Times New Roman" w:cs="Times New Roman"/>
                      <w:b/>
                      <w:kern w:val="0"/>
                      <w:szCs w:val="21"/>
                    </w:rPr>
                    <w:t>本项目排放量</w:t>
                  </w:r>
                </w:p>
              </w:tc>
              <w:tc>
                <w:tcPr>
                  <w:tcW w:w="1655" w:type="dxa"/>
                  <w:vAlign w:val="center"/>
                </w:tcPr>
                <w:p>
                  <w:pPr>
                    <w:widowControl/>
                    <w:tabs>
                      <w:tab w:val="left" w:pos="851"/>
                      <w:tab w:val="left" w:pos="2160"/>
                    </w:tabs>
                    <w:adjustRightInd w:val="0"/>
                    <w:snapToGrid w:val="0"/>
                    <w:jc w:val="center"/>
                    <w:outlineLvl w:val="3"/>
                    <w:rPr>
                      <w:rFonts w:hint="default" w:ascii="Times New Roman" w:hAnsi="Times New Roman" w:cs="Times New Roman"/>
                      <w:b/>
                      <w:kern w:val="0"/>
                      <w:szCs w:val="21"/>
                    </w:rPr>
                  </w:pPr>
                  <w:r>
                    <w:rPr>
                      <w:rFonts w:hint="default" w:ascii="Times New Roman" w:hAnsi="Times New Roman" w:cs="Times New Roman"/>
                      <w:b/>
                      <w:kern w:val="0"/>
                      <w:szCs w:val="21"/>
                    </w:rPr>
                    <w:t>是否满足本项目需求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33" w:type="dxa"/>
                  <w:gridSpan w:val="2"/>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r>
                    <w:rPr>
                      <w:rFonts w:hint="default" w:ascii="Times New Roman" w:hAnsi="Times New Roman" w:cs="Times New Roman"/>
                      <w:bCs/>
                      <w:kern w:val="0"/>
                      <w:szCs w:val="21"/>
                    </w:rPr>
                    <w:t>预处理池</w:t>
                  </w:r>
                </w:p>
              </w:tc>
              <w:tc>
                <w:tcPr>
                  <w:tcW w:w="1417" w:type="dxa"/>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p>
              </w:tc>
              <w:tc>
                <w:tcPr>
                  <w:tcW w:w="2540" w:type="dxa"/>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p>
              </w:tc>
              <w:tc>
                <w:tcPr>
                  <w:tcW w:w="1655" w:type="dxa"/>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r>
                    <w:rPr>
                      <w:rFonts w:hint="default" w:ascii="Times New Roman" w:hAnsi="Times New Roman" w:cs="Times New Roman"/>
                      <w:bCs/>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33" w:type="dxa"/>
                  <w:gridSpan w:val="2"/>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r>
                    <w:rPr>
                      <w:rFonts w:hint="default" w:ascii="Times New Roman" w:hAnsi="Times New Roman" w:cs="Times New Roman"/>
                      <w:bCs/>
                      <w:kern w:val="0"/>
                      <w:szCs w:val="21"/>
                    </w:rPr>
                    <w:t>供电</w:t>
                  </w:r>
                </w:p>
              </w:tc>
              <w:tc>
                <w:tcPr>
                  <w:tcW w:w="3957" w:type="dxa"/>
                  <w:gridSpan w:val="2"/>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r>
                    <w:rPr>
                      <w:rFonts w:hint="default" w:ascii="Times New Roman" w:hAnsi="Times New Roman" w:cs="Times New Roman"/>
                      <w:bCs/>
                      <w:kern w:val="0"/>
                      <w:szCs w:val="21"/>
                    </w:rPr>
                    <w:t>市政电网</w:t>
                  </w:r>
                </w:p>
              </w:tc>
              <w:tc>
                <w:tcPr>
                  <w:tcW w:w="1655" w:type="dxa"/>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r>
                    <w:rPr>
                      <w:rFonts w:hint="default" w:ascii="Times New Roman" w:hAnsi="Times New Roman" w:cs="Times New Roman"/>
                      <w:bCs/>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49" w:type="dxa"/>
                  <w:vMerge w:val="restart"/>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r>
                    <w:rPr>
                      <w:rFonts w:hint="default" w:ascii="Times New Roman" w:hAnsi="Times New Roman" w:cs="Times New Roman"/>
                      <w:bCs/>
                      <w:kern w:val="0"/>
                      <w:szCs w:val="21"/>
                    </w:rPr>
                    <w:t>供水</w:t>
                  </w:r>
                </w:p>
              </w:tc>
              <w:tc>
                <w:tcPr>
                  <w:tcW w:w="1284" w:type="dxa"/>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r>
                    <w:rPr>
                      <w:rFonts w:hint="default" w:ascii="Times New Roman" w:hAnsi="Times New Roman" w:cs="Times New Roman"/>
                      <w:bCs/>
                      <w:kern w:val="0"/>
                      <w:szCs w:val="21"/>
                    </w:rPr>
                    <w:t>生产用水</w:t>
                  </w:r>
                </w:p>
              </w:tc>
              <w:tc>
                <w:tcPr>
                  <w:tcW w:w="3957" w:type="dxa"/>
                  <w:gridSpan w:val="2"/>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r>
                    <w:rPr>
                      <w:rFonts w:hint="default" w:ascii="Times New Roman" w:hAnsi="Times New Roman" w:cs="Times New Roman"/>
                      <w:bCs/>
                      <w:kern w:val="0"/>
                      <w:szCs w:val="21"/>
                    </w:rPr>
                    <w:t>市政供水管网</w:t>
                  </w:r>
                </w:p>
              </w:tc>
              <w:tc>
                <w:tcPr>
                  <w:tcW w:w="1655" w:type="dxa"/>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r>
                    <w:rPr>
                      <w:rFonts w:hint="default" w:ascii="Times New Roman" w:hAnsi="Times New Roman" w:cs="Times New Roman"/>
                      <w:bCs/>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049" w:type="dxa"/>
                  <w:vMerge w:val="continue"/>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p>
              </w:tc>
              <w:tc>
                <w:tcPr>
                  <w:tcW w:w="1284" w:type="dxa"/>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r>
                    <w:rPr>
                      <w:rFonts w:hint="default" w:ascii="Times New Roman" w:hAnsi="Times New Roman" w:cs="Times New Roman"/>
                      <w:bCs/>
                      <w:kern w:val="0"/>
                      <w:szCs w:val="21"/>
                    </w:rPr>
                    <w:t>生活用水</w:t>
                  </w:r>
                </w:p>
              </w:tc>
              <w:tc>
                <w:tcPr>
                  <w:tcW w:w="3957" w:type="dxa"/>
                  <w:gridSpan w:val="2"/>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r>
                    <w:rPr>
                      <w:rFonts w:hint="default" w:ascii="Times New Roman" w:hAnsi="Times New Roman" w:cs="Times New Roman"/>
                      <w:bCs/>
                      <w:kern w:val="0"/>
                      <w:szCs w:val="21"/>
                    </w:rPr>
                    <w:t>市政供水管网</w:t>
                  </w:r>
                </w:p>
              </w:tc>
              <w:tc>
                <w:tcPr>
                  <w:tcW w:w="1655" w:type="dxa"/>
                  <w:vAlign w:val="center"/>
                </w:tcPr>
                <w:p>
                  <w:pPr>
                    <w:widowControl/>
                    <w:tabs>
                      <w:tab w:val="left" w:pos="851"/>
                      <w:tab w:val="left" w:pos="2160"/>
                    </w:tabs>
                    <w:adjustRightInd w:val="0"/>
                    <w:snapToGrid w:val="0"/>
                    <w:jc w:val="center"/>
                    <w:outlineLvl w:val="3"/>
                    <w:rPr>
                      <w:rFonts w:hint="default" w:ascii="Times New Roman" w:hAnsi="Times New Roman" w:cs="Times New Roman"/>
                      <w:bCs/>
                      <w:kern w:val="0"/>
                      <w:szCs w:val="21"/>
                    </w:rPr>
                  </w:pPr>
                  <w:r>
                    <w:rPr>
                      <w:rFonts w:hint="default" w:ascii="Times New Roman" w:hAnsi="Times New Roman" w:cs="Times New Roman"/>
                      <w:bCs/>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33" w:type="dxa"/>
                  <w:gridSpan w:val="2"/>
                  <w:vAlign w:val="center"/>
                </w:tcPr>
                <w:p>
                  <w:pPr>
                    <w:tabs>
                      <w:tab w:val="center" w:pos="4320"/>
                      <w:tab w:val="right" w:pos="8640"/>
                    </w:tabs>
                    <w:adjustRightInd w:val="0"/>
                    <w:spacing w:line="360" w:lineRule="auto"/>
                    <w:jc w:val="center"/>
                    <w:textAlignment w:val="baseline"/>
                    <w:rPr>
                      <w:rFonts w:hint="default" w:ascii="Times New Roman" w:hAnsi="Times New Roman" w:cs="Times New Roman"/>
                      <w:szCs w:val="21"/>
                    </w:rPr>
                  </w:pPr>
                  <w:r>
                    <w:rPr>
                      <w:rFonts w:hint="default" w:ascii="Times New Roman" w:hAnsi="Times New Roman" w:cs="Times New Roman"/>
                      <w:bCs/>
                      <w:szCs w:val="21"/>
                    </w:rPr>
                    <w:t>厂区道路</w:t>
                  </w:r>
                </w:p>
              </w:tc>
              <w:tc>
                <w:tcPr>
                  <w:tcW w:w="3957" w:type="dxa"/>
                  <w:gridSpan w:val="2"/>
                  <w:vAlign w:val="center"/>
                </w:tcPr>
                <w:p>
                  <w:pPr>
                    <w:tabs>
                      <w:tab w:val="center" w:pos="4320"/>
                      <w:tab w:val="right" w:pos="8640"/>
                    </w:tabs>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本项目厂区道路为混凝土道路，厂区道路完善</w:t>
                  </w:r>
                </w:p>
              </w:tc>
              <w:tc>
                <w:tcPr>
                  <w:tcW w:w="1655" w:type="dxa"/>
                  <w:vAlign w:val="center"/>
                </w:tcPr>
                <w:p>
                  <w:pPr>
                    <w:tabs>
                      <w:tab w:val="center" w:pos="4320"/>
                      <w:tab w:val="right" w:pos="8640"/>
                    </w:tabs>
                    <w:adjustRightInd w:val="0"/>
                    <w:spacing w:line="360" w:lineRule="auto"/>
                    <w:jc w:val="center"/>
                    <w:textAlignment w:val="baseline"/>
                    <w:rPr>
                      <w:rFonts w:hint="default" w:ascii="Times New Roman" w:hAnsi="Times New Roman" w:cs="Times New Roman"/>
                      <w:szCs w:val="21"/>
                    </w:rPr>
                  </w:pPr>
                  <w:r>
                    <w:rPr>
                      <w:rFonts w:hint="default" w:ascii="Times New Roman" w:hAnsi="Times New Roman"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33" w:type="dxa"/>
                  <w:gridSpan w:val="2"/>
                  <w:vAlign w:val="center"/>
                </w:tcPr>
                <w:p>
                  <w:pPr>
                    <w:tabs>
                      <w:tab w:val="center" w:pos="4320"/>
                      <w:tab w:val="right" w:pos="8640"/>
                    </w:tabs>
                    <w:adjustRightInd w:val="0"/>
                    <w:spacing w:line="360" w:lineRule="auto"/>
                    <w:jc w:val="center"/>
                    <w:textAlignment w:val="baseline"/>
                    <w:rPr>
                      <w:rFonts w:hint="default" w:ascii="Times New Roman" w:hAnsi="Times New Roman" w:cs="Times New Roman"/>
                      <w:szCs w:val="21"/>
                    </w:rPr>
                  </w:pPr>
                  <w:r>
                    <w:rPr>
                      <w:rFonts w:hint="default" w:ascii="Times New Roman" w:hAnsi="Times New Roman" w:cs="Times New Roman"/>
                      <w:bCs/>
                      <w:szCs w:val="21"/>
                    </w:rPr>
                    <w:t>消防设施</w:t>
                  </w:r>
                </w:p>
              </w:tc>
              <w:tc>
                <w:tcPr>
                  <w:tcW w:w="3957" w:type="dxa"/>
                  <w:gridSpan w:val="2"/>
                  <w:vAlign w:val="center"/>
                </w:tcPr>
                <w:p>
                  <w:pPr>
                    <w:tabs>
                      <w:tab w:val="center" w:pos="4320"/>
                      <w:tab w:val="right" w:pos="8640"/>
                    </w:tabs>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本项目厂区内建有消防设施</w:t>
                  </w:r>
                </w:p>
              </w:tc>
              <w:tc>
                <w:tcPr>
                  <w:tcW w:w="1655" w:type="dxa"/>
                  <w:vAlign w:val="center"/>
                </w:tcPr>
                <w:p>
                  <w:pPr>
                    <w:tabs>
                      <w:tab w:val="center" w:pos="4320"/>
                      <w:tab w:val="right" w:pos="8640"/>
                    </w:tabs>
                    <w:adjustRightInd w:val="0"/>
                    <w:spacing w:line="360" w:lineRule="auto"/>
                    <w:jc w:val="center"/>
                    <w:textAlignment w:val="baseline"/>
                    <w:rPr>
                      <w:rFonts w:hint="default" w:ascii="Times New Roman" w:hAnsi="Times New Roman" w:cs="Times New Roman"/>
                      <w:szCs w:val="21"/>
                    </w:rPr>
                  </w:pPr>
                  <w:r>
                    <w:rPr>
                      <w:rFonts w:hint="default" w:ascii="Times New Roman" w:hAnsi="Times New Roman" w:cs="Times New Roman"/>
                      <w:szCs w:val="21"/>
                    </w:rPr>
                    <w:t>是</w:t>
                  </w:r>
                </w:p>
              </w:tc>
            </w:tr>
          </w:tbl>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8、劳动定员及工作制度</w:t>
            </w:r>
          </w:p>
          <w:p>
            <w:pPr>
              <w:spacing w:line="360" w:lineRule="auto"/>
              <w:ind w:firstLine="480" w:firstLineChars="200"/>
              <w:rPr>
                <w:rFonts w:hint="default" w:ascii="Times New Roman" w:hAnsi="Times New Roman" w:cs="Times New Roman"/>
                <w:bCs/>
                <w:color w:val="FF0000"/>
                <w:sz w:val="24"/>
              </w:rPr>
            </w:pPr>
            <w:r>
              <w:rPr>
                <w:rFonts w:hint="default" w:ascii="Times New Roman" w:hAnsi="Times New Roman" w:cs="Times New Roman"/>
                <w:bCs/>
                <w:sz w:val="24"/>
              </w:rPr>
              <w:t>劳动定员：员工人数1</w:t>
            </w:r>
            <w:r>
              <w:rPr>
                <w:rFonts w:hint="eastAsia" w:cs="Times New Roman"/>
                <w:bCs/>
                <w:sz w:val="24"/>
                <w:lang w:val="en-US" w:eastAsia="zh-CN"/>
              </w:rPr>
              <w:t>0</w:t>
            </w:r>
            <w:r>
              <w:rPr>
                <w:rFonts w:hint="default" w:ascii="Times New Roman" w:hAnsi="Times New Roman" w:cs="Times New Roman"/>
                <w:bCs/>
                <w:sz w:val="24"/>
              </w:rPr>
              <w:t>人。</w:t>
            </w:r>
          </w:p>
          <w:p>
            <w:pPr>
              <w:spacing w:line="360" w:lineRule="auto"/>
              <w:ind w:firstLine="480" w:firstLineChars="200"/>
              <w:rPr>
                <w:rFonts w:hint="default" w:ascii="Times New Roman" w:hAnsi="Times New Roman" w:cs="Times New Roman"/>
                <w:bCs/>
                <w:szCs w:val="21"/>
              </w:rPr>
            </w:pPr>
            <w:r>
              <w:rPr>
                <w:rFonts w:hint="default" w:ascii="Times New Roman" w:hAnsi="Times New Roman" w:cs="Times New Roman"/>
                <w:bCs/>
                <w:sz w:val="24"/>
              </w:rPr>
              <w:t>工作制度：实行三班制，每班8h工作制，全年工作时间3</w:t>
            </w:r>
            <w:r>
              <w:rPr>
                <w:rFonts w:hint="default" w:ascii="Times New Roman" w:hAnsi="Times New Roman" w:cs="Times New Roman"/>
                <w:bCs/>
                <w:sz w:val="24"/>
                <w:lang w:val="en-US" w:eastAsia="zh-CN"/>
              </w:rPr>
              <w:t>30</w:t>
            </w:r>
            <w:r>
              <w:rPr>
                <w:rFonts w:hint="default" w:ascii="Times New Roman" w:hAnsi="Times New Roman" w:cs="Times New Roman"/>
                <w:bCs/>
                <w:sz w:val="24"/>
              </w:rPr>
              <w:t>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55" w:type="dxa"/>
            <w:vAlign w:val="center"/>
          </w:tcPr>
          <w:p>
            <w:pPr>
              <w:pStyle w:val="21"/>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工艺流程和产排污环节</w:t>
            </w:r>
          </w:p>
        </w:tc>
        <w:tc>
          <w:tcPr>
            <w:tcW w:w="8605" w:type="dxa"/>
          </w:tcPr>
          <w:p>
            <w:pPr>
              <w:numPr>
                <w:ilvl w:val="0"/>
                <w:numId w:val="3"/>
              </w:numPr>
              <w:spacing w:line="360" w:lineRule="auto"/>
              <w:ind w:firstLine="480"/>
              <w:rPr>
                <w:rFonts w:hint="default" w:ascii="Times New Roman" w:hAnsi="Times New Roman" w:cs="Times New Roman"/>
                <w:b/>
                <w:bCs/>
                <w:sz w:val="24"/>
              </w:rPr>
            </w:pPr>
            <w:r>
              <w:rPr>
                <w:rFonts w:hint="default" w:ascii="Times New Roman" w:hAnsi="Times New Roman" w:cs="Times New Roman"/>
                <w:b/>
                <w:bCs/>
                <w:sz w:val="24"/>
              </w:rPr>
              <w:t>施工期工程分析</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1、施工期工艺流程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w:t>
            </w:r>
            <w:r>
              <w:rPr>
                <w:rFonts w:hint="default" w:ascii="Times New Roman" w:hAnsi="Times New Roman" w:cs="Times New Roman"/>
                <w:color w:val="auto"/>
                <w:spacing w:val="-1"/>
                <w:sz w:val="24"/>
              </w:rPr>
              <w:t>目</w:t>
            </w:r>
            <w:r>
              <w:rPr>
                <w:rFonts w:hint="default" w:ascii="Times New Roman" w:hAnsi="Times New Roman" w:cs="Times New Roman"/>
                <w:color w:val="auto"/>
                <w:sz w:val="24"/>
              </w:rPr>
              <w:t>施工期工艺流程及产污环节如下图所示。</w:t>
            </w:r>
          </w:p>
          <w:p>
            <w:pPr>
              <w:pStyle w:val="2"/>
              <w:adjustRightInd w:val="0"/>
              <w:spacing w:before="0" w:after="0" w:line="260" w:lineRule="auto"/>
              <w:rPr>
                <w:rFonts w:hint="default" w:ascii="Times New Roman" w:hAnsi="Times New Roman" w:cs="Times New Roman"/>
              </w:rPr>
            </w:pPr>
            <w:r>
              <w:rPr>
                <w:rFonts w:hint="default" w:ascii="Times New Roman" w:hAnsi="Times New Roman" w:cs="Times New Roman"/>
              </w:rPr>
              <mc:AlternateContent>
                <mc:Choice Requires="wpc">
                  <w:drawing>
                    <wp:inline distT="0" distB="0" distL="114300" distR="114300">
                      <wp:extent cx="5153660" cy="1643380"/>
                      <wp:effectExtent l="0" t="0" r="0" b="0"/>
                      <wp:docPr id="85" name="画布 85"/>
                      <wp:cNvGraphicFramePr/>
                      <a:graphic xmlns:a="http://schemas.openxmlformats.org/drawingml/2006/main">
                        <a:graphicData uri="http://schemas.microsoft.com/office/word/2010/wordprocessingCanvas">
                          <wpc:wpc>
                            <wpc:bg/>
                            <wpc:whole/>
                            <wps:wsp>
                              <wps:cNvPr id="86" name="文本框 86"/>
                              <wps:cNvSpPr txBox="1"/>
                              <wps:spPr>
                                <a:xfrm>
                                  <a:off x="254000" y="1085850"/>
                                  <a:ext cx="742950" cy="35242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基础建设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8"/>
                              <wps:cNvSpPr txBox="1"/>
                              <wps:spPr>
                                <a:xfrm>
                                  <a:off x="1240790" y="1087120"/>
                                  <a:ext cx="800735" cy="35242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管道敷设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91"/>
                              <wps:cNvSpPr txBox="1"/>
                              <wps:spPr>
                                <a:xfrm>
                                  <a:off x="3303905" y="1080135"/>
                                  <a:ext cx="735330" cy="35242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设备调试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文本框 92"/>
                              <wps:cNvSpPr txBox="1"/>
                              <wps:spPr>
                                <a:xfrm>
                                  <a:off x="2305050" y="1087120"/>
                                  <a:ext cx="742315" cy="35242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锅炉安装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直接箭头连接符 93"/>
                              <wps:cNvCnPr/>
                              <wps:spPr>
                                <a:xfrm>
                                  <a:off x="996950" y="1262380"/>
                                  <a:ext cx="248920"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6" name="直接箭头连接符 96"/>
                              <wps:cNvCnPr>
                                <a:stCxn id="86" idx="0"/>
                              </wps:cNvCnPr>
                              <wps:spPr>
                                <a:xfrm flipV="1">
                                  <a:off x="625475" y="771525"/>
                                  <a:ext cx="0" cy="314325"/>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97" name="直接箭头连接符 97"/>
                              <wps:cNvCnPr/>
                              <wps:spPr>
                                <a:xfrm flipV="1">
                                  <a:off x="1629410" y="778510"/>
                                  <a:ext cx="0" cy="314325"/>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98" name="直接箭头连接符 98"/>
                              <wps:cNvCnPr/>
                              <wps:spPr>
                                <a:xfrm flipV="1">
                                  <a:off x="2678430" y="771525"/>
                                  <a:ext cx="0" cy="314325"/>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99" name="文本框 99"/>
                              <wps:cNvSpPr txBox="1"/>
                              <wps:spPr>
                                <a:xfrm>
                                  <a:off x="511175" y="288290"/>
                                  <a:ext cx="3489960" cy="464185"/>
                                </a:xfrm>
                                <a:prstGeom prst="rect">
                                  <a:avLst/>
                                </a:prstGeom>
                                <a:noFill/>
                                <a:ln w="12700" cmpd="sng">
                                  <a:solidFill>
                                    <a:schemeClr val="tx1"/>
                                  </a:solidFill>
                                  <a:prstDash val="lgDash"/>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施工扬尘、施工人员生活污水、施工期噪声、土方石、试压废水、建筑垃圾及生活垃圾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直接箭头连接符 3"/>
                              <wps:cNvCnPr/>
                              <wps:spPr>
                                <a:xfrm>
                                  <a:off x="2059305" y="1262380"/>
                                  <a:ext cx="248920"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 name="直接箭头连接符 4"/>
                              <wps:cNvCnPr/>
                              <wps:spPr>
                                <a:xfrm>
                                  <a:off x="3048635" y="1270000"/>
                                  <a:ext cx="248920"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文本框 9"/>
                              <wps:cNvSpPr txBox="1"/>
                              <wps:spPr>
                                <a:xfrm>
                                  <a:off x="4314825" y="1072515"/>
                                  <a:ext cx="735330" cy="35242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投入运行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箭头连接符 10"/>
                              <wps:cNvCnPr/>
                              <wps:spPr>
                                <a:xfrm>
                                  <a:off x="4059555" y="1262380"/>
                                  <a:ext cx="248920"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直接箭头连接符 15"/>
                              <wps:cNvCnPr/>
                              <wps:spPr>
                                <a:xfrm flipV="1">
                                  <a:off x="3550285" y="756920"/>
                                  <a:ext cx="0" cy="314325"/>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29.4pt;width:405.8pt;" coordsize="5153660,1643380" editas="canvas" o:gfxdata="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">
                      <o:lock v:ext="edit" aspectratio="f"/>
                      <v:shape id="_x0000_s1026" o:spid="_x0000_s1026" style="position:absolute;left:0;top:0;height:1643380;width:5153660;" filled="f" stroked="f" coordsize="21600,21600" o:gfxdata="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">
                        <v:fill on="f" focussize="0,0"/>
                        <v:stroke on="f"/>
                        <v:imagedata o:title=""/>
                        <o:lock v:ext="edit" aspectratio="f"/>
                      </v:shape>
                      <v:shape id="_x0000_s1026" o:spid="_x0000_s1026" o:spt="202" type="#_x0000_t202" style="position:absolute;left:254000;top:1085850;height:352425;width:742950;" filled="f" stroked="t" coordsize="21600,21600" o:gfxdata="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OkQ0HX&#10;AAAABQEAAA8AAAAAAAAAAQAgAAAAIgAAAGRycy9kb3ducmV2LnhtbFBLAQIUABQAAAAIAIdO4kB5&#10;ye/eWgIAAJoEAAAOAAAAAAAAAAEAIAAAACYBAABkcnMvZTJvRG9jLnhtbFBLBQYAAAAABgAGAFkB&#10;AADyBQAAAAA=&#10;">
                        <v:fill on="f"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基础建设</w:t>
                              </w:r>
                            </w:p>
                          </w:txbxContent>
                        </v:textbox>
                      </v:shape>
                      <v:shape id="_x0000_s1026" o:spid="_x0000_s1026" o:spt="202" type="#_x0000_t202" style="position:absolute;left:1240790;top:1087120;height:352425;width:800735;" filled="f" stroked="t" coordsize="21600,21600" o:gfxdata="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6RD&#10;QdcAAAAFAQAADwAAAAAAAAABACAAAAAiAAAAZHJzL2Rvd25yZXYueG1sUEsBAhQAFAAAAAgAh07i&#10;QAc3ZE1cAgAAmwQAAA4AAAAAAAAAAQAgAAAAJgEAAGRycy9lMm9Eb2MueG1sUEsFBgAAAAAGAAYA&#10;WQEAAPQFAAAAAA==&#10;">
                        <v:fill on="f" focussize="0,0"/>
                        <v:stroke weight="0.5pt" color="#000000 [3204]" joinstyle="round"/>
                        <v:imagedata o:title=""/>
                        <o:lock v:ext="edit" aspectratio="f"/>
                        <v:textbox>
                          <w:txbxContent>
                            <w:p>
                              <w:pPr>
                                <w:jc w:val="center"/>
                              </w:pPr>
                              <w:r>
                                <w:rPr>
                                  <w:rFonts w:hint="eastAsia"/>
                                </w:rPr>
                                <w:t>管道敷设</w:t>
                              </w:r>
                            </w:p>
                          </w:txbxContent>
                        </v:textbox>
                      </v:shape>
                      <v:shape id="_x0000_s1026" o:spid="_x0000_s1026" o:spt="202" type="#_x0000_t202" style="position:absolute;left:3303905;top:1080135;height:352425;width:735330;" filled="f" stroked="t" coordsize="21600,21600" o:gfxdata="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Ok&#10;Q0HXAAAABQEAAA8AAAAAAAAAAQAgAAAAIgAAAGRycy9kb3ducmV2LnhtbFBLAQIUABQAAAAIAIdO&#10;4kCXJyizXQIAAJsEAAAOAAAAAAAAAAEAIAAAACYBAABkcnMvZTJvRG9jLnhtbFBLBQYAAAAABgAG&#10;AFkBAAD1BQAAAAA=&#10;">
                        <v:fill on="f" focussize="0,0"/>
                        <v:stroke weight="0.5pt" color="#000000 [3204]" joinstyle="round"/>
                        <v:imagedata o:title=""/>
                        <o:lock v:ext="edit" aspectratio="f"/>
                        <v:textbox>
                          <w:txbxContent>
                            <w:p>
                              <w:pPr>
                                <w:jc w:val="center"/>
                              </w:pPr>
                              <w:r>
                                <w:rPr>
                                  <w:rFonts w:hint="eastAsia"/>
                                </w:rPr>
                                <w:t>设备调试</w:t>
                              </w:r>
                            </w:p>
                          </w:txbxContent>
                        </v:textbox>
                      </v:shape>
                      <v:shape id="_x0000_s1026" o:spid="_x0000_s1026" o:spt="202" type="#_x0000_t202" style="position:absolute;left:2305050;top:1087120;height:352425;width:742315;" filled="f" stroked="t" coordsize="21600,21600" o:gfxdata="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Ok&#10;Q0HXAAAABQEAAA8AAAAAAAAAAQAgAAAAIgAAAGRycy9kb3ducmV2LnhtbFBLAQIUABQAAAAIAIdO&#10;4kCri1PYXQIAAJsEAAAOAAAAAAAAAAEAIAAAACYBAABkcnMvZTJvRG9jLnhtbFBLBQYAAAAABgAG&#10;AFkBAAD1BQAAAAA=&#10;">
                        <v:fill on="f" focussize="0,0"/>
                        <v:stroke weight="0.5pt" color="#000000 [3204]" joinstyle="round"/>
                        <v:imagedata o:title=""/>
                        <o:lock v:ext="edit" aspectratio="f"/>
                        <v:textbox>
                          <w:txbxContent>
                            <w:p>
                              <w:pPr>
                                <w:jc w:val="center"/>
                              </w:pPr>
                              <w:r>
                                <w:rPr>
                                  <w:rFonts w:hint="eastAsia"/>
                                </w:rPr>
                                <w:t>锅炉安装</w:t>
                              </w:r>
                            </w:p>
                          </w:txbxContent>
                        </v:textbox>
                      </v:shape>
                      <v:shape id="_x0000_s1026" o:spid="_x0000_s1026" o:spt="32" type="#_x0000_t32" style="position:absolute;left:996950;top:1262380;height:5715;width:248920;" filled="f" stroked="t" coordsize="21600,21600" o:gfxdata="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2x1I1AAAAAUBAAAPAAAAAAAAAAEAIAAAACIAAABkcnMv&#10;ZG93bnJldi54bWxQSwECFAAUAAAACACHTuJAFctOPAcCAADWAwAADgAAAAAAAAABACAAAAAjAQAA&#10;ZHJzL2Uyb0RvYy54bWxQSwUGAAAAAAYABgBZAQAAnAUAAAAA&#10;">
                        <v:fill on="f" focussize="0,0"/>
                        <v:stroke color="#000000 [3213]" joinstyle="round" endarrow="open"/>
                        <v:imagedata o:title=""/>
                        <o:lock v:ext="edit" aspectratio="f"/>
                      </v:shape>
                      <v:shape id="_x0000_s1026" o:spid="_x0000_s1026" o:spt="32" type="#_x0000_t32" style="position:absolute;left:625475;top:771525;flip:y;height:314325;width:0;" filled="f" stroked="t" coordsize="21600,21600" o:gfxdata="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6w2+v1QAAAAUB&#10;AAAPAAAAAAAAAAEAIAAAACIAAABkcnMvZG93bnJldi54bWxQSwECFAAUAAAACACHTuJAOYH9dB4C&#10;AAAFBAAADgAAAAAAAAABACAAAAAkAQAAZHJzL2Uyb0RvYy54bWxQSwUGAAAAAAYABgBZAQAAtAUA&#10;AAAA&#10;">
                        <v:fill on="f" focussize="0,0"/>
                        <v:stroke weight="1pt" color="#000000 [3213]" joinstyle="round" dashstyle="1 1" endarrow="open"/>
                        <v:imagedata o:title=""/>
                        <o:lock v:ext="edit" aspectratio="f"/>
                      </v:shape>
                      <v:shape id="_x0000_s1026" o:spid="_x0000_s1026" o:spt="32" type="#_x0000_t32" style="position:absolute;left:1629410;top:778510;flip:y;height:314325;width:0;" filled="f" stroked="t" coordsize="21600,21600" o:gfxdata="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Db6/VAAAABQEAAA8AAAAAAAAAAQAgAAAAIgAA&#10;AGRycy9kb3ducmV2LnhtbFBLAQIUABQAAAAIAIdO4kDZQL/PCwIAAN8DAAAOAAAAAAAAAAEAIAAA&#10;ACQBAABkcnMvZTJvRG9jLnhtbFBLBQYAAAAABgAGAFkBAAChBQAAAAA=&#10;">
                        <v:fill on="f" focussize="0,0"/>
                        <v:stroke weight="1pt" color="#000000 [3213]" joinstyle="round" dashstyle="1 1" endarrow="open"/>
                        <v:imagedata o:title=""/>
                        <o:lock v:ext="edit" aspectratio="f"/>
                      </v:shape>
                      <v:shape id="_x0000_s1026" o:spid="_x0000_s1026" o:spt="32" type="#_x0000_t32" style="position:absolute;left:2678430;top:771525;flip:y;height:314325;width:0;" filled="f" stroked="t" coordsize="21600,21600" o:gfxdata="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rDb6/VAAAABQEAAA8AAAAAAAAAAQAgAAAA&#10;IgAAAGRycy9kb3ducmV2LnhtbFBLAQIUABQAAAAIAIdO4kB4wujwDgIAAN8DAAAOAAAAAAAAAAEA&#10;IAAAACQBAABkcnMvZTJvRG9jLnhtbFBLBQYAAAAABgAGAFkBAACkBQAAAAA=&#10;">
                        <v:fill on="f" focussize="0,0"/>
                        <v:stroke weight="1pt" color="#000000 [3213]" joinstyle="round" dashstyle="1 1" endarrow="open"/>
                        <v:imagedata o:title=""/>
                        <o:lock v:ext="edit" aspectratio="f"/>
                      </v:shape>
                      <v:shape id="_x0000_s1026" o:spid="_x0000_s1026" o:spt="202" type="#_x0000_t202" style="position:absolute;left:511175;top:288290;height:464185;width:3489960;" filled="f" stroked="t" coordsize="21600,21600" o:gfxdata="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HS5M7TAAAABQEAAA8AAAAAAAAAAQAgAAAAIgAAAGRycy9kb3ducmV2LnhtbFBL&#10;AQIUABQAAAAIAIdO4kDyOPUebQIAAMEEAAAOAAAAAAAAAAEAIAAAACIBAABkcnMvZTJvRG9jLnht&#10;bFBLBQYAAAAABgAGAFkBAAABBgAAAAA=&#10;">
                        <v:fill on="f" focussize="0,0"/>
                        <v:stroke weight="1pt" color="#000000 [3213]" joinstyle="round" dashstyle="longDash"/>
                        <v:imagedata o:title=""/>
                        <o:lock v:ext="edit" aspectratio="f"/>
                        <v:textbox>
                          <w:txbxContent>
                            <w:p>
                              <w:pPr>
                                <w:jc w:val="center"/>
                              </w:pPr>
                              <w:r>
                                <w:rPr>
                                  <w:rFonts w:hint="eastAsia"/>
                                </w:rPr>
                                <w:t>施工扬尘、施工人员生活污水、施工期噪声、土方石、试压废水、建筑垃圾及生活垃圾</w:t>
                              </w:r>
                            </w:p>
                          </w:txbxContent>
                        </v:textbox>
                      </v:shape>
                      <v:shape id="_x0000_s1026" o:spid="_x0000_s1026" o:spt="32" type="#_x0000_t32" style="position:absolute;left:2059305;top:1262380;height:5715;width:248920;" filled="f" stroked="t" coordsize="21600,21600" o:gfxdata="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2x1I1AAAAAUBAAAPAAAAAAAAAAEAIAAAACIAAABkcnMv&#10;ZG93bnJldi54bWxQSwECFAAUAAAACACHTuJAg0BZngcCAADVAwAADgAAAAAAAAABACAAAAAjAQAA&#10;ZHJzL2Uyb0RvYy54bWxQSwUGAAAAAAYABgBZAQAAnAUAAAAA&#10;">
                        <v:fill on="f" focussize="0,0"/>
                        <v:stroke color="#000000 [3213]" joinstyle="round" endarrow="open"/>
                        <v:imagedata o:title=""/>
                        <o:lock v:ext="edit" aspectratio="f"/>
                      </v:shape>
                      <v:shape id="_x0000_s1026" o:spid="_x0000_s1026" o:spt="32" type="#_x0000_t32" style="position:absolute;left:3048635;top:1270000;height:5715;width:248920;" filled="f" stroked="t" coordsize="21600,21600" o:gfxdata="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2x1I1AAAAAUBAAAPAAAAAAAAAAEAIAAAACIAAABkcnMv&#10;ZG93bnJldi54bWxQSwECFAAUAAAACACHTuJAPeZd3QcCAADVAwAADgAAAAAAAAABACAAAAAjAQAA&#10;ZHJzL2Uyb0RvYy54bWxQSwUGAAAAAAYABgBZAQAAnAUAAAAA&#10;">
                        <v:fill on="f" focussize="0,0"/>
                        <v:stroke color="#000000 [3213]" joinstyle="round" endarrow="open"/>
                        <v:imagedata o:title=""/>
                        <o:lock v:ext="edit" aspectratio="f"/>
                      </v:shape>
                      <v:shape id="_x0000_s1026" o:spid="_x0000_s1026" o:spt="202" type="#_x0000_t202" style="position:absolute;left:4314825;top:1072515;height:352425;width:735330;" filled="f" stroked="t" coordsize="21600,21600" o:gfxdata="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6RD&#10;QdcAAAAFAQAADwAAAAAAAAABACAAAAAiAAAAZHJzL2Rvd25yZXYueG1sUEsBAhQAFAAAAAgAh07i&#10;QGF/7vtcAgAAmQQAAA4AAAAAAAAAAQAgAAAAJgEAAGRycy9lMm9Eb2MueG1sUEsFBgAAAAAGAAYA&#10;WQEAAPQFAAAAAA==&#10;">
                        <v:fill on="f" focussize="0,0"/>
                        <v:stroke weight="0.5pt" color="#000000 [3204]" joinstyle="round"/>
                        <v:imagedata o:title=""/>
                        <o:lock v:ext="edit" aspectratio="f"/>
                        <v:textbox>
                          <w:txbxContent>
                            <w:p>
                              <w:pPr>
                                <w:jc w:val="center"/>
                              </w:pPr>
                              <w:r>
                                <w:rPr>
                                  <w:rFonts w:hint="eastAsia"/>
                                </w:rPr>
                                <w:t>投入运行</w:t>
                              </w:r>
                            </w:p>
                          </w:txbxContent>
                        </v:textbox>
                      </v:shape>
                      <v:shape id="_x0000_s1026" o:spid="_x0000_s1026" o:spt="32" type="#_x0000_t32" style="position:absolute;left:4059555;top:1262380;height:5715;width:248920;" filled="f" stroked="t" coordsize="21600,21600" o:gfxdata="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9sdSNQAAAAFAQAADwAAAAAAAAABACAAAAAiAAAAZHJz&#10;L2Rvd25yZXYueG1sUEsBAhQAFAAAAAgAh07iQG/OtdYIAgAA1wMAAA4AAAAAAAAAAQAgAAAAIwEA&#10;AGRycy9lMm9Eb2MueG1sUEsFBgAAAAAGAAYAWQEAAJ0FAAAAAA==&#10;">
                        <v:fill on="f" focussize="0,0"/>
                        <v:stroke color="#000000 [3213]" joinstyle="round" endarrow="open"/>
                        <v:imagedata o:title=""/>
                        <o:lock v:ext="edit" aspectratio="f"/>
                      </v:shape>
                      <v:shape id="_x0000_s1026" o:spid="_x0000_s1026" o:spt="32" type="#_x0000_t32" style="position:absolute;left:3550285;top:756920;flip:y;height:314325;width:0;" filled="f" stroked="t" coordsize="21600,21600" o:gfxdata="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w2+v1QAAAAUBAAAPAAAAAAAAAAEAIAAA&#10;ACIAAABkcnMvZG93bnJldi54bWxQSwECFAAUAAAACACHTuJAo7mHMw8CAADfAwAADgAAAAAAAAAB&#10;ACAAAAAkAQAAZHJzL2Uyb0RvYy54bWxQSwUGAAAAAAYABgBZAQAApQUAAAAA&#10;">
                        <v:fill on="f" focussize="0,0"/>
                        <v:stroke weight="1pt" color="#000000 [3213]" joinstyle="round" dashstyle="1 1" endarrow="open"/>
                        <v:imagedata o:title=""/>
                        <o:lock v:ext="edit" aspectratio="f"/>
                      </v:shape>
                      <w10:wrap type="none"/>
                      <w10:anchorlock/>
                    </v:group>
                  </w:pict>
                </mc:Fallback>
              </mc:AlternateContent>
            </w:r>
          </w:p>
          <w:p>
            <w:pPr>
              <w:spacing w:line="360" w:lineRule="auto"/>
              <w:jc w:val="center"/>
              <w:rPr>
                <w:rFonts w:hint="default" w:ascii="Times New Roman" w:hAnsi="Times New Roman" w:cs="Times New Roman"/>
                <w:szCs w:val="16"/>
              </w:rPr>
            </w:pPr>
            <w:r>
              <w:rPr>
                <w:rFonts w:hint="default" w:ascii="Times New Roman" w:hAnsi="Times New Roman" w:cs="Times New Roman"/>
                <w:b/>
                <w:bCs/>
                <w:szCs w:val="16"/>
              </w:rPr>
              <w:t>图2-1  施工期主要流程及污染物产生环节图</w:t>
            </w:r>
          </w:p>
          <w:p>
            <w:pPr>
              <w:numPr>
                <w:ilvl w:val="0"/>
                <w:numId w:val="3"/>
              </w:numPr>
              <w:spacing w:line="360" w:lineRule="auto"/>
              <w:ind w:firstLine="480"/>
              <w:rPr>
                <w:rFonts w:hint="default" w:ascii="Times New Roman" w:hAnsi="Times New Roman" w:cs="Times New Roman"/>
                <w:b/>
                <w:bCs/>
                <w:sz w:val="24"/>
              </w:rPr>
            </w:pPr>
            <w:r>
              <w:rPr>
                <w:rFonts w:hint="default" w:ascii="Times New Roman" w:hAnsi="Times New Roman" w:cs="Times New Roman"/>
                <w:b/>
                <w:bCs/>
                <w:sz w:val="24"/>
              </w:rPr>
              <w:t>营运期工程分析</w:t>
            </w:r>
          </w:p>
          <w:p>
            <w:pPr>
              <w:tabs>
                <w:tab w:val="left" w:pos="1245"/>
                <w:tab w:val="center" w:pos="4422"/>
              </w:tabs>
              <w:spacing w:line="360" w:lineRule="auto"/>
              <w:ind w:firstLine="422" w:firstLineChars="200"/>
              <w:jc w:val="left"/>
              <w:rPr>
                <w:rFonts w:hint="default" w:ascii="Times New Roman" w:hAnsi="Times New Roman" w:cs="Times New Roman"/>
                <w:b/>
                <w:bCs/>
                <w:sz w:val="24"/>
              </w:rPr>
            </w:pPr>
            <w:r>
              <w:rPr>
                <w:rFonts w:hint="default" w:ascii="Times New Roman" w:hAnsi="Times New Roman" w:cs="Times New Roman"/>
                <w:b/>
                <w:bCs/>
              </w:rPr>
              <w:t>1、</w:t>
            </w:r>
            <w:r>
              <w:rPr>
                <w:rFonts w:hint="default" w:ascii="Times New Roman" w:hAnsi="Times New Roman" w:cs="Times New Roman"/>
                <w:b/>
                <w:bCs/>
                <w:sz w:val="24"/>
              </w:rPr>
              <w:t>营运期工艺流程简述</w:t>
            </w:r>
          </w:p>
          <w:p>
            <w:pPr>
              <w:pStyle w:val="4"/>
              <w:spacing w:before="0" w:after="0" w:line="360" w:lineRule="auto"/>
              <w:ind w:firstLine="48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kern w:val="0"/>
                <w:sz w:val="24"/>
                <w:szCs w:val="24"/>
              </w:rPr>
              <w:t>本项目</w:t>
            </w:r>
            <w:r>
              <w:rPr>
                <w:rFonts w:hint="default" w:ascii="Times New Roman" w:hAnsi="Times New Roman" w:eastAsia="宋体" w:cs="Times New Roman"/>
                <w:b w:val="0"/>
                <w:bCs w:val="0"/>
                <w:kern w:val="0"/>
                <w:sz w:val="24"/>
                <w:szCs w:val="24"/>
                <w:lang w:val="en-US" w:eastAsia="zh-CN"/>
              </w:rPr>
              <w:t>利用</w:t>
            </w:r>
            <w:r>
              <w:rPr>
                <w:rFonts w:hint="default" w:ascii="Times New Roman" w:hAnsi="Times New Roman" w:eastAsia="宋体" w:cs="Times New Roman"/>
                <w:b w:val="0"/>
                <w:bCs w:val="0"/>
                <w:kern w:val="0"/>
                <w:sz w:val="24"/>
                <w:szCs w:val="24"/>
                <w:lang w:eastAsia="zh-CN"/>
              </w:rPr>
              <w:t>四川鸿鹏新材料有限公司</w:t>
            </w:r>
            <w:r>
              <w:rPr>
                <w:rFonts w:hint="default" w:ascii="Times New Roman" w:hAnsi="Times New Roman" w:eastAsia="宋体" w:cs="Times New Roman"/>
                <w:b w:val="0"/>
                <w:bCs w:val="0"/>
                <w:kern w:val="0"/>
                <w:sz w:val="24"/>
                <w:szCs w:val="24"/>
                <w:lang w:val="en-US" w:eastAsia="zh-CN"/>
              </w:rPr>
              <w:t>目前空地7000m</w:t>
            </w:r>
            <w:r>
              <w:rPr>
                <w:rFonts w:hint="default" w:ascii="Times New Roman" w:hAnsi="Times New Roman" w:eastAsia="宋体" w:cs="Times New Roman"/>
                <w:b w:val="0"/>
                <w:bCs w:val="0"/>
                <w:kern w:val="0"/>
                <w:sz w:val="24"/>
                <w:szCs w:val="24"/>
                <w:vertAlign w:val="superscript"/>
                <w:lang w:val="en-US" w:eastAsia="zh-CN"/>
              </w:rPr>
              <w:t>2</w:t>
            </w:r>
            <w:r>
              <w:rPr>
                <w:rFonts w:hint="default" w:ascii="Times New Roman" w:hAnsi="Times New Roman" w:eastAsia="宋体" w:cs="Times New Roman"/>
                <w:b w:val="0"/>
                <w:bCs w:val="0"/>
                <w:kern w:val="0"/>
                <w:sz w:val="24"/>
                <w:szCs w:val="24"/>
              </w:rPr>
              <w:t>，建筑面积</w:t>
            </w:r>
            <w:r>
              <w:rPr>
                <w:rFonts w:hint="default" w:ascii="Times New Roman" w:hAnsi="Times New Roman" w:eastAsia="宋体" w:cs="Times New Roman"/>
                <w:b w:val="0"/>
                <w:bCs w:val="0"/>
                <w:kern w:val="0"/>
                <w:sz w:val="24"/>
                <w:szCs w:val="24"/>
                <w:lang w:val="en-US" w:eastAsia="zh-CN"/>
              </w:rPr>
              <w:t>约2500m</w:t>
            </w:r>
            <w:r>
              <w:rPr>
                <w:rFonts w:hint="default" w:ascii="Times New Roman" w:hAnsi="Times New Roman" w:eastAsia="宋体" w:cs="Times New Roman"/>
                <w:b w:val="0"/>
                <w:bCs w:val="0"/>
                <w:kern w:val="0"/>
                <w:sz w:val="24"/>
                <w:szCs w:val="24"/>
                <w:vertAlign w:val="superscript"/>
                <w:lang w:val="en-US" w:eastAsia="zh-CN"/>
              </w:rPr>
              <w:t>2</w:t>
            </w:r>
            <w:r>
              <w:rPr>
                <w:rFonts w:hint="default" w:ascii="Times New Roman" w:hAnsi="Times New Roman" w:eastAsia="宋体" w:cs="Times New Roman"/>
                <w:b w:val="0"/>
                <w:bCs w:val="0"/>
                <w:kern w:val="0"/>
                <w:sz w:val="24"/>
                <w:szCs w:val="24"/>
              </w:rPr>
              <w:t>，</w:t>
            </w:r>
            <w:r>
              <w:rPr>
                <w:rFonts w:hint="default" w:ascii="Times New Roman" w:hAnsi="Times New Roman" w:eastAsia="宋体" w:cs="Times New Roman"/>
                <w:b w:val="0"/>
                <w:bCs w:val="0"/>
                <w:kern w:val="0"/>
                <w:sz w:val="24"/>
                <w:szCs w:val="24"/>
                <w:lang w:val="en-US" w:eastAsia="zh-CN"/>
              </w:rPr>
              <w:t>新建</w:t>
            </w:r>
            <w:r>
              <w:rPr>
                <w:rFonts w:hint="default" w:ascii="Times New Roman" w:hAnsi="Times New Roman" w:eastAsia="宋体" w:cs="Times New Roman"/>
                <w:b w:val="0"/>
                <w:bCs w:val="0"/>
                <w:kern w:val="0"/>
                <w:sz w:val="24"/>
                <w:szCs w:val="24"/>
              </w:rPr>
              <w:t>“</w:t>
            </w:r>
            <w:r>
              <w:rPr>
                <w:rFonts w:hint="eastAsia" w:ascii="Times New Roman" w:hAnsi="Times New Roman" w:eastAsia="宋体" w:cs="Times New Roman"/>
                <w:b w:val="0"/>
                <w:bCs w:val="0"/>
                <w:kern w:val="0"/>
                <w:sz w:val="24"/>
                <w:szCs w:val="24"/>
                <w:lang w:eastAsia="zh-CN"/>
              </w:rPr>
              <w:t>四川鸿鹏新材料有限公司生物质气化炉集中供热项目</w:t>
            </w:r>
            <w:r>
              <w:rPr>
                <w:rFonts w:hint="default" w:ascii="Times New Roman" w:hAnsi="Times New Roman" w:eastAsia="宋体" w:cs="Times New Roman"/>
                <w:b w:val="0"/>
                <w:bCs w:val="0"/>
                <w:kern w:val="0"/>
                <w:sz w:val="24"/>
                <w:szCs w:val="24"/>
              </w:rPr>
              <w:t>”，建设</w:t>
            </w:r>
            <w:r>
              <w:rPr>
                <w:rFonts w:hint="default" w:ascii="Times New Roman" w:hAnsi="Times New Roman" w:eastAsia="宋体" w:cs="Times New Roman"/>
                <w:b w:val="0"/>
                <w:bCs w:val="0"/>
                <w:kern w:val="0"/>
                <w:sz w:val="24"/>
                <w:szCs w:val="24"/>
                <w:lang w:val="en-US" w:eastAsia="zh-CN"/>
              </w:rPr>
              <w:t>1</w:t>
            </w:r>
            <w:r>
              <w:rPr>
                <w:rFonts w:hint="default" w:ascii="Times New Roman" w:hAnsi="Times New Roman" w:eastAsia="宋体" w:cs="Times New Roman"/>
                <w:b w:val="0"/>
                <w:bCs w:val="0"/>
                <w:kern w:val="0"/>
                <w:sz w:val="24"/>
                <w:szCs w:val="24"/>
              </w:rPr>
              <w:t>台额定蒸汽量为1</w:t>
            </w:r>
            <w:r>
              <w:rPr>
                <w:rFonts w:hint="default" w:ascii="Times New Roman" w:hAnsi="Times New Roman" w:eastAsia="宋体" w:cs="Times New Roman"/>
                <w:b w:val="0"/>
                <w:bCs w:val="0"/>
                <w:kern w:val="0"/>
                <w:sz w:val="24"/>
                <w:szCs w:val="24"/>
                <w:lang w:val="en-US" w:eastAsia="zh-CN"/>
              </w:rPr>
              <w:t>2</w:t>
            </w:r>
            <w:r>
              <w:rPr>
                <w:rFonts w:hint="default" w:ascii="Times New Roman" w:hAnsi="Times New Roman" w:eastAsia="宋体" w:cs="Times New Roman"/>
                <w:b w:val="0"/>
                <w:bCs w:val="0"/>
                <w:kern w:val="0"/>
                <w:sz w:val="24"/>
                <w:szCs w:val="24"/>
              </w:rPr>
              <w:t>t/h的</w:t>
            </w:r>
            <w:r>
              <w:rPr>
                <w:rFonts w:hint="default" w:ascii="Times New Roman" w:hAnsi="Times New Roman" w:eastAsia="宋体" w:cs="Times New Roman"/>
                <w:b w:val="0"/>
                <w:bCs w:val="0"/>
                <w:kern w:val="0"/>
                <w:sz w:val="24"/>
                <w:szCs w:val="24"/>
                <w:lang w:val="en-US" w:eastAsia="zh-CN"/>
              </w:rPr>
              <w:t>生物质</w:t>
            </w:r>
            <w:r>
              <w:rPr>
                <w:rFonts w:hint="default" w:ascii="Times New Roman" w:hAnsi="Times New Roman" w:eastAsia="宋体" w:cs="Times New Roman"/>
                <w:b w:val="0"/>
                <w:bCs w:val="0"/>
                <w:kern w:val="0"/>
                <w:sz w:val="24"/>
                <w:szCs w:val="24"/>
              </w:rPr>
              <w:t>锅炉以及配套设施，通过热网系统向企业进行能源供应。公辅设施全部依托厂区已修建公辅设施，不自行修建</w:t>
            </w:r>
            <w:r>
              <w:rPr>
                <w:rFonts w:hint="default" w:ascii="Times New Roman" w:hAnsi="Times New Roman" w:eastAsia="宋体" w:cs="Times New Roman"/>
                <w:b w:val="0"/>
                <w:bCs w:val="0"/>
                <w:sz w:val="24"/>
                <w:szCs w:val="24"/>
              </w:rPr>
              <w:t>。</w:t>
            </w:r>
          </w:p>
          <w:p>
            <w:pPr>
              <w:adjustRightInd w:val="0"/>
              <w:snapToGrid w:val="0"/>
              <w:spacing w:line="360" w:lineRule="auto"/>
              <w:ind w:firstLine="480" w:firstLineChars="200"/>
              <w:rPr>
                <w:rFonts w:hint="default" w:ascii="Times New Roman" w:hAnsi="Times New Roman" w:cs="Times New Roman"/>
                <w:kern w:val="0"/>
                <w:sz w:val="24"/>
                <w:szCs w:val="22"/>
              </w:rPr>
            </w:pPr>
            <w:r>
              <w:rPr>
                <w:rFonts w:hint="default" w:ascii="Times New Roman" w:hAnsi="Times New Roman" w:cs="Times New Roman"/>
                <w:kern w:val="0"/>
                <w:sz w:val="24"/>
                <w:szCs w:val="22"/>
              </w:rPr>
              <w:t>项目工艺流程及产污位置如下图所示：</w:t>
            </w:r>
          </w:p>
          <w:p>
            <w:pPr>
              <w:pStyle w:val="2"/>
              <w:rPr>
                <w:rFonts w:hint="default" w:ascii="Times New Roman" w:hAnsi="Times New Roman" w:cs="Times New Roman"/>
              </w:rPr>
            </w:pPr>
            <w:r>
              <w:rPr>
                <w:rFonts w:hint="default" w:ascii="Times New Roman" w:hAnsi="Times New Roman" w:cs="Times New Roman"/>
              </w:rPr>
              <mc:AlternateContent>
                <mc:Choice Requires="wpc">
                  <w:drawing>
                    <wp:inline distT="0" distB="0" distL="0" distR="0">
                      <wp:extent cx="5024120" cy="3130550"/>
                      <wp:effectExtent l="0" t="0" r="0" b="0"/>
                      <wp:docPr id="1026" name="画布 1026"/>
                      <wp:cNvGraphicFramePr/>
                      <a:graphic xmlns:a="http://schemas.openxmlformats.org/drawingml/2006/main">
                        <a:graphicData uri="http://schemas.microsoft.com/office/word/2010/wordprocessingCanvas">
                          <wpc:wpc>
                            <wpc:bg>
                              <a:noFill/>
                            </wpc:bg>
                            <wpc:whole>
                              <a:ln>
                                <a:noFill/>
                              </a:ln>
                            </wpc:whole>
                            <wps:wsp>
                              <wps:cNvPr id="65" name="Line 1032"/>
                              <wps:cNvCnPr/>
                              <wps:spPr bwMode="auto">
                                <a:xfrm flipH="1">
                                  <a:off x="2486660" y="547370"/>
                                  <a:ext cx="0" cy="299085"/>
                                </a:xfrm>
                                <a:prstGeom prst="line">
                                  <a:avLst/>
                                </a:prstGeom>
                                <a:noFill/>
                                <a:ln w="9525">
                                  <a:solidFill>
                                    <a:srgbClr val="000000"/>
                                  </a:solidFill>
                                  <a:round/>
                                  <a:tailEnd type="arrow" w="med" len="med"/>
                                </a:ln>
                              </wps:spPr>
                              <wps:bodyPr/>
                            </wps:wsp>
                            <wps:wsp>
                              <wps:cNvPr id="66" name="Text Box 1033"/>
                              <wps:cNvSpPr txBox="1">
                                <a:spLocks noChangeArrowheads="1"/>
                              </wps:cNvSpPr>
                              <wps:spPr bwMode="auto">
                                <a:xfrm>
                                  <a:off x="2089785" y="259715"/>
                                  <a:ext cx="774700" cy="279400"/>
                                </a:xfrm>
                                <a:prstGeom prst="rect">
                                  <a:avLst/>
                                </a:prstGeom>
                                <a:solidFill>
                                  <a:srgbClr val="FFFFFF"/>
                                </a:solidFill>
                                <a:ln w="9525">
                                  <a:solidFill>
                                    <a:srgbClr val="000000"/>
                                  </a:solidFill>
                                  <a:miter lim="800000"/>
                                </a:ln>
                              </wps:spPr>
                              <wps:txbx>
                                <w:txbxContent>
                                  <w:p>
                                    <w:pPr>
                                      <w:jc w:val="center"/>
                                      <w:rPr>
                                        <w:rFonts w:hint="eastAsia" w:eastAsia="宋体"/>
                                        <w:lang w:val="en-US" w:eastAsia="zh-CN"/>
                                      </w:rPr>
                                    </w:pPr>
                                    <w:r>
                                      <w:rPr>
                                        <w:rFonts w:hint="eastAsia"/>
                                        <w:lang w:val="en-US" w:eastAsia="zh-CN"/>
                                      </w:rPr>
                                      <w:t>上料</w:t>
                                    </w:r>
                                  </w:p>
                                </w:txbxContent>
                              </wps:txbx>
                              <wps:bodyPr rot="0" vert="horz" wrap="square" lIns="91440" tIns="45720" rIns="91440" bIns="45720" anchor="t" anchorCtr="0" upright="1">
                                <a:noAutofit/>
                              </wps:bodyPr>
                            </wps:wsp>
                            <wps:wsp>
                              <wps:cNvPr id="67" name="Line 1034"/>
                              <wps:cNvCnPr/>
                              <wps:spPr bwMode="auto">
                                <a:xfrm flipH="1">
                                  <a:off x="2486660" y="1156970"/>
                                  <a:ext cx="0" cy="299085"/>
                                </a:xfrm>
                                <a:prstGeom prst="line">
                                  <a:avLst/>
                                </a:prstGeom>
                                <a:noFill/>
                                <a:ln w="9525">
                                  <a:solidFill>
                                    <a:srgbClr val="000000"/>
                                  </a:solidFill>
                                  <a:round/>
                                  <a:tailEnd type="arrow" w="med" len="med"/>
                                </a:ln>
                              </wps:spPr>
                              <wps:bodyPr/>
                            </wps:wsp>
                            <wps:wsp>
                              <wps:cNvPr id="68" name="Text Box 1035"/>
                              <wps:cNvSpPr txBox="1">
                                <a:spLocks noChangeArrowheads="1"/>
                              </wps:cNvSpPr>
                              <wps:spPr bwMode="auto">
                                <a:xfrm>
                                  <a:off x="2099310" y="843915"/>
                                  <a:ext cx="774700" cy="293370"/>
                                </a:xfrm>
                                <a:prstGeom prst="rect">
                                  <a:avLst/>
                                </a:prstGeom>
                                <a:solidFill>
                                  <a:srgbClr val="FFFFFF"/>
                                </a:solidFill>
                                <a:ln w="9525">
                                  <a:solidFill>
                                    <a:srgbClr val="000000"/>
                                  </a:solidFill>
                                  <a:miter lim="800000"/>
                                </a:ln>
                              </wps:spPr>
                              <wps:txbx>
                                <w:txbxContent>
                                  <w:p>
                                    <w:pPr>
                                      <w:jc w:val="center"/>
                                      <w:rPr>
                                        <w:rFonts w:hint="eastAsia" w:eastAsia="宋体"/>
                                        <w:lang w:val="en-US" w:eastAsia="zh-CN"/>
                                      </w:rPr>
                                    </w:pPr>
                                    <w:r>
                                      <w:rPr>
                                        <w:rFonts w:hint="eastAsia"/>
                                        <w:lang w:val="en-US" w:eastAsia="zh-CN"/>
                                      </w:rPr>
                                      <w:t>气化</w:t>
                                    </w:r>
                                  </w:p>
                                </w:txbxContent>
                              </wps:txbx>
                              <wps:bodyPr rot="0" vert="horz" wrap="square" lIns="91440" tIns="45720" rIns="91440" bIns="45720" anchor="t" anchorCtr="0" upright="1">
                                <a:noAutofit/>
                              </wps:bodyPr>
                            </wps:wsp>
                            <wps:wsp>
                              <wps:cNvPr id="69" name="Line 1036"/>
                              <wps:cNvCnPr/>
                              <wps:spPr bwMode="auto">
                                <a:xfrm flipH="1">
                                  <a:off x="2486025" y="1737995"/>
                                  <a:ext cx="0" cy="299085"/>
                                </a:xfrm>
                                <a:prstGeom prst="line">
                                  <a:avLst/>
                                </a:prstGeom>
                                <a:noFill/>
                                <a:ln w="9525">
                                  <a:solidFill>
                                    <a:srgbClr val="000000"/>
                                  </a:solidFill>
                                  <a:round/>
                                  <a:tailEnd type="arrow" w="med" len="med"/>
                                </a:ln>
                              </wps:spPr>
                              <wps:bodyPr/>
                            </wps:wsp>
                            <wps:wsp>
                              <wps:cNvPr id="70" name="Text Box 1037"/>
                              <wps:cNvSpPr txBox="1">
                                <a:spLocks noChangeArrowheads="1"/>
                              </wps:cNvSpPr>
                              <wps:spPr bwMode="auto">
                                <a:xfrm>
                                  <a:off x="2098040" y="1451610"/>
                                  <a:ext cx="774700" cy="278765"/>
                                </a:xfrm>
                                <a:prstGeom prst="rect">
                                  <a:avLst/>
                                </a:prstGeom>
                                <a:solidFill>
                                  <a:srgbClr val="FFFFFF"/>
                                </a:solidFill>
                                <a:ln w="9525">
                                  <a:solidFill>
                                    <a:srgbClr val="000000"/>
                                  </a:solidFill>
                                  <a:miter lim="800000"/>
                                </a:ln>
                              </wps:spPr>
                              <wps:txbx>
                                <w:txbxContent>
                                  <w:p>
                                    <w:pPr>
                                      <w:jc w:val="center"/>
                                      <w:rPr>
                                        <w:rFonts w:hint="eastAsia" w:eastAsia="宋体"/>
                                        <w:lang w:val="en-US" w:eastAsia="zh-CN"/>
                                      </w:rPr>
                                    </w:pPr>
                                    <w:r>
                                      <w:rPr>
                                        <w:rFonts w:hint="eastAsia"/>
                                        <w:lang w:val="en-US" w:eastAsia="zh-CN"/>
                                      </w:rPr>
                                      <w:t>燃烧</w:t>
                                    </w:r>
                                  </w:p>
                                </w:txbxContent>
                              </wps:txbx>
                              <wps:bodyPr rot="0" vert="horz" wrap="square" lIns="91440" tIns="45720" rIns="91440" bIns="45720" anchor="t" anchorCtr="0" upright="1">
                                <a:noAutofit/>
                              </wps:bodyPr>
                            </wps:wsp>
                            <wps:wsp>
                              <wps:cNvPr id="72" name="Text Box 1039"/>
                              <wps:cNvSpPr txBox="1">
                                <a:spLocks noChangeArrowheads="1"/>
                              </wps:cNvSpPr>
                              <wps:spPr bwMode="auto">
                                <a:xfrm>
                                  <a:off x="2112645" y="2035810"/>
                                  <a:ext cx="774700" cy="255905"/>
                                </a:xfrm>
                                <a:prstGeom prst="rect">
                                  <a:avLst/>
                                </a:prstGeom>
                                <a:solidFill>
                                  <a:srgbClr val="FFFFFF"/>
                                </a:solidFill>
                                <a:ln w="9525">
                                  <a:solidFill>
                                    <a:srgbClr val="000000"/>
                                  </a:solidFill>
                                  <a:miter lim="800000"/>
                                </a:ln>
                              </wps:spPr>
                              <wps:txbx>
                                <w:txbxContent>
                                  <w:p>
                                    <w:pPr>
                                      <w:jc w:val="center"/>
                                      <w:rPr>
                                        <w:rFonts w:hint="eastAsia" w:eastAsia="宋体"/>
                                        <w:lang w:val="en-US" w:eastAsia="zh-CN"/>
                                      </w:rPr>
                                    </w:pPr>
                                    <w:r>
                                      <w:rPr>
                                        <w:rFonts w:hint="eastAsia"/>
                                        <w:lang w:val="en-US" w:eastAsia="zh-CN"/>
                                      </w:rPr>
                                      <w:t>分气缸</w:t>
                                    </w:r>
                                  </w:p>
                                </w:txbxContent>
                              </wps:txbx>
                              <wps:bodyPr rot="0" vert="horz" wrap="square" lIns="91440" tIns="45720" rIns="91440" bIns="45720" anchor="t" anchorCtr="0" upright="1">
                                <a:noAutofit/>
                              </wps:bodyPr>
                            </wps:wsp>
                            <wps:wsp>
                              <wps:cNvPr id="80" name="Text Box 1062"/>
                              <wps:cNvSpPr txBox="1">
                                <a:spLocks noChangeArrowheads="1"/>
                              </wps:cNvSpPr>
                              <wps:spPr bwMode="auto">
                                <a:xfrm>
                                  <a:off x="2089150" y="2562860"/>
                                  <a:ext cx="781685" cy="429895"/>
                                </a:xfrm>
                                <a:prstGeom prst="rect">
                                  <a:avLst/>
                                </a:prstGeom>
                                <a:noFill/>
                                <a:ln>
                                  <a:noFill/>
                                </a:ln>
                              </wps:spPr>
                              <wps:txbx>
                                <w:txbxContent>
                                  <w:p>
                                    <w:pPr>
                                      <w:jc w:val="center"/>
                                    </w:pPr>
                                    <w:r>
                                      <w:rPr>
                                        <w:rFonts w:hint="eastAsia"/>
                                      </w:rPr>
                                      <w:t>供给企业用蒸汽</w:t>
                                    </w:r>
                                  </w:p>
                                </w:txbxContent>
                              </wps:txbx>
                              <wps:bodyPr rot="0" vert="horz" wrap="square" lIns="91440" tIns="45720" rIns="91440" bIns="45720" anchor="t" anchorCtr="0" upright="1">
                                <a:noAutofit/>
                              </wps:bodyPr>
                            </wps:wsp>
                            <wps:wsp>
                              <wps:cNvPr id="5" name="Text Box 1063"/>
                              <wps:cNvSpPr txBox="1">
                                <a:spLocks noChangeArrowheads="1"/>
                              </wps:cNvSpPr>
                              <wps:spPr bwMode="auto">
                                <a:xfrm>
                                  <a:off x="890270" y="282575"/>
                                  <a:ext cx="880110" cy="264160"/>
                                </a:xfrm>
                                <a:prstGeom prst="rect">
                                  <a:avLst/>
                                </a:prstGeom>
                                <a:noFill/>
                                <a:ln w="6350" cmpd="sng">
                                  <a:solidFill>
                                    <a:schemeClr val="tx1"/>
                                  </a:solidFill>
                                  <a:prstDash val="lgDash"/>
                                </a:ln>
                              </wps:spPr>
                              <wps:txbx>
                                <w:txbxContent>
                                  <w:p>
                                    <w:pPr>
                                      <w:jc w:val="center"/>
                                      <w:rPr>
                                        <w:rFonts w:hint="default" w:eastAsia="宋体"/>
                                        <w:lang w:val="en-US" w:eastAsia="zh-CN"/>
                                      </w:rPr>
                                    </w:pPr>
                                    <w:r>
                                      <w:rPr>
                                        <w:rFonts w:hint="eastAsia"/>
                                        <w:lang w:val="en-US" w:eastAsia="zh-CN"/>
                                      </w:rPr>
                                      <w:t>生物质原料</w:t>
                                    </w:r>
                                  </w:p>
                                </w:txbxContent>
                              </wps:txbx>
                              <wps:bodyPr rot="0" vert="horz" wrap="square" lIns="91440" tIns="45720" rIns="91440" bIns="45720" anchor="t" anchorCtr="0" upright="1">
                                <a:noAutofit/>
                              </wps:bodyPr>
                            </wps:wsp>
                            <wps:wsp>
                              <wps:cNvPr id="8" name="Line 1102"/>
                              <wps:cNvCnPr/>
                              <wps:spPr bwMode="auto">
                                <a:xfrm flipV="1">
                                  <a:off x="1763395" y="412115"/>
                                  <a:ext cx="330200" cy="0"/>
                                </a:xfrm>
                                <a:prstGeom prst="line">
                                  <a:avLst/>
                                </a:prstGeom>
                                <a:noFill/>
                                <a:ln w="9525">
                                  <a:solidFill>
                                    <a:srgbClr val="000000"/>
                                  </a:solidFill>
                                  <a:round/>
                                  <a:tailEnd type="arrow" w="med" len="med"/>
                                </a:ln>
                              </wps:spPr>
                              <wps:bodyPr/>
                            </wps:wsp>
                            <wps:wsp>
                              <wps:cNvPr id="18" name="Text Box 1063"/>
                              <wps:cNvSpPr txBox="1">
                                <a:spLocks noChangeArrowheads="1"/>
                              </wps:cNvSpPr>
                              <wps:spPr bwMode="auto">
                                <a:xfrm>
                                  <a:off x="904875" y="868680"/>
                                  <a:ext cx="880110" cy="264160"/>
                                </a:xfrm>
                                <a:prstGeom prst="rect">
                                  <a:avLst/>
                                </a:prstGeom>
                                <a:noFill/>
                                <a:ln w="6350" cmpd="sng">
                                  <a:solidFill>
                                    <a:schemeClr val="tx1"/>
                                  </a:solidFill>
                                  <a:prstDash val="lgDash"/>
                                </a:ln>
                              </wps:spPr>
                              <wps:txbx>
                                <w:txbxContent>
                                  <w:p>
                                    <w:pPr>
                                      <w:jc w:val="center"/>
                                      <w:rPr>
                                        <w:rFonts w:hint="default" w:eastAsia="宋体"/>
                                        <w:lang w:val="en-US" w:eastAsia="zh-CN"/>
                                      </w:rPr>
                                    </w:pPr>
                                    <w:r>
                                      <w:rPr>
                                        <w:rFonts w:hint="eastAsia"/>
                                        <w:lang w:val="en-US" w:eastAsia="zh-CN"/>
                                      </w:rPr>
                                      <w:t>气化炉</w:t>
                                    </w:r>
                                  </w:p>
                                </w:txbxContent>
                              </wps:txbx>
                              <wps:bodyPr rot="0" vert="horz" wrap="square" lIns="91440" tIns="45720" rIns="91440" bIns="45720" anchor="t" anchorCtr="0" upright="1">
                                <a:noAutofit/>
                              </wps:bodyPr>
                            </wps:wsp>
                            <wps:wsp>
                              <wps:cNvPr id="19" name="Line 1102"/>
                              <wps:cNvCnPr/>
                              <wps:spPr bwMode="auto">
                                <a:xfrm flipV="1">
                                  <a:off x="1778000" y="998220"/>
                                  <a:ext cx="330200" cy="0"/>
                                </a:xfrm>
                                <a:prstGeom prst="line">
                                  <a:avLst/>
                                </a:prstGeom>
                                <a:noFill/>
                                <a:ln w="9525">
                                  <a:solidFill>
                                    <a:srgbClr val="000000"/>
                                  </a:solidFill>
                                  <a:round/>
                                  <a:tailEnd type="arrow" w="med" len="med"/>
                                </a:ln>
                              </wps:spPr>
                              <wps:bodyPr/>
                            </wps:wsp>
                            <wps:wsp>
                              <wps:cNvPr id="20" name="Line 1102"/>
                              <wps:cNvCnPr/>
                              <wps:spPr bwMode="auto">
                                <a:xfrm flipV="1">
                                  <a:off x="2877185" y="990600"/>
                                  <a:ext cx="330200" cy="0"/>
                                </a:xfrm>
                                <a:prstGeom prst="line">
                                  <a:avLst/>
                                </a:prstGeom>
                                <a:noFill/>
                                <a:ln w="9525">
                                  <a:solidFill>
                                    <a:srgbClr val="000000"/>
                                  </a:solidFill>
                                  <a:round/>
                                  <a:tailEnd type="arrow" w="med" len="med"/>
                                </a:ln>
                              </wps:spPr>
                              <wps:bodyPr/>
                            </wps:wsp>
                            <wps:wsp>
                              <wps:cNvPr id="21" name="Text Box 1062"/>
                              <wps:cNvSpPr txBox="1">
                                <a:spLocks noChangeArrowheads="1"/>
                              </wps:cNvSpPr>
                              <wps:spPr bwMode="auto">
                                <a:xfrm>
                                  <a:off x="3070860" y="839470"/>
                                  <a:ext cx="803275" cy="254635"/>
                                </a:xfrm>
                                <a:prstGeom prst="rect">
                                  <a:avLst/>
                                </a:prstGeom>
                                <a:noFill/>
                                <a:ln>
                                  <a:noFill/>
                                </a:ln>
                              </wps:spPr>
                              <wps:txbx>
                                <w:txbxContent>
                                  <w:p>
                                    <w:pPr>
                                      <w:jc w:val="center"/>
                                      <w:rPr>
                                        <w:rFonts w:hint="eastAsia" w:eastAsia="宋体"/>
                                        <w:lang w:val="en-US" w:eastAsia="zh-CN"/>
                                      </w:rPr>
                                    </w:pPr>
                                    <w:r>
                                      <w:rPr>
                                        <w:rFonts w:hint="eastAsia"/>
                                        <w:lang w:val="en-US" w:eastAsia="zh-CN"/>
                                      </w:rPr>
                                      <w:t>灰渣</w:t>
                                    </w:r>
                                  </w:p>
                                </w:txbxContent>
                              </wps:txbx>
                              <wps:bodyPr rot="0" vert="horz" wrap="square" lIns="91440" tIns="45720" rIns="91440" bIns="45720" anchor="t" anchorCtr="0" upright="1">
                                <a:noAutofit/>
                              </wps:bodyPr>
                            </wps:wsp>
                            <wps:wsp>
                              <wps:cNvPr id="22" name="Line 1102"/>
                              <wps:cNvCnPr/>
                              <wps:spPr bwMode="auto">
                                <a:xfrm flipV="1">
                                  <a:off x="2862580" y="412115"/>
                                  <a:ext cx="330200" cy="0"/>
                                </a:xfrm>
                                <a:prstGeom prst="line">
                                  <a:avLst/>
                                </a:prstGeom>
                                <a:noFill/>
                                <a:ln w="9525">
                                  <a:solidFill>
                                    <a:srgbClr val="000000"/>
                                  </a:solidFill>
                                  <a:round/>
                                  <a:tailEnd type="arrow" w="med" len="med"/>
                                </a:ln>
                              </wps:spPr>
                              <wps:bodyPr/>
                            </wps:wsp>
                            <wps:wsp>
                              <wps:cNvPr id="23" name="Text Box 1062"/>
                              <wps:cNvSpPr txBox="1">
                                <a:spLocks noChangeArrowheads="1"/>
                              </wps:cNvSpPr>
                              <wps:spPr bwMode="auto">
                                <a:xfrm>
                                  <a:off x="3056255" y="260985"/>
                                  <a:ext cx="1153795" cy="254635"/>
                                </a:xfrm>
                                <a:prstGeom prst="rect">
                                  <a:avLst/>
                                </a:prstGeom>
                                <a:noFill/>
                                <a:ln>
                                  <a:noFill/>
                                </a:ln>
                              </wps:spPr>
                              <wps:txbx>
                                <w:txbxContent>
                                  <w:p>
                                    <w:pPr>
                                      <w:jc w:val="center"/>
                                      <w:rPr>
                                        <w:rFonts w:hint="default" w:eastAsia="宋体"/>
                                        <w:lang w:val="en-US" w:eastAsia="zh-CN"/>
                                      </w:rPr>
                                    </w:pPr>
                                    <w:r>
                                      <w:rPr>
                                        <w:rFonts w:hint="eastAsia"/>
                                        <w:lang w:val="en-US" w:eastAsia="zh-CN"/>
                                      </w:rPr>
                                      <w:t>粉尘、噪声</w:t>
                                    </w:r>
                                  </w:p>
                                </w:txbxContent>
                              </wps:txbx>
                              <wps:bodyPr rot="0" vert="horz" wrap="square" lIns="91440" tIns="45720" rIns="91440" bIns="45720" anchor="t" anchorCtr="0" upright="1">
                                <a:noAutofit/>
                              </wps:bodyPr>
                            </wps:wsp>
                            <wps:wsp>
                              <wps:cNvPr id="24" name="Text Box 1063"/>
                              <wps:cNvSpPr txBox="1">
                                <a:spLocks noChangeArrowheads="1"/>
                              </wps:cNvSpPr>
                              <wps:spPr bwMode="auto">
                                <a:xfrm>
                                  <a:off x="912495" y="1477010"/>
                                  <a:ext cx="880110" cy="264160"/>
                                </a:xfrm>
                                <a:prstGeom prst="rect">
                                  <a:avLst/>
                                </a:prstGeom>
                                <a:noFill/>
                                <a:ln w="6350" cmpd="sng">
                                  <a:solidFill>
                                    <a:schemeClr val="tx1"/>
                                  </a:solidFill>
                                  <a:prstDash val="lgDash"/>
                                </a:ln>
                              </wps:spPr>
                              <wps:txbx>
                                <w:txbxContent>
                                  <w:p>
                                    <w:pPr>
                                      <w:jc w:val="center"/>
                                      <w:rPr>
                                        <w:rFonts w:hint="default" w:eastAsia="宋体"/>
                                        <w:lang w:val="en-US" w:eastAsia="zh-CN"/>
                                      </w:rPr>
                                    </w:pPr>
                                    <w:r>
                                      <w:rPr>
                                        <w:rFonts w:hint="eastAsia"/>
                                        <w:lang w:val="en-US" w:eastAsia="zh-CN"/>
                                      </w:rPr>
                                      <w:t>燃烧锅炉</w:t>
                                    </w:r>
                                  </w:p>
                                </w:txbxContent>
                              </wps:txbx>
                              <wps:bodyPr rot="0" vert="horz" wrap="square" lIns="91440" tIns="45720" rIns="91440" bIns="45720" anchor="t" anchorCtr="0" upright="1">
                                <a:noAutofit/>
                              </wps:bodyPr>
                            </wps:wsp>
                            <wps:wsp>
                              <wps:cNvPr id="25" name="Line 1102"/>
                              <wps:cNvCnPr/>
                              <wps:spPr bwMode="auto">
                                <a:xfrm flipV="1">
                                  <a:off x="1785620" y="1606550"/>
                                  <a:ext cx="330200" cy="0"/>
                                </a:xfrm>
                                <a:prstGeom prst="line">
                                  <a:avLst/>
                                </a:prstGeom>
                                <a:noFill/>
                                <a:ln w="9525">
                                  <a:solidFill>
                                    <a:srgbClr val="000000"/>
                                  </a:solidFill>
                                  <a:round/>
                                  <a:tailEnd type="arrow" w="med" len="med"/>
                                </a:ln>
                              </wps:spPr>
                              <wps:bodyPr/>
                            </wps:wsp>
                            <wps:wsp>
                              <wps:cNvPr id="26" name="Line 1036"/>
                              <wps:cNvCnPr/>
                              <wps:spPr bwMode="auto">
                                <a:xfrm flipH="1">
                                  <a:off x="2500630" y="2301875"/>
                                  <a:ext cx="0" cy="299085"/>
                                </a:xfrm>
                                <a:prstGeom prst="line">
                                  <a:avLst/>
                                </a:prstGeom>
                                <a:noFill/>
                                <a:ln w="9525">
                                  <a:solidFill>
                                    <a:srgbClr val="000000"/>
                                  </a:solidFill>
                                  <a:round/>
                                  <a:tailEnd type="arrow" w="med" len="med"/>
                                </a:ln>
                              </wps:spPr>
                              <wps:bodyPr/>
                            </wps:wsp>
                            <wps:wsp>
                              <wps:cNvPr id="28" name="Line 1102"/>
                              <wps:cNvCnPr/>
                              <wps:spPr bwMode="auto">
                                <a:xfrm flipV="1">
                                  <a:off x="2877185" y="1606550"/>
                                  <a:ext cx="330200" cy="0"/>
                                </a:xfrm>
                                <a:prstGeom prst="line">
                                  <a:avLst/>
                                </a:prstGeom>
                                <a:noFill/>
                                <a:ln w="9525">
                                  <a:solidFill>
                                    <a:srgbClr val="000000"/>
                                  </a:solidFill>
                                  <a:round/>
                                  <a:tailEnd type="arrow" w="med" len="med"/>
                                </a:ln>
                              </wps:spPr>
                              <wps:bodyPr/>
                            </wps:wsp>
                            <wps:wsp>
                              <wps:cNvPr id="29" name="Text Box 1062"/>
                              <wps:cNvSpPr txBox="1">
                                <a:spLocks noChangeArrowheads="1"/>
                              </wps:cNvSpPr>
                              <wps:spPr bwMode="auto">
                                <a:xfrm>
                                  <a:off x="2983230" y="1455420"/>
                                  <a:ext cx="803275" cy="254635"/>
                                </a:xfrm>
                                <a:prstGeom prst="rect">
                                  <a:avLst/>
                                </a:prstGeom>
                                <a:noFill/>
                                <a:ln>
                                  <a:noFill/>
                                </a:ln>
                              </wps:spPr>
                              <wps:txbx>
                                <w:txbxContent>
                                  <w:p>
                                    <w:pPr>
                                      <w:jc w:val="center"/>
                                      <w:rPr>
                                        <w:rFonts w:hint="default" w:eastAsia="宋体"/>
                                        <w:lang w:val="en-US" w:eastAsia="zh-CN"/>
                                      </w:rPr>
                                    </w:pPr>
                                    <w:r>
                                      <w:rPr>
                                        <w:rFonts w:hint="eastAsia"/>
                                        <w:lang w:val="en-US" w:eastAsia="zh-CN"/>
                                      </w:rPr>
                                      <w:t>烟气</w:t>
                                    </w:r>
                                  </w:p>
                                </w:txbxContent>
                              </wps:txbx>
                              <wps:bodyPr rot="0" vert="horz" wrap="square" lIns="91440" tIns="45720" rIns="91440" bIns="45720" anchor="t" anchorCtr="0" upright="1">
                                <a:noAutofit/>
                              </wps:bodyPr>
                            </wps:wsp>
                            <wps:wsp>
                              <wps:cNvPr id="30" name="Line 1102"/>
                              <wps:cNvCnPr/>
                              <wps:spPr bwMode="auto">
                                <a:xfrm flipV="1">
                                  <a:off x="3543935" y="1598295"/>
                                  <a:ext cx="330200" cy="0"/>
                                </a:xfrm>
                                <a:prstGeom prst="line">
                                  <a:avLst/>
                                </a:prstGeom>
                                <a:noFill/>
                                <a:ln w="9525">
                                  <a:solidFill>
                                    <a:srgbClr val="000000"/>
                                  </a:solidFill>
                                  <a:round/>
                                  <a:tailEnd type="arrow" w="med" len="med"/>
                                </a:ln>
                              </wps:spPr>
                              <wps:bodyPr/>
                            </wps:wsp>
                            <wps:wsp>
                              <wps:cNvPr id="31" name="Text Box 1037"/>
                              <wps:cNvSpPr txBox="1">
                                <a:spLocks noChangeArrowheads="1"/>
                              </wps:cNvSpPr>
                              <wps:spPr bwMode="auto">
                                <a:xfrm>
                                  <a:off x="3862705" y="1466215"/>
                                  <a:ext cx="1051560" cy="278765"/>
                                </a:xfrm>
                                <a:prstGeom prst="rect">
                                  <a:avLst/>
                                </a:prstGeom>
                                <a:solidFill>
                                  <a:srgbClr val="FFFFFF"/>
                                </a:solidFill>
                                <a:ln w="9525">
                                  <a:solidFill>
                                    <a:srgbClr val="000000"/>
                                  </a:solidFill>
                                  <a:miter lim="800000"/>
                                </a:ln>
                              </wps:spPr>
                              <wps:txbx>
                                <w:txbxContent>
                                  <w:p>
                                    <w:pPr>
                                      <w:jc w:val="center"/>
                                      <w:rPr>
                                        <w:rFonts w:hint="default" w:eastAsia="宋体"/>
                                        <w:lang w:val="en-US" w:eastAsia="zh-CN"/>
                                      </w:rPr>
                                    </w:pPr>
                                    <w:r>
                                      <w:rPr>
                                        <w:rFonts w:hint="eastAsia"/>
                                        <w:lang w:val="en-US" w:eastAsia="zh-CN"/>
                                      </w:rPr>
                                      <w:t>废气处理装置</w:t>
                                    </w:r>
                                  </w:p>
                                </w:txbxContent>
                              </wps:txbx>
                              <wps:bodyPr rot="0" vert="horz" wrap="square" lIns="91440" tIns="45720" rIns="91440" bIns="45720" anchor="t" anchorCtr="0" upright="1">
                                <a:noAutofit/>
                              </wps:bodyPr>
                            </wps:wsp>
                            <wps:wsp>
                              <wps:cNvPr id="32" name="Line 1034"/>
                              <wps:cNvCnPr/>
                              <wps:spPr bwMode="auto">
                                <a:xfrm flipH="1">
                                  <a:off x="4406265" y="1750695"/>
                                  <a:ext cx="0" cy="299085"/>
                                </a:xfrm>
                                <a:prstGeom prst="line">
                                  <a:avLst/>
                                </a:prstGeom>
                                <a:noFill/>
                                <a:ln w="9525">
                                  <a:solidFill>
                                    <a:srgbClr val="000000"/>
                                  </a:solidFill>
                                  <a:round/>
                                  <a:tailEnd type="arrow" w="med" len="med"/>
                                </a:ln>
                              </wps:spPr>
                              <wps:bodyPr/>
                            </wps:wsp>
                            <wps:wsp>
                              <wps:cNvPr id="33" name="Text Box 1062"/>
                              <wps:cNvSpPr txBox="1">
                                <a:spLocks noChangeArrowheads="1"/>
                              </wps:cNvSpPr>
                              <wps:spPr bwMode="auto">
                                <a:xfrm>
                                  <a:off x="3957955" y="2056765"/>
                                  <a:ext cx="869315" cy="254635"/>
                                </a:xfrm>
                                <a:prstGeom prst="rect">
                                  <a:avLst/>
                                </a:prstGeom>
                                <a:noFill/>
                                <a:ln>
                                  <a:noFill/>
                                </a:ln>
                              </wps:spPr>
                              <wps:txbx>
                                <w:txbxContent>
                                  <w:p>
                                    <w:pPr>
                                      <w:jc w:val="center"/>
                                      <w:rPr>
                                        <w:rFonts w:hint="default" w:eastAsia="宋体"/>
                                        <w:lang w:val="en-US" w:eastAsia="zh-CN"/>
                                      </w:rPr>
                                    </w:pPr>
                                    <w:r>
                                      <w:rPr>
                                        <w:rFonts w:hint="eastAsia"/>
                                        <w:lang w:val="en-US" w:eastAsia="zh-CN"/>
                                      </w:rPr>
                                      <w:t>15m排气筒</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46.5pt;width:395.6pt;" coordsize="5024120,3130550" editas="canvas" o:gfxdata="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">
                      <o:lock v:ext="edit" aspectratio="f"/>
                      <v:shape id="_x0000_s1026" o:spid="_x0000_s1026" style="position:absolute;left:0;top:0;height:3130550;width:5024120;" filled="f" stroked="f" coordsize="21600,21600" o:gfxdata="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J/KPhzXAAAABQEAAA8A&#10;AAAAAAAAAQAgAAAAIgAAAGRycy9kb3ducmV2LnhtbFBLAQIUABQAAAAIAIdO4kDHnhwpGgYAACI5&#10;AAAOAAAAAAAAAAEAIAAAACYBAABkcnMvZTJvRG9jLnhtbFBLBQYAAAAABgAGAFkBAACyCQAAAAA=&#10;">
                        <v:fill on="f" focussize="0,0"/>
                        <v:stroke on="f"/>
                        <v:imagedata o:title=""/>
                        <o:lock v:ext="edit" aspectratio="f"/>
                      </v:shape>
                      <v:line id="Line 1032" o:spid="_x0000_s1026" o:spt="20" style="position:absolute;left:2486660;top:547370;flip:x;height:299085;width:0;" filled="f" stroked="t" coordsize="21600,21600" o:gfxdata="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DvWU41QAAAAUBAAAPAAAA&#10;AAAAAAEAIAAAACIAAABkcnMvZG93bnJldi54bWxQSwECFAAUAAAACACHTuJApu4NoN8BAACwAwAA&#10;DgAAAAAAAAABACAAAAAkAQAAZHJzL2Uyb0RvYy54bWxQSwUGAAAAAAYABgBZAQAAdQUAAAAA&#10;">
                        <v:fill on="f" focussize="0,0"/>
                        <v:stroke color="#000000" joinstyle="round" endarrow="open"/>
                        <v:imagedata o:title=""/>
                        <o:lock v:ext="edit" aspectratio="f"/>
                      </v:line>
                      <v:shape id="Text Box 1033" o:spid="_x0000_s1026" o:spt="202" type="#_x0000_t202" style="position:absolute;left:2089785;top:259715;height:279400;width:774700;" fillcolor="#FFFFFF" filled="t" stroked="t" coordsize="21600,21600" o:gfxdata="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AmG2PXAAAABQEAAA8AAAAAAAAAAQAgAAAAIgAAAGRycy9k&#10;b3ducmV2LnhtbFBLAQIUABQAAAAIAIdO4kApPSsNPAIAAJQEAAAOAAAAAAAAAAEAIAAAACYBAABk&#10;cnMvZTJvRG9jLnhtbFBLBQYAAAAABgAGAFkBAADUBQAAAAA=&#10;">
                        <v:fill on="t" focussize="0,0"/>
                        <v:stroke color="#000000" miterlimit="8" joinstyle="miter"/>
                        <v:imagedata o:title=""/>
                        <o:lock v:ext="edit" aspectratio="f"/>
                        <v:textbox>
                          <w:txbxContent>
                            <w:p>
                              <w:pPr>
                                <w:jc w:val="center"/>
                                <w:rPr>
                                  <w:rFonts w:hint="eastAsia" w:eastAsia="宋体"/>
                                  <w:lang w:val="en-US" w:eastAsia="zh-CN"/>
                                </w:rPr>
                              </w:pPr>
                              <w:r>
                                <w:rPr>
                                  <w:rFonts w:hint="eastAsia"/>
                                  <w:lang w:val="en-US" w:eastAsia="zh-CN"/>
                                </w:rPr>
                                <w:t>上料</w:t>
                              </w:r>
                            </w:p>
                          </w:txbxContent>
                        </v:textbox>
                      </v:shape>
                      <v:line id="Line 1034" o:spid="_x0000_s1026" o:spt="20" style="position:absolute;left:2486660;top:1156970;flip:x;height:299085;width:0;" filled="f" stroked="t" coordsize="21600,21600" o:gfxdata="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DvWU41QAAAAUBAAAPAAAA&#10;AAAAAAEAIAAAACIAAABkcnMvZG93bnJldi54bWxQSwECFAAUAAAACACHTuJApMtkad8BAACxAwAA&#10;DgAAAAAAAAABACAAAAAkAQAAZHJzL2Uyb0RvYy54bWxQSwUGAAAAAAYABgBZAQAAdQUAAAAA&#10;">
                        <v:fill on="f" focussize="0,0"/>
                        <v:stroke color="#000000" joinstyle="round" endarrow="open"/>
                        <v:imagedata o:title=""/>
                        <o:lock v:ext="edit" aspectratio="f"/>
                      </v:line>
                      <v:shape id="Text Box 1035" o:spid="_x0000_s1026" o:spt="202" type="#_x0000_t202" style="position:absolute;left:2099310;top:843915;height:293370;width:774700;" fillcolor="#FFFFFF" filled="t" stroked="t" coordsize="21600,21600" o:gfxdata="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CYbY9cAAAAFAQAADwAAAAAAAAABACAAAAAiAAAAZHJz&#10;L2Rvd25yZXYueG1sUEsBAhQAFAAAAAgAh07iQFcKaKw+AgAAlAQAAA4AAAAAAAAAAQAgAAAAJgEA&#10;AGRycy9lMm9Eb2MueG1sUEsFBgAAAAAGAAYAWQEAANYFAAAAAA==&#10;">
                        <v:fill on="t" focussize="0,0"/>
                        <v:stroke color="#000000" miterlimit="8" joinstyle="miter"/>
                        <v:imagedata o:title=""/>
                        <o:lock v:ext="edit" aspectratio="f"/>
                        <v:textbox>
                          <w:txbxContent>
                            <w:p>
                              <w:pPr>
                                <w:jc w:val="center"/>
                                <w:rPr>
                                  <w:rFonts w:hint="eastAsia" w:eastAsia="宋体"/>
                                  <w:lang w:val="en-US" w:eastAsia="zh-CN"/>
                                </w:rPr>
                              </w:pPr>
                              <w:r>
                                <w:rPr>
                                  <w:rFonts w:hint="eastAsia"/>
                                  <w:lang w:val="en-US" w:eastAsia="zh-CN"/>
                                </w:rPr>
                                <w:t>气化</w:t>
                              </w:r>
                            </w:p>
                          </w:txbxContent>
                        </v:textbox>
                      </v:shape>
                      <v:line id="Line 1036" o:spid="_x0000_s1026" o:spt="20" style="position:absolute;left:2486025;top:1737995;flip:x;height:299085;width:0;" filled="f" stroked="t" coordsize="21600,21600" o:gfxdata="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71lONUAAAAFAQAADwAA&#10;AAAAAAABACAAAAAiAAAAZHJzL2Rvd25yZXYueG1sUEsBAhQAFAAAAAgAh07iQFI9ZyngAQAAsQMA&#10;AA4AAAAAAAAAAQAgAAAAJAEAAGRycy9lMm9Eb2MueG1sUEsFBgAAAAAGAAYAWQEAAHYFAAAAAA==&#10;">
                        <v:fill on="f" focussize="0,0"/>
                        <v:stroke color="#000000" joinstyle="round" endarrow="open"/>
                        <v:imagedata o:title=""/>
                        <o:lock v:ext="edit" aspectratio="f"/>
                      </v:line>
                      <v:shape id="Text Box 1037" o:spid="_x0000_s1026" o:spt="202" type="#_x0000_t202" style="position:absolute;left:2098040;top:1451610;height:278765;width:774700;" fillcolor="#FFFFFF" filled="t" stroked="t" coordsize="21600,21600" o:gfxdata="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AJhtj1wAAAAUBAAAPAAAAAAAAAAEAIAAAACIAAABkcnMv&#10;ZG93bnJldi54bWxQSwECFAAUAAAACACHTuJA4sQ1Qj0CAACVBAAADgAAAAAAAAABACAAAAAmAQAA&#10;ZHJzL2Uyb0RvYy54bWxQSwUGAAAAAAYABgBZAQAA1QUAAAAA&#10;">
                        <v:fill on="t" focussize="0,0"/>
                        <v:stroke color="#000000" miterlimit="8" joinstyle="miter"/>
                        <v:imagedata o:title=""/>
                        <o:lock v:ext="edit" aspectratio="f"/>
                        <v:textbox>
                          <w:txbxContent>
                            <w:p>
                              <w:pPr>
                                <w:jc w:val="center"/>
                                <w:rPr>
                                  <w:rFonts w:hint="eastAsia" w:eastAsia="宋体"/>
                                  <w:lang w:val="en-US" w:eastAsia="zh-CN"/>
                                </w:rPr>
                              </w:pPr>
                              <w:r>
                                <w:rPr>
                                  <w:rFonts w:hint="eastAsia"/>
                                  <w:lang w:val="en-US" w:eastAsia="zh-CN"/>
                                </w:rPr>
                                <w:t>燃烧</w:t>
                              </w:r>
                            </w:p>
                          </w:txbxContent>
                        </v:textbox>
                      </v:shape>
                      <v:shape id="Text Box 1039" o:spid="_x0000_s1026" o:spt="202" type="#_x0000_t202" style="position:absolute;left:2112645;top:2035810;height:255905;width:774700;" fillcolor="#FFFFFF" filled="t" stroked="t" coordsize="21600,21600" o:gfxdata="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CYbY9cAAAAFAQAADwAAAAAAAAABACAAAAAiAAAAZHJz&#10;L2Rvd25yZXYueG1sUEsBAhQAFAAAAAgAh07iQM+jfp4+AgAAlQQAAA4AAAAAAAAAAQAgAAAAJgEA&#10;AGRycy9lMm9Eb2MueG1sUEsFBgAAAAAGAAYAWQEAANYFAAAAAA==&#10;">
                        <v:fill on="t" focussize="0,0"/>
                        <v:stroke color="#000000" miterlimit="8" joinstyle="miter"/>
                        <v:imagedata o:title=""/>
                        <o:lock v:ext="edit" aspectratio="f"/>
                        <v:textbox>
                          <w:txbxContent>
                            <w:p>
                              <w:pPr>
                                <w:jc w:val="center"/>
                                <w:rPr>
                                  <w:rFonts w:hint="eastAsia" w:eastAsia="宋体"/>
                                  <w:lang w:val="en-US" w:eastAsia="zh-CN"/>
                                </w:rPr>
                              </w:pPr>
                              <w:r>
                                <w:rPr>
                                  <w:rFonts w:hint="eastAsia"/>
                                  <w:lang w:val="en-US" w:eastAsia="zh-CN"/>
                                </w:rPr>
                                <w:t>分气缸</w:t>
                              </w:r>
                            </w:p>
                          </w:txbxContent>
                        </v:textbox>
                      </v:shape>
                      <v:shape id="Text Box 1062" o:spid="_x0000_s1026" o:spt="202" type="#_x0000_t202" style="position:absolute;left:2089150;top:2562860;height:429895;width:781685;" filled="f" stroked="f" coordsize="21600,21600" o:gfxdata="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xVH3tQAAAAFAQAADwAAAAAAAAAB&#10;ACAAAAAiAAAAZHJzL2Rvd25yZXYueG1sUEsBAhQAFAAAAAgAh07iQHVmZP4UAgAAIwQAAA4AAAAA&#10;AAAAAQAgAAAAIwEAAGRycy9lMm9Eb2MueG1sUEsFBgAAAAAGAAYAWQEAAKkFAAAAAA==&#10;">
                        <v:fill on="f" focussize="0,0"/>
                        <v:stroke on="f"/>
                        <v:imagedata o:title=""/>
                        <o:lock v:ext="edit" aspectratio="f"/>
                        <v:textbox>
                          <w:txbxContent>
                            <w:p>
                              <w:pPr>
                                <w:jc w:val="center"/>
                              </w:pPr>
                              <w:r>
                                <w:rPr>
                                  <w:rFonts w:hint="eastAsia"/>
                                </w:rPr>
                                <w:t>供给企业用蒸汽</w:t>
                              </w:r>
                            </w:p>
                          </w:txbxContent>
                        </v:textbox>
                      </v:shape>
                      <v:shape id="Text Box 1063" o:spid="_x0000_s1026" o:spt="202" type="#_x0000_t202" style="position:absolute;left:890270;top:282575;height:264160;width:880110;" filled="f" stroked="t" coordsize="21600,21600" o:gfxdata="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BUaH7XAAAABQEAAA8AAAAAAAAAAQAgAAAAIgAAAGRy&#10;cy9kb3ducmV2LnhtbFBLAQIUABQAAAAIAIdO4kDXCMCXPwIAAHcEAAAOAAAAAAAAAAEAIAAAACYB&#10;AABkcnMvZTJvRG9jLnhtbFBLBQYAAAAABgAGAFkBAADXBQAAAAA=&#10;">
                        <v:fill on="f" focussize="0,0"/>
                        <v:stroke weight="0.5pt" color="#000000 [3213]" joinstyle="round" dashstyle="longDash"/>
                        <v:imagedata o:title=""/>
                        <o:lock v:ext="edit" aspectratio="f"/>
                        <v:textbox>
                          <w:txbxContent>
                            <w:p>
                              <w:pPr>
                                <w:jc w:val="center"/>
                                <w:rPr>
                                  <w:rFonts w:hint="default" w:eastAsia="宋体"/>
                                  <w:lang w:val="en-US" w:eastAsia="zh-CN"/>
                                </w:rPr>
                              </w:pPr>
                              <w:r>
                                <w:rPr>
                                  <w:rFonts w:hint="eastAsia"/>
                                  <w:lang w:val="en-US" w:eastAsia="zh-CN"/>
                                </w:rPr>
                                <w:t>生物质原料</w:t>
                              </w:r>
                            </w:p>
                          </w:txbxContent>
                        </v:textbox>
                      </v:shape>
                      <v:line id="Line 1102" o:spid="_x0000_s1026" o:spt="20" style="position:absolute;left:1763395;top:412115;flip:y;height:0;width:330200;" filled="f" stroked="t" coordsize="21600,21600" o:gfxdata="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O9ZTjVAAAABQEAAA8AAAAA&#10;AAAAAQAgAAAAIgAAAGRycy9kb3ducmV2LnhtbFBLAQIUABQAAAAIAIdO4kDVrdWt3gEAAK8DAAAO&#10;AAAAAAAAAAEAIAAAACQBAABkcnMvZTJvRG9jLnhtbFBLBQYAAAAABgAGAFkBAAB0BQAAAAA=&#10;">
                        <v:fill on="f" focussize="0,0"/>
                        <v:stroke color="#000000" joinstyle="round" endarrow="open"/>
                        <v:imagedata o:title=""/>
                        <o:lock v:ext="edit" aspectratio="f"/>
                      </v:line>
                      <v:shape id="Text Box 1063" o:spid="_x0000_s1026" o:spt="202" type="#_x0000_t202" style="position:absolute;left:904875;top:868680;height:264160;width:880110;" filled="f" stroked="t" coordsize="21600,21600" o:gfxdata="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&#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BUaH7XAAAABQEAAA8AAAAAAAAAAQAgAAAAIgAAAGRy&#10;cy9kb3ducmV2LnhtbFBLAQIUABQAAAAIAIdO4kD0sF1mPwIAAHgEAAAOAAAAAAAAAAEAIAAAACYB&#10;AABkcnMvZTJvRG9jLnhtbFBLBQYAAAAABgAGAFkBAADXBQAAAAA=&#10;">
                        <v:fill on="f" focussize="0,0"/>
                        <v:stroke weight="0.5pt" color="#000000 [3213]" joinstyle="round" dashstyle="longDash"/>
                        <v:imagedata o:title=""/>
                        <o:lock v:ext="edit" aspectratio="f"/>
                        <v:textbox>
                          <w:txbxContent>
                            <w:p>
                              <w:pPr>
                                <w:jc w:val="center"/>
                                <w:rPr>
                                  <w:rFonts w:hint="default" w:eastAsia="宋体"/>
                                  <w:lang w:val="en-US" w:eastAsia="zh-CN"/>
                                </w:rPr>
                              </w:pPr>
                              <w:r>
                                <w:rPr>
                                  <w:rFonts w:hint="eastAsia"/>
                                  <w:lang w:val="en-US" w:eastAsia="zh-CN"/>
                                </w:rPr>
                                <w:t>气化炉</w:t>
                              </w:r>
                            </w:p>
                          </w:txbxContent>
                        </v:textbox>
                      </v:shape>
                      <v:line id="Line 1102" o:spid="_x0000_s1026" o:spt="20" style="position:absolute;left:1778000;top:998220;flip:y;height:0;width:330200;" filled="f" stroked="t" coordsize="21600,21600" o:gfxdata="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DvWU41QAAAAUBAAAPAAAAAAAA&#10;AAEAIAAAACIAAABkcnMvZG93bnJldi54bWxQSwECFAAUAAAACACHTuJAfWzQW9wBAACwAwAADgAA&#10;AAAAAAABACAAAAAkAQAAZHJzL2Uyb0RvYy54bWxQSwUGAAAAAAYABgBZAQAAcgUAAAAA&#10;">
                        <v:fill on="f" focussize="0,0"/>
                        <v:stroke color="#000000" joinstyle="round" endarrow="open"/>
                        <v:imagedata o:title=""/>
                        <o:lock v:ext="edit" aspectratio="f"/>
                      </v:line>
                      <v:line id="Line 1102" o:spid="_x0000_s1026" o:spt="20" style="position:absolute;left:2877185;top:990600;flip:y;height:0;width:330200;" filled="f" stroked="t" coordsize="21600,21600" o:gfxdata="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71lONUAAAAFAQAADwAAAAAA&#10;AAABACAAAAAiAAAAZHJzL2Rvd25yZXYueG1sUEsBAhQAFAAAAAgAh07iQDYWl6zdAQAAsAMAAA4A&#10;AAAAAAAAAQAgAAAAJAEAAGRycy9lMm9Eb2MueG1sUEsFBgAAAAAGAAYAWQEAAHMFAAAAAA==&#10;">
                        <v:fill on="f" focussize="0,0"/>
                        <v:stroke color="#000000" joinstyle="round" endarrow="open"/>
                        <v:imagedata o:title=""/>
                        <o:lock v:ext="edit" aspectratio="f"/>
                      </v:line>
                      <v:shape id="Text Box 1062" o:spid="_x0000_s1026" o:spt="202" type="#_x0000_t202" style="position:absolute;left:3070860;top:839470;height:254635;width:803275;" filled="f" stroked="f" coordsize="21600,21600" o:gfxdata="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MVR97UAAAABQEAAA8AAAAAAAAA&#10;AQAgAAAAIgAAAGRycy9kb3ducmV2LnhtbFBLAQIUABQAAAAIAIdO4kBKaqVVFQIAACIEAAAOAAAA&#10;AAAAAAEAIAAAACMBAABkcnMvZTJvRG9jLnhtbFBLBQYAAAAABgAGAFkBAACqBQAAAAA=&#10;">
                        <v:fill on="f" focussize="0,0"/>
                        <v:stroke on="f"/>
                        <v:imagedata o:title=""/>
                        <o:lock v:ext="edit" aspectratio="f"/>
                        <v:textbox>
                          <w:txbxContent>
                            <w:p>
                              <w:pPr>
                                <w:jc w:val="center"/>
                                <w:rPr>
                                  <w:rFonts w:hint="eastAsia" w:eastAsia="宋体"/>
                                  <w:lang w:val="en-US" w:eastAsia="zh-CN"/>
                                </w:rPr>
                              </w:pPr>
                              <w:r>
                                <w:rPr>
                                  <w:rFonts w:hint="eastAsia"/>
                                  <w:lang w:val="en-US" w:eastAsia="zh-CN"/>
                                </w:rPr>
                                <w:t>灰渣</w:t>
                              </w:r>
                            </w:p>
                          </w:txbxContent>
                        </v:textbox>
                      </v:shape>
                      <v:line id="Line 1102" o:spid="_x0000_s1026" o:spt="20" style="position:absolute;left:2862580;top:412115;flip:y;height:0;width:330200;" filled="f" stroked="t" coordsize="21600,21600" o:gfxdata="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DvWU41QAAAAUBAAAPAAAA&#10;AAAAAAEAIAAAACIAAABkcnMvZG93bnJldi54bWxQSwECFAAUAAAACACHTuJAFOW77N8BAACwAwAA&#10;DgAAAAAAAAABACAAAAAkAQAAZHJzL2Uyb0RvYy54bWxQSwUGAAAAAAYABgBZAQAAdQUAAAAA&#10;">
                        <v:fill on="f" focussize="0,0"/>
                        <v:stroke color="#000000" joinstyle="round" endarrow="open"/>
                        <v:imagedata o:title=""/>
                        <o:lock v:ext="edit" aspectratio="f"/>
                      </v:line>
                      <v:shape id="Text Box 1062" o:spid="_x0000_s1026" o:spt="202" type="#_x0000_t202" style="position:absolute;left:3056255;top:260985;height:254635;width:1153795;" filled="f" stroked="f" coordsize="21600,21600" o:gfxdata="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xVH3tQAAAAFAQAADwAAAAAAAAAB&#10;ACAAAAAiAAAAZHJzL2Rvd25yZXYueG1sUEsBAhQAFAAAAAgAh07iQAhYmXUUAgAAIwQAAA4AAAAA&#10;AAAAAQAgAAAAIwEAAGRycy9lMm9Eb2MueG1sUEsFBgAAAAAGAAYAWQEAAKk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粉尘、噪声</w:t>
                              </w:r>
                            </w:p>
                          </w:txbxContent>
                        </v:textbox>
                      </v:shape>
                      <v:shape id="Text Box 1063" o:spid="_x0000_s1026" o:spt="202" type="#_x0000_t202" style="position:absolute;left:912495;top:1477010;height:264160;width:880110;" filled="f" stroked="t" coordsize="21600,21600" o:gfxdata="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FRoftcAAAAFAQAADwAAAAAAAAABACAAAAAiAAAA&#10;ZHJzL2Rvd25yZXYueG1sUEsBAhQAFAAAAAgAh07iQOH54ldBAgAAeQQAAA4AAAAAAAAAAQAgAAAA&#10;JgEAAGRycy9lMm9Eb2MueG1sUEsFBgAAAAAGAAYAWQEAANkFAAAAAA==&#10;">
                        <v:fill on="f" focussize="0,0"/>
                        <v:stroke weight="0.5pt" color="#000000 [3213]" joinstyle="round" dashstyle="longDash"/>
                        <v:imagedata o:title=""/>
                        <o:lock v:ext="edit" aspectratio="f"/>
                        <v:textbox>
                          <w:txbxContent>
                            <w:p>
                              <w:pPr>
                                <w:jc w:val="center"/>
                                <w:rPr>
                                  <w:rFonts w:hint="default" w:eastAsia="宋体"/>
                                  <w:lang w:val="en-US" w:eastAsia="zh-CN"/>
                                </w:rPr>
                              </w:pPr>
                              <w:r>
                                <w:rPr>
                                  <w:rFonts w:hint="eastAsia"/>
                                  <w:lang w:val="en-US" w:eastAsia="zh-CN"/>
                                </w:rPr>
                                <w:t>燃烧锅炉</w:t>
                              </w:r>
                            </w:p>
                          </w:txbxContent>
                        </v:textbox>
                      </v:shape>
                      <v:line id="Line 1102" o:spid="_x0000_s1026" o:spt="20" style="position:absolute;left:1785620;top:1606550;flip:y;height:0;width:330200;" filled="f" stroked="t" coordsize="21600,21600" o:gfxdata="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DvWU41QAAAAUBAAAPAAAAAAAA&#10;AAEAIAAAACIAAABkcnMvZG93bnJldi54bWxQSwECFAAUAAAACACHTuJAJyNM0NwBAACxAwAADgAA&#10;AAAAAAABACAAAAAkAQAAZHJzL2Uyb0RvYy54bWxQSwUGAAAAAAYABgBZAQAAcgUAAAAA&#10;">
                        <v:fill on="f" focussize="0,0"/>
                        <v:stroke color="#000000" joinstyle="round" endarrow="open"/>
                        <v:imagedata o:title=""/>
                        <o:lock v:ext="edit" aspectratio="f"/>
                      </v:line>
                      <v:line id="Line 1036" o:spid="_x0000_s1026" o:spt="20" style="position:absolute;left:2500630;top:2301875;flip:x;height:299085;width:0;" filled="f" stroked="t" coordsize="21600,21600" o:gfxdata="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O9ZTjVAAAABQEAAA8AAAAA&#10;AAAAAQAgAAAAIgAAAGRycy9kb3ducmV2LnhtbFBLAQIUABQAAAAIAIdO4kDxplBh3gEAALEDAAAO&#10;AAAAAAAAAAEAIAAAACQBAABkcnMvZTJvRG9jLnhtbFBLBQYAAAAABgAGAFkBAAB0BQAAAAA=&#10;">
                        <v:fill on="f" focussize="0,0"/>
                        <v:stroke color="#000000" joinstyle="round" endarrow="open"/>
                        <v:imagedata o:title=""/>
                        <o:lock v:ext="edit" aspectratio="f"/>
                      </v:line>
                      <v:line id="Line 1102" o:spid="_x0000_s1026" o:spt="20" style="position:absolute;left:2877185;top:1606550;flip:y;height:0;width:330200;" filled="f" stroked="t" coordsize="21600,21600" o:gfxdata="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DvWU41QAAAAUBAAAPAAAAAAAA&#10;AAEAIAAAACIAAABkcnMvZG93bnJldi54bWxQSwECFAAUAAAACACHTuJAOtpxA9wBAACxAwAADgAA&#10;AAAAAAABACAAAAAkAQAAZHJzL2Uyb0RvYy54bWxQSwUGAAAAAAYABgBZAQAAcgUAAAAA&#10;">
                        <v:fill on="f" focussize="0,0"/>
                        <v:stroke color="#000000" joinstyle="round" endarrow="open"/>
                        <v:imagedata o:title=""/>
                        <o:lock v:ext="edit" aspectratio="f"/>
                      </v:line>
                      <v:shape id="Text Box 1062" o:spid="_x0000_s1026" o:spt="202" type="#_x0000_t202" style="position:absolute;left:2983230;top:1455420;height:254635;width:803275;" filled="f" stroked="f" coordsize="21600,21600" o:gfxdata="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MVR97UAAAABQEAAA8AAAAAAAAA&#10;AQAgAAAAIgAAAGRycy9kb3ducmV2LnhtbFBLAQIUABQAAAAIAIdO4kAUVzayFQIAACMEAAAOAAAA&#10;AAAAAAEAIAAAACMBAABkcnMvZTJvRG9jLnhtbFBLBQYAAAAABgAGAFkBAACq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烟气</w:t>
                              </w:r>
                            </w:p>
                          </w:txbxContent>
                        </v:textbox>
                      </v:shape>
                      <v:line id="Line 1102" o:spid="_x0000_s1026" o:spt="20" style="position:absolute;left:3543935;top:1598295;flip:y;height:0;width:330200;" filled="f" stroked="t" coordsize="21600,21600" o:gfxdata="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O9ZTjVAAAABQEAAA8AAAAA&#10;AAAAAQAgAAAAIgAAAGRycy9kb3ducmV2LnhtbFBLAQIUABQAAAAIAIdO4kCXeNT/3gEAALEDAAAO&#10;AAAAAAAAAAEAIAAAACQBAABkcnMvZTJvRG9jLnhtbFBLBQYAAAAABgAGAFkBAAB0BQAAAAA=&#10;">
                        <v:fill on="f" focussize="0,0"/>
                        <v:stroke color="#000000" joinstyle="round" endarrow="open"/>
                        <v:imagedata o:title=""/>
                        <o:lock v:ext="edit" aspectratio="f"/>
                      </v:line>
                      <v:shape id="Text Box 1037" o:spid="_x0000_s1026" o:spt="202" type="#_x0000_t202" style="position:absolute;left:3862705;top:1466215;height:278765;width:1051560;" fillcolor="#FFFFFF" filled="t" stroked="t" coordsize="21600,21600" o:gfxdata="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AmG2PXAAAABQEAAA8AAAAAAAAAAQAgAAAAIgAAAGRy&#10;cy9kb3ducmV2LnhtbFBLAQIUABQAAAAIAIdO4kAE39iOPwIAAJYEAAAOAAAAAAAAAAEAIAAAACYB&#10;AABkcnMvZTJvRG9jLnhtbFBLBQYAAAAABgAGAFkBAADXBQAAAAA=&#10;">
                        <v:fill on="t" focussize="0,0"/>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废气处理装置</w:t>
                              </w:r>
                            </w:p>
                          </w:txbxContent>
                        </v:textbox>
                      </v:shape>
                      <v:line id="Line 1034" o:spid="_x0000_s1026" o:spt="20" style="position:absolute;left:4406265;top:1750695;flip:x;height:299085;width:0;" filled="f" stroked="t" coordsize="21600,21600" o:gfxdata="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71lONUAAAAFAQAADwAA&#10;AAAAAAABACAAAAAiAAAAZHJzL2Rvd25yZXYueG1sUEsBAhQAFAAAAAgAh07iQMOi9rHgAQAAsQMA&#10;AA4AAAAAAAAAAQAgAAAAJAEAAGRycy9lMm9Eb2MueG1sUEsFBgAAAAAGAAYAWQEAAHYFAAAAAA==&#10;">
                        <v:fill on="f" focussize="0,0"/>
                        <v:stroke color="#000000" joinstyle="round" endarrow="open"/>
                        <v:imagedata o:title=""/>
                        <o:lock v:ext="edit" aspectratio="f"/>
                      </v:line>
                      <v:shape id="Text Box 1062" o:spid="_x0000_s1026" o:spt="202" type="#_x0000_t202" style="position:absolute;left:3957955;top:2056765;height:254635;width:869315;" filled="f" stroked="f" coordsize="21600,21600" o:gfxdata="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FUfe1AAAAAUBAAAPAAAAAAAA&#10;AAEAIAAAACIAAABkcnMvZG93bnJldi54bWxQSwECFAAUAAAACACHTuJAmODQkRYCAAAjBAAADgAA&#10;AAAAAAABACAAAAAjAQAAZHJzL2Uyb0RvYy54bWxQSwUGAAAAAAYABgBZAQAAqw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15m排气筒</w:t>
                              </w:r>
                            </w:p>
                          </w:txbxContent>
                        </v:textbox>
                      </v:shape>
                      <w10:wrap type="none"/>
                      <w10:anchorlock/>
                    </v:group>
                  </w:pict>
                </mc:Fallback>
              </mc:AlternateContent>
            </w:r>
          </w:p>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图2-2 项目生产工艺流程</w:t>
            </w:r>
            <w:r>
              <w:rPr>
                <w:rFonts w:hint="default" w:ascii="Times New Roman" w:hAnsi="Times New Roman" w:cs="Times New Roman"/>
                <w:b/>
                <w:sz w:val="21"/>
                <w:szCs w:val="21"/>
              </w:rPr>
              <w:t>及产污</w:t>
            </w:r>
            <w:r>
              <w:rPr>
                <w:rFonts w:hint="default" w:ascii="Times New Roman" w:hAnsi="Times New Roman" w:cs="Times New Roman"/>
                <w:b/>
                <w:bCs/>
                <w:sz w:val="21"/>
                <w:szCs w:val="21"/>
              </w:rPr>
              <w:t>图</w:t>
            </w:r>
          </w:p>
          <w:p>
            <w:pPr>
              <w:pStyle w:val="2"/>
              <w:adjustRightInd w:val="0"/>
              <w:spacing w:before="0" w:after="0" w:line="360" w:lineRule="auto"/>
              <w:ind w:left="420" w:right="0"/>
              <w:rPr>
                <w:rFonts w:hint="default" w:ascii="Times New Roman" w:hAnsi="Times New Roman" w:cs="Times New Roman"/>
                <w:b/>
                <w:bCs/>
                <w:sz w:val="24"/>
              </w:rPr>
            </w:pPr>
            <w:r>
              <w:rPr>
                <w:rFonts w:hint="default" w:ascii="Times New Roman" w:hAnsi="Times New Roman" w:cs="Times New Roman"/>
                <w:b/>
                <w:bCs/>
                <w:sz w:val="24"/>
                <w:lang w:val="en-US" w:eastAsia="zh-CN"/>
              </w:rPr>
              <w:t>工艺流程简述</w:t>
            </w:r>
            <w:r>
              <w:rPr>
                <w:rFonts w:hint="default" w:ascii="Times New Roman" w:hAnsi="Times New Roman" w:cs="Times New Roman"/>
                <w:b/>
                <w:bCs/>
                <w:sz w:val="24"/>
              </w:rPr>
              <w:t>：</w:t>
            </w:r>
          </w:p>
          <w:p>
            <w:pPr>
              <w:pStyle w:val="2"/>
              <w:adjustRightInd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rPr>
              <w:t>上料</w:t>
            </w:r>
            <w:r>
              <w:rPr>
                <w:rFonts w:hint="default" w:ascii="Times New Roman" w:hAnsi="Times New Roman" w:cs="Times New Roman"/>
                <w:sz w:val="24"/>
                <w:szCs w:val="24"/>
                <w:lang w:eastAsia="zh-CN"/>
              </w:rPr>
              <w:t>：</w:t>
            </w:r>
            <w:r>
              <w:rPr>
                <w:rFonts w:hint="default" w:ascii="Times New Roman" w:hAnsi="Times New Roman" w:cs="Times New Roman"/>
                <w:sz w:val="24"/>
                <w:szCs w:val="24"/>
              </w:rPr>
              <w:t>生物质原料通过燃料提升机从上部送入生物质气化炉</w:t>
            </w:r>
            <w:r>
              <w:rPr>
                <w:rFonts w:hint="default" w:ascii="Times New Roman" w:hAnsi="Times New Roman" w:cs="Times New Roman"/>
                <w:sz w:val="24"/>
                <w:szCs w:val="24"/>
                <w:lang w:eastAsia="zh-CN"/>
              </w:rPr>
              <w:t>，</w:t>
            </w:r>
            <w:r>
              <w:rPr>
                <w:rFonts w:hint="default" w:ascii="Times New Roman" w:hAnsi="Times New Roman" w:cs="Times New Roman"/>
                <w:sz w:val="24"/>
                <w:szCs w:val="24"/>
              </w:rPr>
              <w:t>空气从底部吹入，与生物质物料走向相反。</w:t>
            </w:r>
          </w:p>
          <w:p>
            <w:pPr>
              <w:pStyle w:val="2"/>
              <w:adjustRightInd w:val="0"/>
              <w:spacing w:before="0" w:after="0" w:line="360" w:lineRule="auto"/>
              <w:ind w:right="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气化：生物质原料在气化炉本体中高温（800~90℃）裂解、气化，转变为可燃气体，同时生成碳化物（灰渣），气化炉气化过程需要使用冷却水降温，冷却水暂存于冷却水箱内，循环使用不外排。灰渣通过自动排渣系统排出，可出售做肥料。</w:t>
            </w:r>
          </w:p>
          <w:p>
            <w:pPr>
              <w:pStyle w:val="2"/>
              <w:adjustRightInd w:val="0"/>
              <w:spacing w:before="0" w:after="0" w:line="360" w:lineRule="auto"/>
              <w:ind w:right="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生物质气化原理：生物质燃料中的碳元素质量分数为40-50%，同时还含有氢、氧、氮及无机成分如钾、钠、钙、硅等，这些元素在缺氧条件下加热，使之发生复杂的热化学反应热能转化过程，此过程实质是生物质燃料中的碳、氢、氧等元素在反应条件下按照化学键的成键原理，变成一氧化碳、甲烷、氢气等可燃气体。</w:t>
            </w:r>
          </w:p>
          <w:p>
            <w:pPr>
              <w:pStyle w:val="2"/>
              <w:adjustRightInd w:val="0"/>
              <w:spacing w:before="0" w:after="0" w:line="360" w:lineRule="auto"/>
              <w:ind w:right="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空气由气化炉的底部进入，与热灰渣进行换热，进入气化炉底部的氧化区与高温碳料燃烧产热，氧化层在1000℃以上。CO</w:t>
            </w:r>
            <w:r>
              <w:rPr>
                <w:rFonts w:hint="default" w:ascii="Times New Roman" w:hAnsi="Times New Roman" w:cs="Times New Roman"/>
                <w:sz w:val="24"/>
                <w:szCs w:val="24"/>
                <w:vertAlign w:val="subscript"/>
                <w:lang w:val="en-US" w:eastAsia="zh-CN"/>
              </w:rPr>
              <w:t>2</w:t>
            </w:r>
            <w:r>
              <w:rPr>
                <w:rFonts w:hint="default" w:ascii="Times New Roman" w:hAnsi="Times New Roman" w:cs="Times New Roman"/>
                <w:sz w:val="24"/>
                <w:szCs w:val="24"/>
                <w:lang w:val="en-US" w:eastAsia="zh-CN"/>
              </w:rPr>
              <w:t>、H</w:t>
            </w:r>
            <w:r>
              <w:rPr>
                <w:rFonts w:hint="default" w:ascii="Times New Roman" w:hAnsi="Times New Roman" w:cs="Times New Roman"/>
                <w:sz w:val="24"/>
                <w:szCs w:val="24"/>
                <w:vertAlign w:val="subscript"/>
                <w:lang w:val="en-US" w:eastAsia="zh-CN"/>
              </w:rPr>
              <w:t>2</w:t>
            </w:r>
            <w:r>
              <w:rPr>
                <w:rFonts w:hint="default" w:ascii="Times New Roman" w:hAnsi="Times New Roman" w:cs="Times New Roman"/>
                <w:sz w:val="24"/>
                <w:szCs w:val="24"/>
                <w:lang w:val="en-US" w:eastAsia="zh-CN"/>
              </w:rPr>
              <w:t>O等升到还原层遇到下行的高温碳发生还原反应形成燃气，温度降低至700-900℃。热解层物料被热气流加热热解，析出挥发分，固体碳下落。热气流到干燥层烘干物料后降温到300℃以下进入锅炉。</w:t>
            </w:r>
          </w:p>
          <w:p>
            <w:pPr>
              <w:pStyle w:val="2"/>
              <w:adjustRightInd w:val="0"/>
              <w:spacing w:before="0" w:after="0" w:line="360" w:lineRule="auto"/>
              <w:ind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生物质燃料从炉顶进料口进入炉内，随着物料气块位置下降，气化炉内部温度不断上升，物料进行着复杂的热分解，析出不同馏分的挥发份，直到900℃以上基本结束。气化炉的氧化区和还原区为气化反应的主要场所，而热解区和干燥区为燃料的准备场所，气化形成的可燃气从下往上经过气化炉是将热量传递给待气化的生物质，用于生物质的热分解和干燥，同时降低燃气的自身温度副产物焦油在高温时呈气态，与生物质燃气一起进入燃气锅炉，因此项目无焦油产生，亦无挥发性有机物 VOCs 外排。</w:t>
            </w:r>
          </w:p>
          <w:p>
            <w:pPr>
              <w:pStyle w:val="2"/>
              <w:adjustRightInd w:val="0"/>
              <w:spacing w:before="0" w:after="0" w:line="360" w:lineRule="auto"/>
              <w:ind w:right="0"/>
              <w:rPr>
                <w:rFonts w:hint="default" w:ascii="Times New Roman" w:hAnsi="Times New Roman" w:cs="Times New Roman"/>
                <w:sz w:val="24"/>
                <w:szCs w:val="24"/>
              </w:rPr>
            </w:pPr>
            <w:r>
              <w:rPr>
                <w:rFonts w:hint="default" w:ascii="Times New Roman" w:hAnsi="Times New Roman" w:cs="Times New Roman"/>
              </w:rPr>
              <w:drawing>
                <wp:inline distT="0" distB="0" distL="114300" distR="114300">
                  <wp:extent cx="5351145" cy="2857500"/>
                  <wp:effectExtent l="0" t="0" r="190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3"/>
                          <a:stretch>
                            <a:fillRect/>
                          </a:stretch>
                        </pic:blipFill>
                        <pic:spPr>
                          <a:xfrm>
                            <a:off x="0" y="0"/>
                            <a:ext cx="5351145" cy="2857500"/>
                          </a:xfrm>
                          <a:prstGeom prst="rect">
                            <a:avLst/>
                          </a:prstGeom>
                          <a:noFill/>
                          <a:ln>
                            <a:noFill/>
                          </a:ln>
                        </pic:spPr>
                      </pic:pic>
                    </a:graphicData>
                  </a:graphic>
                </wp:inline>
              </w:drawing>
            </w:r>
          </w:p>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图2-</w:t>
            </w:r>
            <w:r>
              <w:rPr>
                <w:rFonts w:hint="default" w:ascii="Times New Roman" w:hAnsi="Times New Roman" w:cs="Times New Roman"/>
                <w:b/>
                <w:bCs/>
                <w:sz w:val="21"/>
                <w:szCs w:val="21"/>
                <w:lang w:val="en-US" w:eastAsia="zh-CN"/>
              </w:rPr>
              <w:t>3</w:t>
            </w:r>
            <w:r>
              <w:rPr>
                <w:rFonts w:hint="default" w:ascii="Times New Roman" w:hAnsi="Times New Roman" w:cs="Times New Roman"/>
                <w:b/>
                <w:bCs/>
                <w:sz w:val="21"/>
                <w:szCs w:val="21"/>
              </w:rPr>
              <w:t xml:space="preserve"> </w:t>
            </w:r>
            <w:r>
              <w:rPr>
                <w:rFonts w:hint="default" w:ascii="Times New Roman" w:hAnsi="Times New Roman" w:cs="Times New Roman"/>
                <w:b/>
                <w:bCs/>
                <w:sz w:val="21"/>
                <w:szCs w:val="21"/>
                <w:lang w:val="en-US" w:eastAsia="zh-CN"/>
              </w:rPr>
              <w:t>生物质气化过程示意</w:t>
            </w:r>
            <w:r>
              <w:rPr>
                <w:rFonts w:hint="default" w:ascii="Times New Roman" w:hAnsi="Times New Roman" w:cs="Times New Roman"/>
                <w:b/>
                <w:bCs/>
                <w:sz w:val="21"/>
                <w:szCs w:val="21"/>
              </w:rPr>
              <w:t>图</w:t>
            </w:r>
          </w:p>
          <w:p>
            <w:pPr>
              <w:pStyle w:val="2"/>
              <w:adjustRightInd w:val="0"/>
              <w:spacing w:before="0" w:after="0" w:line="360" w:lineRule="auto"/>
              <w:ind w:right="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燃烧：燃烧机将生物质气与锅炉空气预热器引来的热风充分混合后送入锅炉底部燃烧室。用高能电子点火器引燃生物质气燃烧释放出大量热能而被布置在燃烧室内壁的模式鳍片水冷壁内流动的炉水吸收，炉水经吸热而升温升压就生产为压力2.45MPa温度220℃的饱和蒸汽，通过分气缸供企业使用。此过程为自动燃烧，作业人员于控制室内控制参数，对设备仅进行巡视管理作业。</w:t>
            </w:r>
          </w:p>
          <w:p>
            <w:pPr>
              <w:pStyle w:val="2"/>
              <w:adjustRightInd w:val="0"/>
              <w:spacing w:before="0" w:after="0" w:line="360" w:lineRule="auto"/>
              <w:ind w:firstLine="482" w:firstLineChars="200"/>
              <w:rPr>
                <w:rFonts w:hint="default" w:ascii="Times New Roman" w:hAnsi="Times New Roman" w:cs="Times New Roman"/>
                <w:b/>
                <w:bCs/>
                <w:kern w:val="2"/>
                <w:sz w:val="24"/>
                <w:szCs w:val="24"/>
              </w:rPr>
            </w:pPr>
            <w:r>
              <w:rPr>
                <w:rFonts w:hint="eastAsia" w:cs="Times New Roman"/>
                <w:b/>
                <w:bCs/>
                <w:kern w:val="2"/>
                <w:sz w:val="24"/>
                <w:szCs w:val="24"/>
                <w:lang w:val="en-US" w:eastAsia="zh-CN"/>
              </w:rPr>
              <w:t>5</w:t>
            </w:r>
            <w:r>
              <w:rPr>
                <w:rFonts w:hint="default" w:ascii="Times New Roman" w:hAnsi="Times New Roman" w:cs="Times New Roman"/>
                <w:b/>
                <w:bCs/>
                <w:kern w:val="2"/>
                <w:sz w:val="24"/>
                <w:szCs w:val="24"/>
              </w:rPr>
              <w:t>、产污分析</w:t>
            </w:r>
          </w:p>
          <w:p>
            <w:pPr>
              <w:spacing w:line="360" w:lineRule="auto"/>
              <w:ind w:firstLine="480" w:firstLineChars="200"/>
              <w:rPr>
                <w:rFonts w:hint="default" w:ascii="Times New Roman" w:hAnsi="Times New Roman" w:cs="Times New Roman"/>
              </w:rPr>
            </w:pPr>
            <w:r>
              <w:rPr>
                <w:rFonts w:hint="default" w:ascii="Times New Roman" w:hAnsi="Times New Roman" w:cs="Times New Roman"/>
                <w:sz w:val="24"/>
              </w:rPr>
              <w:t>根据以上分析，本项目产生的污染物如下：</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废水：锅炉废水、办公生活污水、</w:t>
            </w:r>
            <w:r>
              <w:rPr>
                <w:rFonts w:hint="default" w:ascii="Times New Roman" w:hAnsi="Times New Roman" w:cs="Times New Roman"/>
                <w:sz w:val="24"/>
                <w:lang w:val="en-US" w:eastAsia="zh-CN"/>
              </w:rPr>
              <w:t>软水制备废</w:t>
            </w:r>
            <w:r>
              <w:rPr>
                <w:rFonts w:hint="default" w:ascii="Times New Roman" w:hAnsi="Times New Roman" w:cs="Times New Roman"/>
                <w:sz w:val="24"/>
              </w:rPr>
              <w:t>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废气：</w:t>
            </w:r>
            <w:r>
              <w:rPr>
                <w:rFonts w:hint="default" w:ascii="Times New Roman" w:hAnsi="Times New Roman" w:cs="Times New Roman"/>
                <w:sz w:val="24"/>
                <w:lang w:val="en-US" w:eastAsia="zh-CN"/>
              </w:rPr>
              <w:t>投料粉尘、锅炉</w:t>
            </w:r>
            <w:r>
              <w:rPr>
                <w:rFonts w:hint="default" w:ascii="Times New Roman" w:hAnsi="Times New Roman" w:cs="Times New Roman"/>
                <w:sz w:val="24"/>
              </w:rPr>
              <w:t>燃烧废气。</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噪声：锅炉、水泵、风机等设备运行噪声。</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固废：分为一般固废和危险废物。一般固废包括：生活垃圾；危险废物包括：废机油及桶、废含油手套抹布、油水分离器废油。</w:t>
            </w:r>
          </w:p>
          <w:p>
            <w:pPr>
              <w:pStyle w:val="2"/>
              <w:keepNext w:val="0"/>
              <w:keepLines w:val="0"/>
              <w:pageBreakBefore w:val="0"/>
              <w:kinsoku/>
              <w:wordWrap/>
              <w:overflowPunct/>
              <w:topLinePunct w:val="0"/>
              <w:autoSpaceDE/>
              <w:autoSpaceDN/>
              <w:bidi w:val="0"/>
              <w:adjustRightInd/>
              <w:spacing w:before="0"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表2-</w:t>
            </w:r>
            <w:r>
              <w:rPr>
                <w:rFonts w:hint="eastAsia" w:ascii="Times New Roman" w:hAnsi="Times New Roman" w:cs="Times New Roman"/>
                <w:b/>
                <w:bCs/>
                <w:sz w:val="21"/>
                <w:szCs w:val="21"/>
                <w:lang w:val="en-US" w:eastAsia="zh-CN"/>
              </w:rPr>
              <w:t>9</w:t>
            </w:r>
            <w:r>
              <w:rPr>
                <w:rFonts w:hint="default" w:ascii="Times New Roman" w:hAnsi="Times New Roman" w:cs="Times New Roman"/>
                <w:b/>
                <w:bCs/>
                <w:sz w:val="21"/>
                <w:szCs w:val="21"/>
              </w:rPr>
              <w:t xml:space="preserve"> 产污环节一览表</w:t>
            </w:r>
          </w:p>
          <w:tbl>
            <w:tblPr>
              <w:tblStyle w:val="2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1060"/>
              <w:gridCol w:w="3278"/>
              <w:gridCol w:w="29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污染类型</w:t>
                  </w:r>
                </w:p>
              </w:tc>
              <w:tc>
                <w:tcPr>
                  <w:tcW w:w="632"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污染源</w:t>
                  </w:r>
                </w:p>
              </w:tc>
              <w:tc>
                <w:tcPr>
                  <w:tcW w:w="1954"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污染工序</w:t>
                  </w:r>
                </w:p>
              </w:tc>
              <w:tc>
                <w:tcPr>
                  <w:tcW w:w="1733"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污染物类型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0" w:type="pct"/>
                  <w:vMerge w:val="restar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632"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生产区</w:t>
                  </w:r>
                </w:p>
              </w:tc>
              <w:tc>
                <w:tcPr>
                  <w:tcW w:w="1954"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锅炉废气</w:t>
                  </w:r>
                </w:p>
              </w:tc>
              <w:tc>
                <w:tcPr>
                  <w:tcW w:w="1733"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生物质燃烧废气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0" w:type="pct"/>
                  <w:vMerge w:val="continue"/>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p>
              </w:tc>
              <w:tc>
                <w:tcPr>
                  <w:tcW w:w="632"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rPr>
                    <w:t>生产区</w:t>
                  </w:r>
                </w:p>
              </w:tc>
              <w:tc>
                <w:tcPr>
                  <w:tcW w:w="1954"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投料</w:t>
                  </w:r>
                </w:p>
              </w:tc>
              <w:tc>
                <w:tcPr>
                  <w:tcW w:w="1733"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lang w:eastAsia="zh-CN"/>
                    </w:rPr>
                    <w:t>投料粉尘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pct"/>
                  <w:vMerge w:val="restar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632"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生产区</w:t>
                  </w:r>
                </w:p>
              </w:tc>
              <w:tc>
                <w:tcPr>
                  <w:tcW w:w="1954"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员工洗手、锅炉排水</w:t>
                  </w:r>
                </w:p>
              </w:tc>
              <w:tc>
                <w:tcPr>
                  <w:tcW w:w="1733"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、SS、石油类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p>
              </w:tc>
              <w:tc>
                <w:tcPr>
                  <w:tcW w:w="632"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办公区</w:t>
                  </w:r>
                </w:p>
              </w:tc>
              <w:tc>
                <w:tcPr>
                  <w:tcW w:w="1954"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办公室生活污水</w:t>
                  </w:r>
                </w:p>
              </w:tc>
              <w:tc>
                <w:tcPr>
                  <w:tcW w:w="1733"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、SS、氨氮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632"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设备</w:t>
                  </w:r>
                </w:p>
              </w:tc>
              <w:tc>
                <w:tcPr>
                  <w:tcW w:w="1954"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锅炉、水泵、风机等</w:t>
                  </w:r>
                </w:p>
              </w:tc>
              <w:tc>
                <w:tcPr>
                  <w:tcW w:w="1733"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设备运行噪声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80" w:type="pct"/>
                  <w:vMerge w:val="restart"/>
                  <w:vAlign w:val="center"/>
                </w:tcPr>
                <w:p>
                  <w:pPr>
                    <w:pStyle w:val="24"/>
                    <w:keepNext w:val="0"/>
                    <w:keepLines w:val="0"/>
                    <w:pageBreakBefore w:val="0"/>
                    <w:kinsoku/>
                    <w:wordWrap/>
                    <w:overflowPunct/>
                    <w:topLinePunct w:val="0"/>
                    <w:autoSpaceDE/>
                    <w:autoSpaceDN/>
                    <w:bidi w:val="0"/>
                    <w:adjustRightInd/>
                    <w:spacing w:after="0"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固体废物</w:t>
                  </w:r>
                </w:p>
              </w:tc>
              <w:tc>
                <w:tcPr>
                  <w:tcW w:w="632"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生产区</w:t>
                  </w:r>
                </w:p>
              </w:tc>
              <w:tc>
                <w:tcPr>
                  <w:tcW w:w="1954"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设备检修、生产</w:t>
                  </w:r>
                </w:p>
              </w:tc>
              <w:tc>
                <w:tcPr>
                  <w:tcW w:w="1733"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废机油及桶、废含油手套抹布、油水分离器废油。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24"/>
                    <w:keepNext w:val="0"/>
                    <w:keepLines w:val="0"/>
                    <w:pageBreakBefore w:val="0"/>
                    <w:kinsoku/>
                    <w:wordWrap/>
                    <w:overflowPunct/>
                    <w:topLinePunct w:val="0"/>
                    <w:autoSpaceDE/>
                    <w:autoSpaceDN/>
                    <w:bidi w:val="0"/>
                    <w:adjustRightInd/>
                    <w:spacing w:after="0" w:line="240" w:lineRule="auto"/>
                    <w:ind w:left="0" w:leftChars="0" w:firstLine="0" w:firstLineChars="0"/>
                    <w:jc w:val="center"/>
                    <w:textAlignment w:val="auto"/>
                    <w:rPr>
                      <w:rFonts w:hint="default" w:ascii="Times New Roman" w:hAnsi="Times New Roman" w:cs="Times New Roman"/>
                      <w:sz w:val="21"/>
                      <w:szCs w:val="21"/>
                    </w:rPr>
                  </w:pPr>
                </w:p>
              </w:tc>
              <w:tc>
                <w:tcPr>
                  <w:tcW w:w="632"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办公区</w:t>
                  </w:r>
                </w:p>
              </w:tc>
              <w:tc>
                <w:tcPr>
                  <w:tcW w:w="1954"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办公生活</w:t>
                  </w:r>
                </w:p>
              </w:tc>
              <w:tc>
                <w:tcPr>
                  <w:tcW w:w="1733" w:type="pct"/>
                  <w:vAlign w:val="center"/>
                </w:tcPr>
                <w:p>
                  <w:pPr>
                    <w:pStyle w:val="24"/>
                    <w:keepNext w:val="0"/>
                    <w:keepLines w:val="0"/>
                    <w:pageBreakBefore w:val="0"/>
                    <w:kinsoku/>
                    <w:wordWrap/>
                    <w:overflowPunct/>
                    <w:topLinePunct w:val="0"/>
                    <w:autoSpaceDE/>
                    <w:autoSpaceDN/>
                    <w:bidi w:val="0"/>
                    <w:adjustRightInd/>
                    <w:spacing w:after="0"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办公生活垃圾</w:t>
                  </w:r>
                </w:p>
              </w:tc>
            </w:tr>
          </w:tbl>
          <w:p>
            <w:pPr>
              <w:tabs>
                <w:tab w:val="left" w:pos="1500"/>
              </w:tabs>
              <w:spacing w:line="360" w:lineRule="auto"/>
              <w:rPr>
                <w:rFonts w:hint="default" w:ascii="Times New Roman" w:hAnsi="Times New Roman" w:cs="Times New Roman"/>
                <w:b/>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55" w:type="dxa"/>
            <w:vAlign w:val="center"/>
          </w:tcPr>
          <w:p>
            <w:pPr>
              <w:pStyle w:val="21"/>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bCs/>
                <w:kern w:val="2"/>
                <w:sz w:val="21"/>
                <w:szCs w:val="21"/>
              </w:rPr>
              <w:t>与项目有关的原有环境污染问题</w:t>
            </w:r>
          </w:p>
        </w:tc>
        <w:tc>
          <w:tcPr>
            <w:tcW w:w="8605" w:type="dxa"/>
          </w:tcPr>
          <w:p>
            <w:pPr>
              <w:adjustRightInd w:val="0"/>
              <w:snapToGrid w:val="0"/>
              <w:spacing w:before="120" w:beforeLines="50" w:line="360" w:lineRule="auto"/>
              <w:ind w:firstLine="482"/>
              <w:jc w:val="left"/>
              <w:rPr>
                <w:rFonts w:hint="default" w:ascii="Times New Roman" w:hAnsi="Times New Roman" w:cs="Times New Roman"/>
                <w:sz w:val="24"/>
              </w:rPr>
            </w:pPr>
            <w:r>
              <w:rPr>
                <w:rFonts w:hint="default" w:ascii="Times New Roman" w:hAnsi="Times New Roman" w:cs="Times New Roman"/>
                <w:sz w:val="24"/>
              </w:rPr>
              <w:t>本项目</w:t>
            </w:r>
            <w:r>
              <w:rPr>
                <w:rFonts w:hint="default" w:ascii="Times New Roman" w:hAnsi="Times New Roman" w:cs="Times New Roman"/>
                <w:sz w:val="24"/>
                <w:lang w:val="en-US" w:eastAsia="zh-CN"/>
              </w:rPr>
              <w:t>利用</w:t>
            </w:r>
            <w:r>
              <w:rPr>
                <w:rFonts w:hint="default" w:ascii="Times New Roman" w:hAnsi="Times New Roman" w:cs="Times New Roman"/>
                <w:sz w:val="24"/>
                <w:lang w:eastAsia="zh-CN"/>
              </w:rPr>
              <w:t>四川鸿鹏新材料有限公司</w:t>
            </w:r>
            <w:r>
              <w:rPr>
                <w:rFonts w:hint="default" w:ascii="Times New Roman" w:hAnsi="Times New Roman" w:cs="Times New Roman"/>
                <w:sz w:val="24"/>
              </w:rPr>
              <w:t>空</w:t>
            </w:r>
            <w:r>
              <w:rPr>
                <w:rFonts w:hint="default" w:ascii="Times New Roman" w:hAnsi="Times New Roman" w:cs="Times New Roman"/>
                <w:sz w:val="24"/>
                <w:lang w:val="en-US" w:eastAsia="zh-CN"/>
              </w:rPr>
              <w:t>地</w:t>
            </w:r>
            <w:r>
              <w:rPr>
                <w:rFonts w:hint="default" w:ascii="Times New Roman" w:hAnsi="Times New Roman" w:cs="Times New Roman"/>
                <w:sz w:val="24"/>
              </w:rPr>
              <w:t>进行建设，该</w:t>
            </w:r>
            <w:r>
              <w:rPr>
                <w:rFonts w:hint="default" w:ascii="Times New Roman" w:hAnsi="Times New Roman" w:cs="Times New Roman"/>
                <w:sz w:val="24"/>
                <w:lang w:val="en-US" w:eastAsia="zh-CN"/>
              </w:rPr>
              <w:t>地区</w:t>
            </w:r>
            <w:r>
              <w:rPr>
                <w:rFonts w:hint="default" w:ascii="Times New Roman" w:hAnsi="Times New Roman" w:cs="Times New Roman"/>
                <w:sz w:val="24"/>
              </w:rPr>
              <w:t>未进行任何生产活动，因此对本项目来说不存在原有污染情况及环境问题。</w:t>
            </w:r>
          </w:p>
          <w:p>
            <w:pPr>
              <w:spacing w:line="360" w:lineRule="auto"/>
              <w:jc w:val="center"/>
              <w:rPr>
                <w:rFonts w:hint="default" w:ascii="Times New Roman" w:hAnsi="Times New Roman" w:cs="Times New Roman"/>
              </w:rPr>
            </w:pPr>
            <w:r>
              <w:rPr>
                <w:rFonts w:hint="default" w:ascii="Times New Roman" w:hAnsi="Times New Roman" w:eastAsia="宋体" w:cs="Times New Roman"/>
                <w:kern w:val="2"/>
                <w:sz w:val="24"/>
                <w:szCs w:val="24"/>
                <w:lang w:eastAsia="zh-CN"/>
              </w:rPr>
              <w:drawing>
                <wp:inline distT="0" distB="0" distL="114300" distR="114300">
                  <wp:extent cx="5253990" cy="3940175"/>
                  <wp:effectExtent l="0" t="0" r="3810" b="6985"/>
                  <wp:docPr id="38" name="图片 38" descr="96c398a57dcd38a26543394fe8a5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96c398a57dcd38a26543394fe8a547f"/>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p>
          <w:p>
            <w:pPr>
              <w:spacing w:line="360" w:lineRule="auto"/>
              <w:ind w:firstLine="482"/>
              <w:jc w:val="center"/>
              <w:rPr>
                <w:rFonts w:hint="default" w:ascii="Times New Roman" w:hAnsi="Times New Roman" w:cs="Times New Roman"/>
                <w:b/>
                <w:szCs w:val="21"/>
              </w:rPr>
            </w:pPr>
            <w:r>
              <w:rPr>
                <w:rFonts w:hint="default" w:ascii="Times New Roman" w:hAnsi="Times New Roman" w:cs="Times New Roman"/>
                <w:b/>
                <w:szCs w:val="21"/>
                <w:lang w:val="en-US" w:eastAsia="zh-CN"/>
              </w:rPr>
              <w:t>项目现场</w:t>
            </w:r>
            <w:r>
              <w:rPr>
                <w:rFonts w:hint="default" w:ascii="Times New Roman" w:hAnsi="Times New Roman" w:cs="Times New Roman"/>
                <w:b/>
                <w:szCs w:val="21"/>
              </w:rPr>
              <w:t>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cs="Times New Roman"/>
                <w:b/>
                <w:bCs/>
                <w:color w:val="auto"/>
                <w:sz w:val="24"/>
                <w:u w:val="none"/>
                <w:lang w:val="en-US" w:eastAsia="zh-CN"/>
              </w:rPr>
            </w:pPr>
            <w:r>
              <w:rPr>
                <w:rFonts w:hint="eastAsia" w:cs="Times New Roman"/>
                <w:b/>
                <w:bCs/>
                <w:color w:val="auto"/>
                <w:sz w:val="24"/>
                <w:u w:val="none"/>
                <w:lang w:val="en-US" w:eastAsia="zh-CN"/>
              </w:rPr>
              <w:t>四川鸿鹏新材料有限公司、四川屹光新材料制造有限公司现有锅炉的污染物总量核算：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color w:val="auto"/>
                <w:sz w:val="24"/>
                <w:u w:val="none"/>
                <w:lang w:val="en-US" w:eastAsia="zh-CN"/>
              </w:rPr>
            </w:pPr>
            <w:r>
              <w:rPr>
                <w:rFonts w:hint="eastAsia" w:cs="Times New Roman"/>
                <w:color w:val="auto"/>
                <w:sz w:val="24"/>
                <w:u w:val="none"/>
                <w:lang w:val="en-US" w:eastAsia="zh-CN"/>
              </w:rPr>
              <w:t>本项目将对两个厂区集中供热。项目建成后，将替代四川鸿鹏新材料有限公司现有1台3t/h、1台6t/h的燃气锅炉和四川屹光新材料制造有限公司的1台10t/h的燃气锅炉。因此项目将核算四川屹光新材料制造有限公司10t/h的燃气锅炉的产排污和四川鸿鹏新材料有限公司现有1台3t/h、1台6t/h，两台燃气锅炉的产排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color w:val="auto"/>
                <w:sz w:val="24"/>
                <w:u w:val="none"/>
                <w:lang w:val="en-US" w:eastAsia="zh-CN"/>
              </w:rPr>
            </w:pPr>
            <w:r>
              <w:rPr>
                <w:rFonts w:hint="eastAsia" w:cs="Times New Roman"/>
                <w:color w:val="auto"/>
                <w:sz w:val="24"/>
                <w:u w:val="none"/>
                <w:lang w:eastAsia="zh-CN"/>
              </w:rPr>
              <w:t>1.</w:t>
            </w:r>
            <w:r>
              <w:rPr>
                <w:rFonts w:hint="eastAsia" w:cs="Times New Roman"/>
                <w:color w:val="auto"/>
                <w:sz w:val="24"/>
                <w:u w:val="none"/>
                <w:lang w:val="en-US" w:eastAsia="zh-CN"/>
              </w:rPr>
              <w:t>根据四川屹光新材料制造有限公司《1万吨年醇胺项目环境影响报告书》相关内容，项目建设10t/h的燃气锅炉</w:t>
            </w:r>
            <w:r>
              <w:rPr>
                <w:rFonts w:hint="eastAsia" w:cs="Times New Roman"/>
                <w:color w:val="auto"/>
                <w:sz w:val="24"/>
                <w:u w:val="none"/>
                <w:lang w:eastAsia="zh-CN"/>
              </w:rPr>
              <w:t>，中压炉，</w:t>
            </w:r>
            <w:r>
              <w:rPr>
                <w:rFonts w:hint="eastAsia" w:cs="Times New Roman"/>
                <w:color w:val="auto"/>
                <w:sz w:val="24"/>
                <w:u w:val="none"/>
                <w:lang w:val="en-US" w:eastAsia="zh-CN"/>
              </w:rPr>
              <w:t>蒸汽压力为</w:t>
            </w:r>
            <w:r>
              <w:rPr>
                <w:rFonts w:hint="eastAsia" w:cs="Times New Roman"/>
                <w:color w:val="auto"/>
                <w:sz w:val="24"/>
                <w:u w:val="none"/>
                <w:lang w:eastAsia="zh-CN"/>
              </w:rPr>
              <w:t>2.5Mpa。</w:t>
            </w:r>
            <w:r>
              <w:rPr>
                <w:rFonts w:hint="eastAsia" w:cs="Times New Roman"/>
                <w:color w:val="auto"/>
                <w:sz w:val="24"/>
                <w:u w:val="none"/>
                <w:lang w:val="en-US" w:eastAsia="zh-CN"/>
              </w:rPr>
              <w:t>批复下达关于锅炉的</w:t>
            </w:r>
            <w:r>
              <w:rPr>
                <w:rFonts w:hint="eastAsia" w:cs="Times New Roman"/>
                <w:color w:val="auto"/>
                <w:sz w:val="24"/>
                <w:u w:val="none"/>
                <w:lang w:eastAsia="zh-CN"/>
              </w:rPr>
              <w:t>总量指标</w:t>
            </w:r>
            <w:r>
              <w:rPr>
                <w:rFonts w:hint="eastAsia" w:cs="Times New Roman"/>
                <w:color w:val="auto"/>
                <w:sz w:val="24"/>
                <w:u w:val="none"/>
                <w:lang w:val="en-US" w:eastAsia="zh-CN"/>
              </w:rPr>
              <w:t>为</w:t>
            </w:r>
            <w:r>
              <w:rPr>
                <w:rFonts w:hint="eastAsia" w:cs="Times New Roman"/>
                <w:color w:val="auto"/>
                <w:sz w:val="24"/>
                <w:u w:val="none"/>
                <w:lang w:eastAsia="zh-CN"/>
              </w:rPr>
              <w:t>：二氧化硫0.03吨；氮氧化物0.32 t。</w:t>
            </w:r>
            <w:r>
              <w:rPr>
                <w:rFonts w:hint="eastAsia" w:cs="Times New Roman"/>
                <w:color w:val="auto"/>
                <w:sz w:val="24"/>
                <w:u w:val="none"/>
                <w:lang w:val="en-US" w:eastAsia="zh-CN"/>
              </w:rPr>
              <w:t>实际建设为10t/h的燃气锅炉一台</w:t>
            </w:r>
            <w:r>
              <w:rPr>
                <w:rFonts w:hint="eastAsia" w:cs="Times New Roman"/>
                <w:color w:val="auto"/>
                <w:sz w:val="24"/>
                <w:u w:val="none"/>
                <w:lang w:eastAsia="zh-CN"/>
              </w:rPr>
              <w:t>，中压炉，</w:t>
            </w:r>
            <w:r>
              <w:rPr>
                <w:rFonts w:hint="eastAsia" w:cs="Times New Roman"/>
                <w:color w:val="auto"/>
                <w:sz w:val="24"/>
                <w:u w:val="none"/>
                <w:lang w:val="en-US" w:eastAsia="zh-CN"/>
              </w:rPr>
              <w:t>蒸汽压力为</w:t>
            </w:r>
            <w:r>
              <w:rPr>
                <w:rFonts w:hint="eastAsia" w:cs="Times New Roman"/>
                <w:color w:val="auto"/>
                <w:sz w:val="24"/>
                <w:u w:val="none"/>
                <w:lang w:eastAsia="zh-CN"/>
              </w:rPr>
              <w:t>2.5Mpa。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auto"/>
                <w:sz w:val="24"/>
                <w:u w:val="none"/>
                <w:lang w:val="en-US" w:eastAsia="zh-CN"/>
              </w:rPr>
            </w:pPr>
            <w:r>
              <w:rPr>
                <w:rFonts w:hint="eastAsia" w:cs="Times New Roman"/>
                <w:color w:val="auto"/>
                <w:sz w:val="24"/>
                <w:u w:val="none"/>
                <w:lang w:eastAsia="zh-CN"/>
              </w:rPr>
              <w:t>2.</w:t>
            </w:r>
            <w:r>
              <w:rPr>
                <w:rFonts w:hint="eastAsia" w:cs="Times New Roman"/>
                <w:color w:val="auto"/>
                <w:sz w:val="24"/>
                <w:u w:val="none"/>
                <w:lang w:val="en-US" w:eastAsia="zh-CN"/>
              </w:rPr>
              <w:t>根据四川鸿鹏新材料有限公司《6万吨/年表面活性剂生产项目环境影响报告书》</w:t>
            </w:r>
            <w:r>
              <w:rPr>
                <w:rFonts w:hint="eastAsia" w:cs="Times New Roman"/>
                <w:color w:val="auto"/>
                <w:sz w:val="24"/>
                <w:u w:val="none"/>
                <w:lang w:eastAsia="zh-CN"/>
              </w:rPr>
              <w:t>，</w:t>
            </w:r>
            <w:r>
              <w:rPr>
                <w:rFonts w:hint="eastAsia" w:cs="Times New Roman"/>
                <w:color w:val="auto"/>
                <w:sz w:val="24"/>
                <w:u w:val="none"/>
                <w:lang w:val="en-US" w:eastAsia="zh-CN"/>
              </w:rPr>
              <w:t>项目建设10t/h的燃气锅炉</w:t>
            </w:r>
            <w:r>
              <w:rPr>
                <w:rFonts w:hint="eastAsia" w:cs="Times New Roman"/>
                <w:color w:val="auto"/>
                <w:sz w:val="24"/>
                <w:u w:val="none"/>
                <w:lang w:eastAsia="zh-CN"/>
              </w:rPr>
              <w:t>，</w:t>
            </w:r>
            <w:r>
              <w:rPr>
                <w:rFonts w:hint="eastAsia" w:cs="Times New Roman"/>
                <w:color w:val="auto"/>
                <w:sz w:val="24"/>
                <w:u w:val="none"/>
                <w:lang w:val="en-US" w:eastAsia="zh-CN"/>
              </w:rPr>
              <w:t>蒸汽压力为3</w:t>
            </w:r>
            <w:r>
              <w:rPr>
                <w:rFonts w:hint="eastAsia" w:cs="Times New Roman"/>
                <w:color w:val="auto"/>
                <w:sz w:val="24"/>
                <w:u w:val="none"/>
                <w:lang w:eastAsia="zh-CN"/>
              </w:rPr>
              <w:t>Mpa。</w:t>
            </w:r>
            <w:r>
              <w:rPr>
                <w:rFonts w:hint="eastAsia" w:cs="Times New Roman"/>
                <w:color w:val="auto"/>
                <w:sz w:val="24"/>
                <w:u w:val="none"/>
                <w:lang w:val="en-US" w:eastAsia="zh-CN"/>
              </w:rPr>
              <w:t>批复下达关于锅炉的</w:t>
            </w:r>
            <w:r>
              <w:rPr>
                <w:rFonts w:hint="eastAsia" w:cs="Times New Roman"/>
                <w:color w:val="auto"/>
                <w:sz w:val="24"/>
                <w:u w:val="none"/>
                <w:lang w:eastAsia="zh-CN"/>
              </w:rPr>
              <w:t>总量指标</w:t>
            </w:r>
            <w:r>
              <w:rPr>
                <w:rFonts w:hint="eastAsia" w:cs="Times New Roman"/>
                <w:color w:val="auto"/>
                <w:sz w:val="24"/>
                <w:u w:val="none"/>
                <w:lang w:val="en-US" w:eastAsia="zh-CN"/>
              </w:rPr>
              <w:t>为</w:t>
            </w:r>
            <w:r>
              <w:rPr>
                <w:rFonts w:hint="eastAsia" w:cs="Times New Roman"/>
                <w:color w:val="auto"/>
                <w:sz w:val="24"/>
                <w:u w:val="none"/>
                <w:lang w:eastAsia="zh-CN"/>
              </w:rPr>
              <w:t>：二氧化硫0.</w:t>
            </w:r>
            <w:r>
              <w:rPr>
                <w:rFonts w:hint="eastAsia" w:cs="Times New Roman"/>
                <w:color w:val="auto"/>
                <w:sz w:val="24"/>
                <w:u w:val="none"/>
                <w:lang w:val="en-US" w:eastAsia="zh-CN"/>
              </w:rPr>
              <w:t>034</w:t>
            </w:r>
            <w:r>
              <w:rPr>
                <w:rFonts w:hint="eastAsia" w:cs="Times New Roman"/>
                <w:color w:val="auto"/>
                <w:sz w:val="24"/>
                <w:u w:val="none"/>
                <w:lang w:eastAsia="zh-CN"/>
              </w:rPr>
              <w:t>吨；氮氧化物0.</w:t>
            </w:r>
            <w:r>
              <w:rPr>
                <w:rFonts w:hint="eastAsia" w:cs="Times New Roman"/>
                <w:color w:val="auto"/>
                <w:sz w:val="24"/>
                <w:u w:val="none"/>
                <w:lang w:val="en-US" w:eastAsia="zh-CN"/>
              </w:rPr>
              <w:t>978</w:t>
            </w:r>
            <w:r>
              <w:rPr>
                <w:rFonts w:hint="eastAsia" w:cs="Times New Roman"/>
                <w:color w:val="auto"/>
                <w:sz w:val="24"/>
                <w:u w:val="none"/>
                <w:lang w:eastAsia="zh-CN"/>
              </w:rPr>
              <w:t>t，</w:t>
            </w:r>
            <w:r>
              <w:rPr>
                <w:rFonts w:hint="eastAsia" w:cs="Times New Roman"/>
                <w:color w:val="auto"/>
                <w:sz w:val="24"/>
                <w:u w:val="none"/>
                <w:lang w:val="en-US" w:eastAsia="zh-CN"/>
              </w:rPr>
              <w:t>烟尘排放量为0.21t/a</w:t>
            </w:r>
            <w:r>
              <w:rPr>
                <w:rFonts w:hint="eastAsia" w:cs="Times New Roman"/>
                <w:color w:val="auto"/>
                <w:sz w:val="24"/>
                <w:u w:val="none"/>
                <w:lang w:eastAsia="zh-CN"/>
              </w:rPr>
              <w:t>。</w:t>
            </w:r>
            <w:r>
              <w:rPr>
                <w:rFonts w:hint="eastAsia" w:cs="Times New Roman"/>
                <w:color w:val="auto"/>
                <w:sz w:val="24"/>
                <w:u w:val="none"/>
                <w:lang w:val="en-US" w:eastAsia="zh-CN"/>
              </w:rPr>
              <w:t>实际建设为10t/h的燃气锅炉一台</w:t>
            </w:r>
            <w:r>
              <w:rPr>
                <w:rFonts w:hint="eastAsia" w:cs="Times New Roman"/>
                <w:color w:val="auto"/>
                <w:sz w:val="24"/>
                <w:u w:val="none"/>
                <w:lang w:eastAsia="zh-CN"/>
              </w:rPr>
              <w:t>，中压炉，</w:t>
            </w:r>
            <w:r>
              <w:rPr>
                <w:rFonts w:hint="eastAsia" w:cs="Times New Roman"/>
                <w:color w:val="auto"/>
                <w:sz w:val="24"/>
                <w:u w:val="none"/>
                <w:lang w:val="en-US" w:eastAsia="zh-CN"/>
              </w:rPr>
              <w:t>蒸汽压力为</w:t>
            </w:r>
            <w:r>
              <w:rPr>
                <w:rFonts w:hint="eastAsia" w:cs="Times New Roman"/>
                <w:color w:val="auto"/>
                <w:sz w:val="24"/>
                <w:u w:val="none"/>
                <w:lang w:eastAsia="zh-CN"/>
              </w:rPr>
              <w:t>2.5Mpa。</w:t>
            </w:r>
            <w:r>
              <w:rPr>
                <w:rFonts w:hint="eastAsia" w:cs="Times New Roman"/>
                <w:color w:val="auto"/>
                <w:sz w:val="24"/>
                <w:u w:val="none"/>
                <w:lang w:val="en-US" w:eastAsia="zh-CN"/>
              </w:rPr>
              <w:t>实际建设为6t/h的燃气锅炉一台</w:t>
            </w:r>
            <w:r>
              <w:rPr>
                <w:rFonts w:hint="eastAsia" w:cs="Times New Roman"/>
                <w:color w:val="auto"/>
                <w:sz w:val="24"/>
                <w:u w:val="none"/>
                <w:lang w:eastAsia="zh-CN"/>
              </w:rPr>
              <w:t>，</w:t>
            </w:r>
            <w:r>
              <w:rPr>
                <w:rFonts w:hint="eastAsia" w:cs="Times New Roman"/>
                <w:color w:val="auto"/>
                <w:sz w:val="24"/>
                <w:u w:val="none"/>
                <w:lang w:val="en-US" w:eastAsia="zh-CN"/>
              </w:rPr>
              <w:t>蒸汽压力为3</w:t>
            </w:r>
            <w:r>
              <w:rPr>
                <w:rFonts w:hint="eastAsia" w:cs="Times New Roman"/>
                <w:color w:val="auto"/>
                <w:sz w:val="24"/>
                <w:u w:val="none"/>
                <w:lang w:eastAsia="zh-CN"/>
              </w:rPr>
              <w:t>Mpa，</w:t>
            </w:r>
            <w:r>
              <w:rPr>
                <w:rFonts w:hint="eastAsia" w:cs="Times New Roman"/>
                <w:color w:val="auto"/>
                <w:sz w:val="24"/>
                <w:u w:val="none"/>
                <w:lang w:val="en-US" w:eastAsia="zh-CN"/>
              </w:rPr>
              <w:t>3t/h的燃气锅炉一台</w:t>
            </w:r>
            <w:r>
              <w:rPr>
                <w:rFonts w:hint="eastAsia" w:cs="Times New Roman"/>
                <w:color w:val="auto"/>
                <w:sz w:val="24"/>
                <w:u w:val="none"/>
                <w:lang w:eastAsia="zh-CN"/>
              </w:rPr>
              <w:t>，</w:t>
            </w:r>
            <w:r>
              <w:rPr>
                <w:rFonts w:hint="eastAsia" w:cs="Times New Roman"/>
                <w:color w:val="auto"/>
                <w:sz w:val="24"/>
                <w:u w:val="none"/>
                <w:lang w:val="en-US" w:eastAsia="zh-CN"/>
              </w:rPr>
              <w:t>蒸汽压力为1.5</w:t>
            </w:r>
            <w:r>
              <w:rPr>
                <w:rFonts w:hint="eastAsia" w:cs="Times New Roman"/>
                <w:color w:val="auto"/>
                <w:sz w:val="24"/>
                <w:u w:val="none"/>
                <w:lang w:eastAsia="zh-CN"/>
              </w:rPr>
              <w:t>Mpa；</w:t>
            </w:r>
            <w:r>
              <w:rPr>
                <w:rFonts w:hint="eastAsia" w:cs="Times New Roman"/>
                <w:color w:val="auto"/>
                <w:sz w:val="24"/>
                <w:u w:val="none"/>
                <w:lang w:val="en-US" w:eastAsia="zh-CN"/>
              </w:rPr>
              <w:t>锅炉总吨数未超出环评给出的总吨数。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rPr>
            </w:pPr>
            <w:r>
              <w:rPr>
                <w:rFonts w:hint="eastAsia" w:cs="Times New Roman"/>
                <w:color w:val="auto"/>
                <w:sz w:val="24"/>
                <w:u w:val="none"/>
                <w:lang w:val="en-US" w:eastAsia="zh-CN"/>
              </w:rPr>
              <w:t>四川鸿鹏新材料有限公司《环氧乙烷充装项目》、《3000吨/年吗啉生产项目》均未涉及锅炉的新建或改造，综上所述，现有锅炉污染物排放总量，SO</w:t>
            </w:r>
            <w:r>
              <w:rPr>
                <w:rFonts w:hint="eastAsia" w:cs="Times New Roman"/>
                <w:color w:val="auto"/>
                <w:sz w:val="24"/>
                <w:u w:val="none"/>
                <w:vertAlign w:val="subscript"/>
                <w:lang w:val="en-US" w:eastAsia="zh-CN"/>
              </w:rPr>
              <w:t>2</w:t>
            </w:r>
            <w:r>
              <w:rPr>
                <w:rFonts w:hint="eastAsia" w:cs="Times New Roman"/>
                <w:color w:val="auto"/>
                <w:sz w:val="24"/>
                <w:u w:val="none"/>
                <w:lang w:eastAsia="zh-CN"/>
              </w:rPr>
              <w:t>：</w:t>
            </w:r>
            <w:r>
              <w:rPr>
                <w:rFonts w:hint="eastAsia" w:cs="Times New Roman"/>
                <w:color w:val="auto"/>
                <w:sz w:val="24"/>
                <w:u w:val="none"/>
                <w:lang w:val="en-US" w:eastAsia="zh-CN"/>
              </w:rPr>
              <w:t>0.064t/a</w:t>
            </w:r>
            <w:r>
              <w:rPr>
                <w:rFonts w:hint="eastAsia" w:cs="Times New Roman"/>
                <w:color w:val="auto"/>
                <w:sz w:val="24"/>
                <w:u w:val="none"/>
                <w:lang w:eastAsia="zh-CN"/>
              </w:rPr>
              <w:t>；</w:t>
            </w:r>
            <w:r>
              <w:rPr>
                <w:rFonts w:hint="eastAsia" w:cs="Times New Roman"/>
                <w:color w:val="auto"/>
                <w:sz w:val="24"/>
                <w:u w:val="none"/>
                <w:lang w:val="en-US" w:eastAsia="zh-CN"/>
              </w:rPr>
              <w:t>NO</w:t>
            </w:r>
            <w:r>
              <w:rPr>
                <w:rFonts w:hint="eastAsia" w:cs="Times New Roman"/>
                <w:color w:val="auto"/>
                <w:sz w:val="24"/>
                <w:u w:val="none"/>
                <w:vertAlign w:val="subscript"/>
                <w:lang w:val="en-US" w:eastAsia="zh-CN"/>
              </w:rPr>
              <w:t>x</w:t>
            </w:r>
            <w:r>
              <w:rPr>
                <w:rFonts w:hint="eastAsia" w:cs="Times New Roman"/>
                <w:color w:val="auto"/>
                <w:sz w:val="24"/>
                <w:u w:val="none"/>
                <w:vertAlign w:val="baseline"/>
                <w:lang w:val="en-US" w:eastAsia="zh-CN"/>
              </w:rPr>
              <w:t>：</w:t>
            </w:r>
            <w:r>
              <w:rPr>
                <w:rFonts w:hint="eastAsia" w:cs="Times New Roman"/>
                <w:color w:val="auto"/>
                <w:sz w:val="24"/>
                <w:u w:val="none"/>
                <w:lang w:val="en-US" w:eastAsia="zh-CN"/>
              </w:rPr>
              <w:t>1.298</w:t>
            </w:r>
            <w:r>
              <w:rPr>
                <w:rFonts w:hint="eastAsia" w:cs="Times New Roman"/>
                <w:color w:val="auto"/>
                <w:sz w:val="24"/>
                <w:u w:val="none"/>
                <w:lang w:eastAsia="zh-CN"/>
              </w:rPr>
              <w:t>t</w:t>
            </w:r>
            <w:r>
              <w:rPr>
                <w:rFonts w:hint="eastAsia" w:cs="Times New Roman"/>
                <w:color w:val="auto"/>
                <w:sz w:val="24"/>
                <w:u w:val="none"/>
                <w:lang w:val="en-US" w:eastAsia="zh-CN"/>
              </w:rPr>
              <w:t>/a</w:t>
            </w:r>
            <w:r>
              <w:rPr>
                <w:rFonts w:hint="eastAsia" w:cs="Times New Roman"/>
                <w:color w:val="auto"/>
                <w:sz w:val="24"/>
                <w:u w:val="none"/>
                <w:lang w:eastAsia="zh-CN"/>
              </w:rPr>
              <w:t>，</w:t>
            </w:r>
            <w:r>
              <w:rPr>
                <w:rFonts w:hint="eastAsia" w:cs="Times New Roman"/>
                <w:color w:val="auto"/>
                <w:sz w:val="24"/>
                <w:u w:val="none"/>
                <w:lang w:val="en-US" w:eastAsia="zh-CN"/>
              </w:rPr>
              <w:t>颗粒物：0.21t/a。</w:t>
            </w:r>
          </w:p>
        </w:tc>
      </w:tr>
    </w:tbl>
    <w:p>
      <w:pPr>
        <w:pStyle w:val="21"/>
        <w:jc w:val="center"/>
        <w:rPr>
          <w:rFonts w:hint="default" w:ascii="Times New Roman" w:hAnsi="Times New Roman" w:eastAsia="黑体" w:cs="Times New Roman"/>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1"/>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8" w:type="dxa"/>
            <w:vAlign w:val="center"/>
          </w:tcPr>
          <w:p>
            <w:pPr>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区域</w:t>
            </w:r>
          </w:p>
          <w:p>
            <w:pPr>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环境</w:t>
            </w:r>
          </w:p>
          <w:p>
            <w:pPr>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质量</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 w:val="24"/>
              </w:rPr>
              <w:t>现状</w:t>
            </w:r>
          </w:p>
        </w:tc>
        <w:tc>
          <w:tcPr>
            <w:tcW w:w="8663" w:type="dxa"/>
            <w:vAlign w:val="center"/>
          </w:tcPr>
          <w:p>
            <w:pPr>
              <w:autoSpaceDE w:val="0"/>
              <w:autoSpaceDN w:val="0"/>
              <w:spacing w:line="360" w:lineRule="auto"/>
              <w:ind w:firstLine="482" w:firstLineChars="200"/>
              <w:jc w:val="left"/>
              <w:rPr>
                <w:rFonts w:hint="default" w:ascii="Times New Roman" w:hAnsi="Times New Roman" w:cs="Times New Roman"/>
                <w:b/>
                <w:kern w:val="0"/>
                <w:sz w:val="24"/>
              </w:rPr>
            </w:pPr>
            <w:r>
              <w:rPr>
                <w:rFonts w:hint="default" w:ascii="Times New Roman" w:hAnsi="Times New Roman" w:cs="Times New Roman"/>
                <w:b/>
                <w:kern w:val="0"/>
                <w:sz w:val="24"/>
              </w:rPr>
              <w:t>一、环境空气质量现状</w:t>
            </w:r>
          </w:p>
          <w:p>
            <w:pPr>
              <w:adjustRightInd w:val="0"/>
              <w:snapToGrid w:val="0"/>
              <w:spacing w:line="360" w:lineRule="auto"/>
              <w:ind w:firstLine="482" w:firstLineChars="200"/>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（1）常规污染物</w:t>
            </w:r>
          </w:p>
          <w:p>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本项目引用</w:t>
            </w:r>
            <w:r>
              <w:rPr>
                <w:rFonts w:hint="default" w:ascii="Times New Roman" w:hAnsi="Times New Roman" w:eastAsia="宋体" w:cs="Times New Roman"/>
                <w:color w:val="auto"/>
                <w:sz w:val="24"/>
                <w:lang w:val="en-US" w:eastAsia="zh-CN" w:bidi="ar"/>
              </w:rPr>
              <w:t>遂宁</w:t>
            </w:r>
            <w:r>
              <w:rPr>
                <w:rFonts w:hint="default" w:ascii="Times New Roman" w:hAnsi="Times New Roman" w:eastAsia="宋体" w:cs="Times New Roman"/>
                <w:color w:val="auto"/>
                <w:sz w:val="24"/>
                <w:lang w:bidi="ar"/>
              </w:rPr>
              <w:t>市生态环境局于202</w:t>
            </w:r>
            <w:r>
              <w:rPr>
                <w:rFonts w:hint="default" w:ascii="Times New Roman" w:hAnsi="Times New Roman" w:eastAsia="宋体" w:cs="Times New Roman"/>
                <w:color w:val="auto"/>
                <w:sz w:val="24"/>
                <w:lang w:val="en-US" w:eastAsia="zh-CN" w:bidi="ar"/>
              </w:rPr>
              <w:t>3</w:t>
            </w:r>
            <w:r>
              <w:rPr>
                <w:rFonts w:hint="default" w:ascii="Times New Roman" w:hAnsi="Times New Roman" w:eastAsia="宋体" w:cs="Times New Roman"/>
                <w:color w:val="auto"/>
                <w:sz w:val="24"/>
                <w:lang w:bidi="ar"/>
              </w:rPr>
              <w:t>年1月</w:t>
            </w:r>
            <w:r>
              <w:rPr>
                <w:rFonts w:hint="default" w:ascii="Times New Roman" w:hAnsi="Times New Roman" w:eastAsia="宋体" w:cs="Times New Roman"/>
                <w:color w:val="auto"/>
                <w:sz w:val="24"/>
                <w:lang w:val="en-US" w:eastAsia="zh-CN" w:bidi="ar"/>
              </w:rPr>
              <w:t>20</w:t>
            </w:r>
            <w:r>
              <w:rPr>
                <w:rFonts w:hint="default" w:ascii="Times New Roman" w:hAnsi="Times New Roman" w:eastAsia="宋体" w:cs="Times New Roman"/>
                <w:color w:val="auto"/>
                <w:sz w:val="24"/>
                <w:lang w:bidi="ar"/>
              </w:rPr>
              <w:t>日公布的《</w:t>
            </w:r>
            <w:r>
              <w:rPr>
                <w:rFonts w:hint="default" w:ascii="Times New Roman" w:hAnsi="Times New Roman" w:eastAsia="宋体" w:cs="Times New Roman"/>
                <w:color w:val="auto"/>
                <w:sz w:val="24"/>
                <w:lang w:val="en-US" w:eastAsia="zh-CN" w:bidi="ar"/>
              </w:rPr>
              <w:t>2022年遂宁市环境质量公告</w:t>
            </w:r>
            <w:r>
              <w:rPr>
                <w:rFonts w:hint="default" w:ascii="Times New Roman" w:hAnsi="Times New Roman" w:eastAsia="宋体" w:cs="Times New Roman"/>
                <w:color w:val="auto"/>
                <w:sz w:val="24"/>
                <w:lang w:bidi="ar"/>
              </w:rPr>
              <w:t>》</w:t>
            </w: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val="en-US" w:eastAsia="zh-CN" w:bidi="ar"/>
              </w:rPr>
              <w:t>网址：</w:t>
            </w:r>
            <w:r>
              <w:rPr>
                <w:rFonts w:hint="default" w:ascii="Times New Roman" w:hAnsi="Times New Roman" w:eastAsia="宋体" w:cs="Times New Roman"/>
                <w:color w:val="auto"/>
                <w:sz w:val="24"/>
                <w:szCs w:val="24"/>
                <w:u w:val="single"/>
              </w:rPr>
              <w:fldChar w:fldCharType="begin"/>
            </w:r>
            <w:r>
              <w:rPr>
                <w:rFonts w:hint="default" w:ascii="Times New Roman" w:hAnsi="Times New Roman" w:eastAsia="宋体" w:cs="Times New Roman"/>
                <w:color w:val="auto"/>
                <w:sz w:val="24"/>
                <w:szCs w:val="24"/>
                <w:u w:val="single"/>
              </w:rPr>
              <w:instrText xml:space="preserve"> HYPERLINK "https://ssthjj.suining.gov.cn/hjzlgb/-/articles/43411922.shtml" </w:instrText>
            </w:r>
            <w:r>
              <w:rPr>
                <w:rFonts w:hint="default" w:ascii="Times New Roman" w:hAnsi="Times New Roman" w:eastAsia="宋体" w:cs="Times New Roman"/>
                <w:color w:val="auto"/>
                <w:sz w:val="24"/>
                <w:szCs w:val="24"/>
                <w:u w:val="single"/>
              </w:rPr>
              <w:fldChar w:fldCharType="separate"/>
            </w:r>
            <w:r>
              <w:rPr>
                <w:rStyle w:val="29"/>
                <w:rFonts w:hint="default" w:ascii="Times New Roman" w:hAnsi="Times New Roman" w:eastAsia="宋体" w:cs="Times New Roman"/>
                <w:color w:val="auto"/>
                <w:sz w:val="24"/>
                <w:szCs w:val="24"/>
                <w:u w:val="single"/>
              </w:rPr>
              <w:t xml:space="preserve">2022年遂宁市环境质量公告 - 环境质量公报 - 遂宁市生态环境局 </w:t>
            </w:r>
            <w:r>
              <w:rPr>
                <w:rStyle w:val="29"/>
                <w:rFonts w:hint="eastAsia" w:cs="Times New Roman"/>
                <w:color w:val="auto"/>
                <w:sz w:val="24"/>
                <w:szCs w:val="24"/>
                <w:u w:val="single"/>
                <w:lang w:eastAsia="zh-CN"/>
              </w:rPr>
              <w:t>（</w:t>
            </w:r>
            <w:r>
              <w:rPr>
                <w:rStyle w:val="29"/>
                <w:rFonts w:hint="default" w:ascii="Times New Roman" w:hAnsi="Times New Roman" w:eastAsia="宋体" w:cs="Times New Roman"/>
                <w:color w:val="auto"/>
                <w:sz w:val="24"/>
                <w:szCs w:val="24"/>
                <w:u w:val="single"/>
              </w:rPr>
              <w:t>suining.gov.cn</w:t>
            </w:r>
            <w:r>
              <w:rPr>
                <w:rStyle w:val="29"/>
                <w:rFonts w:hint="eastAsia" w:cs="Times New Roman"/>
                <w:color w:val="auto"/>
                <w:sz w:val="24"/>
                <w:szCs w:val="24"/>
                <w:u w:val="single"/>
                <w:lang w:eastAsia="zh-CN"/>
              </w:rPr>
              <w:t>）</w:t>
            </w:r>
            <w:r>
              <w:rPr>
                <w:rFonts w:hint="default" w:ascii="Times New Roman" w:hAnsi="Times New Roman" w:eastAsia="宋体" w:cs="Times New Roman"/>
                <w:color w:val="auto"/>
                <w:sz w:val="24"/>
                <w:szCs w:val="24"/>
                <w:u w:val="single"/>
              </w:rPr>
              <w:fldChar w:fldCharType="end"/>
            </w: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bidi="ar"/>
              </w:rPr>
              <w:t>，</w:t>
            </w:r>
            <w:r>
              <w:rPr>
                <w:rFonts w:hint="default" w:ascii="Times New Roman" w:hAnsi="Times New Roman" w:eastAsia="宋体" w:cs="Times New Roman"/>
                <w:color w:val="auto"/>
                <w:sz w:val="24"/>
                <w:shd w:val="clear" w:color="auto" w:fill="FFFFFF"/>
              </w:rPr>
              <w:t>202</w:t>
            </w:r>
            <w:r>
              <w:rPr>
                <w:rFonts w:hint="default" w:ascii="Times New Roman" w:hAnsi="Times New Roman" w:eastAsia="宋体" w:cs="Times New Roman"/>
                <w:color w:val="auto"/>
                <w:sz w:val="24"/>
                <w:shd w:val="clear" w:color="auto" w:fill="FFFFFF"/>
                <w:lang w:val="en-US" w:eastAsia="zh-CN"/>
              </w:rPr>
              <w:t>2</w:t>
            </w:r>
            <w:r>
              <w:rPr>
                <w:rFonts w:hint="default" w:ascii="Times New Roman" w:hAnsi="Times New Roman" w:eastAsia="宋体" w:cs="Times New Roman"/>
                <w:color w:val="auto"/>
                <w:sz w:val="24"/>
                <w:shd w:val="clear" w:color="auto" w:fill="FFFFFF"/>
              </w:rPr>
              <w:t>年，</w:t>
            </w:r>
            <w:r>
              <w:rPr>
                <w:rFonts w:hint="default" w:ascii="Times New Roman" w:hAnsi="Times New Roman" w:eastAsia="宋体" w:cs="Times New Roman"/>
                <w:color w:val="auto"/>
                <w:sz w:val="24"/>
                <w:shd w:val="clear" w:color="auto" w:fill="FFFFFF"/>
                <w:lang w:val="en-US" w:eastAsia="zh-CN"/>
              </w:rPr>
              <w:t>遂宁市城区</w:t>
            </w:r>
            <w:r>
              <w:rPr>
                <w:rFonts w:hint="default" w:ascii="Times New Roman" w:hAnsi="Times New Roman" w:eastAsia="宋体" w:cs="Times New Roman"/>
                <w:color w:val="auto"/>
                <w:sz w:val="24"/>
                <w:shd w:val="clear" w:color="auto" w:fill="FFFFFF"/>
              </w:rPr>
              <w:t>环境空气质量</w:t>
            </w:r>
            <w:r>
              <w:rPr>
                <w:rFonts w:hint="default" w:ascii="Times New Roman" w:hAnsi="Times New Roman" w:eastAsia="宋体" w:cs="Times New Roman"/>
                <w:color w:val="auto"/>
                <w:sz w:val="24"/>
                <w:shd w:val="clear" w:color="auto" w:fill="FFFFFF"/>
                <w:lang w:val="en-US" w:eastAsia="zh-CN"/>
              </w:rPr>
              <w:t>优良天数为124天，208天良</w:t>
            </w:r>
            <w:r>
              <w:rPr>
                <w:rFonts w:hint="default" w:ascii="Times New Roman" w:hAnsi="Times New Roman" w:eastAsia="宋体" w:cs="Times New Roman"/>
                <w:color w:val="auto"/>
                <w:sz w:val="24"/>
                <w:shd w:val="clear" w:color="auto" w:fill="FFFFFF"/>
              </w:rPr>
              <w:t>，</w:t>
            </w:r>
            <w:r>
              <w:rPr>
                <w:rFonts w:hint="default" w:ascii="Times New Roman" w:hAnsi="Times New Roman" w:eastAsia="宋体" w:cs="Times New Roman"/>
                <w:color w:val="auto"/>
                <w:sz w:val="24"/>
                <w:shd w:val="clear" w:color="auto" w:fill="FFFFFF"/>
                <w:lang w:val="en-US" w:eastAsia="zh-CN"/>
              </w:rPr>
              <w:t>33天轻度污染，空气质量达标率为91.0%，主要污染物SO</w:t>
            </w:r>
            <w:r>
              <w:rPr>
                <w:rFonts w:hint="default" w:ascii="Times New Roman" w:hAnsi="Times New Roman" w:eastAsia="宋体" w:cs="Times New Roman"/>
                <w:color w:val="auto"/>
                <w:sz w:val="24"/>
                <w:shd w:val="clear" w:color="auto" w:fill="FFFFFF"/>
                <w:vertAlign w:val="subscript"/>
                <w:lang w:val="en-US" w:eastAsia="zh-CN"/>
              </w:rPr>
              <w:t>2</w:t>
            </w:r>
            <w:r>
              <w:rPr>
                <w:rFonts w:hint="default" w:ascii="Times New Roman" w:hAnsi="Times New Roman" w:eastAsia="宋体" w:cs="Times New Roman"/>
                <w:color w:val="auto"/>
                <w:sz w:val="24"/>
                <w:shd w:val="clear" w:color="auto" w:fill="FFFFFF"/>
                <w:lang w:val="en-US" w:eastAsia="zh-CN"/>
              </w:rPr>
              <w:t>、NO</w:t>
            </w:r>
            <w:r>
              <w:rPr>
                <w:rFonts w:hint="default" w:ascii="Times New Roman" w:hAnsi="Times New Roman" w:eastAsia="宋体" w:cs="Times New Roman"/>
                <w:color w:val="auto"/>
                <w:sz w:val="24"/>
                <w:shd w:val="clear" w:color="auto" w:fill="FFFFFF"/>
                <w:vertAlign w:val="subscript"/>
                <w:lang w:val="en-US" w:eastAsia="zh-CN"/>
              </w:rPr>
              <w:t>2</w:t>
            </w:r>
            <w:r>
              <w:rPr>
                <w:rFonts w:hint="default" w:ascii="Times New Roman" w:hAnsi="Times New Roman" w:eastAsia="宋体" w:cs="Times New Roman"/>
                <w:color w:val="auto"/>
                <w:sz w:val="24"/>
                <w:shd w:val="clear" w:color="auto" w:fill="FFFFFF"/>
                <w:lang w:val="en-US" w:eastAsia="zh-CN"/>
              </w:rPr>
              <w:t>、PM</w:t>
            </w:r>
            <w:r>
              <w:rPr>
                <w:rFonts w:hint="default" w:ascii="Times New Roman" w:hAnsi="Times New Roman" w:eastAsia="宋体" w:cs="Times New Roman"/>
                <w:color w:val="auto"/>
                <w:sz w:val="24"/>
                <w:shd w:val="clear" w:color="auto" w:fill="FFFFFF"/>
                <w:vertAlign w:val="subscript"/>
                <w:lang w:val="en-US" w:eastAsia="zh-CN"/>
              </w:rPr>
              <w:t>10</w:t>
            </w:r>
            <w:r>
              <w:rPr>
                <w:rFonts w:hint="default" w:ascii="Times New Roman" w:hAnsi="Times New Roman" w:eastAsia="宋体" w:cs="Times New Roman"/>
                <w:color w:val="auto"/>
                <w:sz w:val="24"/>
                <w:shd w:val="clear" w:color="auto" w:fill="FFFFFF"/>
                <w:lang w:val="en-US" w:eastAsia="zh-CN"/>
              </w:rPr>
              <w:t>、PM</w:t>
            </w:r>
            <w:r>
              <w:rPr>
                <w:rFonts w:hint="default" w:ascii="Times New Roman" w:hAnsi="Times New Roman" w:eastAsia="宋体" w:cs="Times New Roman"/>
                <w:color w:val="auto"/>
                <w:sz w:val="24"/>
                <w:shd w:val="clear" w:color="auto" w:fill="FFFFFF"/>
                <w:vertAlign w:val="subscript"/>
                <w:lang w:val="en-US" w:eastAsia="zh-CN"/>
              </w:rPr>
              <w:t>2.5</w:t>
            </w:r>
            <w:r>
              <w:rPr>
                <w:rFonts w:hint="default" w:ascii="Times New Roman" w:hAnsi="Times New Roman" w:eastAsia="宋体" w:cs="Times New Roman"/>
                <w:color w:val="auto"/>
                <w:sz w:val="24"/>
                <w:shd w:val="clear" w:color="auto" w:fill="FFFFFF"/>
                <w:lang w:val="en-US" w:eastAsia="zh-CN"/>
              </w:rPr>
              <w:t>、CO和O</w:t>
            </w:r>
            <w:r>
              <w:rPr>
                <w:rFonts w:hint="default" w:ascii="Times New Roman" w:hAnsi="Times New Roman" w:eastAsia="宋体" w:cs="Times New Roman"/>
                <w:color w:val="auto"/>
                <w:sz w:val="24"/>
                <w:shd w:val="clear" w:color="auto" w:fill="FFFFFF"/>
                <w:vertAlign w:val="subscript"/>
                <w:lang w:val="en-US" w:eastAsia="zh-CN"/>
              </w:rPr>
              <w:t>3</w:t>
            </w:r>
            <w:r>
              <w:rPr>
                <w:rFonts w:hint="default" w:ascii="Times New Roman" w:hAnsi="Times New Roman" w:eastAsia="宋体" w:cs="Times New Roman"/>
                <w:color w:val="auto"/>
                <w:sz w:val="24"/>
                <w:shd w:val="clear" w:color="auto" w:fill="FFFFFF"/>
                <w:vertAlign w:val="baseline"/>
                <w:lang w:val="en-US" w:eastAsia="zh-CN"/>
              </w:rPr>
              <w:t>的均值分别为9.8微克/立方米、20.1微克/立方米、54.0微克/立方米、0.9毫克/立方米和146微克/立方米</w:t>
            </w:r>
            <w:r>
              <w:rPr>
                <w:rFonts w:hint="default" w:ascii="Times New Roman" w:hAnsi="Times New Roman" w:eastAsia="宋体" w:cs="Times New Roman"/>
                <w:color w:val="auto"/>
                <w:sz w:val="24"/>
                <w:shd w:val="clear" w:color="auto" w:fill="FFFFFF"/>
              </w:rPr>
              <w:t>。同比，空气中主要污染物NO</w:t>
            </w:r>
            <w:r>
              <w:rPr>
                <w:rFonts w:hint="default" w:ascii="Times New Roman" w:hAnsi="Times New Roman" w:eastAsia="宋体" w:cs="Times New Roman"/>
                <w:color w:val="auto"/>
                <w:sz w:val="24"/>
                <w:shd w:val="clear" w:color="auto" w:fill="FFFFFF"/>
                <w:vertAlign w:val="subscript"/>
              </w:rPr>
              <w:t>2</w:t>
            </w:r>
            <w:r>
              <w:rPr>
                <w:rFonts w:hint="default" w:ascii="Times New Roman" w:hAnsi="Times New Roman" w:eastAsia="宋体" w:cs="Times New Roman"/>
                <w:color w:val="auto"/>
                <w:sz w:val="24"/>
                <w:shd w:val="clear" w:color="auto" w:fill="FFFFFF"/>
              </w:rPr>
              <w:t>、PM</w:t>
            </w:r>
            <w:r>
              <w:rPr>
                <w:rFonts w:hint="default" w:ascii="Times New Roman" w:hAnsi="Times New Roman" w:eastAsia="宋体" w:cs="Times New Roman"/>
                <w:color w:val="auto"/>
                <w:sz w:val="24"/>
                <w:shd w:val="clear" w:color="auto" w:fill="FFFFFF"/>
                <w:vertAlign w:val="subscript"/>
              </w:rPr>
              <w:t>2.5</w:t>
            </w:r>
            <w:r>
              <w:rPr>
                <w:rFonts w:hint="default" w:ascii="Times New Roman" w:hAnsi="Times New Roman" w:eastAsia="宋体" w:cs="Times New Roman"/>
                <w:color w:val="auto"/>
                <w:sz w:val="24"/>
                <w:shd w:val="clear" w:color="auto" w:fill="FFFFFF"/>
                <w:vertAlign w:val="baseline"/>
                <w:lang w:val="en-US" w:eastAsia="zh-CN"/>
              </w:rPr>
              <w:t>分别</w:t>
            </w:r>
            <w:r>
              <w:rPr>
                <w:rFonts w:hint="default" w:ascii="Times New Roman" w:hAnsi="Times New Roman" w:eastAsia="宋体" w:cs="Times New Roman"/>
                <w:color w:val="auto"/>
                <w:sz w:val="24"/>
                <w:shd w:val="clear" w:color="auto" w:fill="FFFFFF"/>
              </w:rPr>
              <w:t>下降</w:t>
            </w:r>
            <w:r>
              <w:rPr>
                <w:rFonts w:hint="default" w:ascii="Times New Roman" w:hAnsi="Times New Roman" w:eastAsia="宋体" w:cs="Times New Roman"/>
                <w:color w:val="auto"/>
                <w:sz w:val="24"/>
                <w:shd w:val="clear" w:color="auto" w:fill="FFFFFF"/>
                <w:lang w:eastAsia="zh-CN"/>
              </w:rPr>
              <w:t>了</w:t>
            </w:r>
            <w:r>
              <w:rPr>
                <w:rFonts w:hint="default" w:ascii="Times New Roman" w:hAnsi="Times New Roman" w:eastAsia="宋体" w:cs="Times New Roman"/>
                <w:color w:val="auto"/>
                <w:sz w:val="24"/>
                <w:shd w:val="clear" w:color="auto" w:fill="FFFFFF"/>
                <w:lang w:val="en-US" w:eastAsia="zh-CN"/>
              </w:rPr>
              <w:t>1.0%、0.3%</w:t>
            </w:r>
            <w:r>
              <w:rPr>
                <w:rFonts w:hint="default" w:ascii="Times New Roman" w:hAnsi="Times New Roman" w:eastAsia="宋体" w:cs="Times New Roman"/>
                <w:color w:val="auto"/>
                <w:sz w:val="24"/>
                <w:shd w:val="clear" w:color="auto" w:fill="FFFFFF"/>
              </w:rPr>
              <w:t>，SO</w:t>
            </w:r>
            <w:r>
              <w:rPr>
                <w:rFonts w:hint="default" w:ascii="Times New Roman" w:hAnsi="Times New Roman" w:eastAsia="宋体" w:cs="Times New Roman"/>
                <w:color w:val="auto"/>
                <w:sz w:val="24"/>
                <w:shd w:val="clear" w:color="auto" w:fill="FFFFFF"/>
                <w:vertAlign w:val="subscript"/>
              </w:rPr>
              <w:t>2</w:t>
            </w:r>
            <w:r>
              <w:rPr>
                <w:rFonts w:hint="default" w:ascii="Times New Roman" w:hAnsi="Times New Roman" w:eastAsia="宋体" w:cs="Times New Roman"/>
                <w:color w:val="auto"/>
                <w:sz w:val="24"/>
                <w:shd w:val="clear" w:color="auto" w:fill="FFFFFF"/>
              </w:rPr>
              <w:t>、</w:t>
            </w:r>
            <w:r>
              <w:rPr>
                <w:rFonts w:hint="default" w:ascii="Times New Roman" w:hAnsi="Times New Roman" w:eastAsia="宋体" w:cs="Times New Roman"/>
                <w:color w:val="auto"/>
                <w:sz w:val="24"/>
                <w:shd w:val="clear" w:color="auto" w:fill="FFFFFF"/>
                <w:lang w:val="en-US" w:eastAsia="zh-CN"/>
              </w:rPr>
              <w:t>O</w:t>
            </w:r>
            <w:r>
              <w:rPr>
                <w:rFonts w:hint="default" w:ascii="Times New Roman" w:hAnsi="Times New Roman" w:eastAsia="宋体" w:cs="Times New Roman"/>
                <w:color w:val="auto"/>
                <w:sz w:val="24"/>
                <w:shd w:val="clear" w:color="auto" w:fill="FFFFFF"/>
                <w:vertAlign w:val="subscript"/>
                <w:lang w:val="en-US" w:eastAsia="zh-CN"/>
              </w:rPr>
              <w:t>3</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PM</w:t>
            </w:r>
            <w:r>
              <w:rPr>
                <w:rFonts w:hint="default" w:ascii="Times New Roman" w:hAnsi="Times New Roman" w:eastAsia="宋体" w:cs="Times New Roman"/>
                <w:color w:val="auto"/>
                <w:sz w:val="24"/>
                <w:shd w:val="clear" w:color="auto" w:fill="FFFFFF"/>
                <w:vertAlign w:val="subscript"/>
              </w:rPr>
              <w:t>10</w:t>
            </w:r>
            <w:r>
              <w:rPr>
                <w:rFonts w:hint="default" w:ascii="Times New Roman" w:hAnsi="Times New Roman" w:eastAsia="宋体" w:cs="Times New Roman"/>
                <w:color w:val="auto"/>
                <w:sz w:val="24"/>
                <w:shd w:val="clear" w:color="auto" w:fill="FFFFFF"/>
                <w:lang w:val="en-US" w:eastAsia="zh-CN"/>
              </w:rPr>
              <w:t>浓度分别上升了21.0%、16.2%和9.8%</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lang w:val="en-US" w:eastAsia="zh-CN"/>
              </w:rPr>
              <w:t>CO浓度保持稳定</w:t>
            </w:r>
            <w:r>
              <w:rPr>
                <w:rFonts w:hint="default" w:ascii="Times New Roman" w:hAnsi="Times New Roman" w:eastAsia="宋体" w:cs="Times New Roman"/>
                <w:color w:val="auto"/>
                <w:sz w:val="24"/>
                <w:shd w:val="clear" w:color="auto" w:fill="FFFFFF"/>
              </w:rPr>
              <w:t>。</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202</w:t>
            </w:r>
            <w:r>
              <w:rPr>
                <w:rFonts w:hint="default" w:ascii="Times New Roman" w:hAnsi="Times New Roman" w:eastAsia="宋体" w:cs="Times New Roman"/>
                <w:color w:val="auto"/>
                <w:sz w:val="24"/>
                <w:lang w:val="en-US" w:eastAsia="zh-CN" w:bidi="ar"/>
              </w:rPr>
              <w:t>2</w:t>
            </w:r>
            <w:r>
              <w:rPr>
                <w:rFonts w:hint="default" w:ascii="Times New Roman" w:hAnsi="Times New Roman" w:eastAsia="宋体" w:cs="Times New Roman"/>
                <w:color w:val="auto"/>
                <w:sz w:val="24"/>
                <w:lang w:bidi="ar"/>
              </w:rPr>
              <w:t>年</w:t>
            </w:r>
            <w:r>
              <w:rPr>
                <w:rFonts w:hint="default" w:ascii="Times New Roman" w:hAnsi="Times New Roman" w:eastAsia="宋体" w:cs="Times New Roman"/>
                <w:color w:val="auto"/>
                <w:sz w:val="24"/>
                <w:lang w:val="en-US" w:eastAsia="zh-CN" w:bidi="ar"/>
              </w:rPr>
              <w:t>遂宁市城区</w:t>
            </w:r>
            <w:r>
              <w:rPr>
                <w:rFonts w:hint="default" w:ascii="Times New Roman" w:hAnsi="Times New Roman" w:eastAsia="宋体" w:cs="Times New Roman"/>
                <w:color w:val="auto"/>
                <w:sz w:val="24"/>
                <w:lang w:bidi="ar"/>
              </w:rPr>
              <w:t>环境空气质量见表3-1。</w:t>
            </w:r>
          </w:p>
          <w:p>
            <w:pPr>
              <w:ind w:firstLine="422" w:firstLineChars="20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bidi="ar"/>
              </w:rPr>
              <w:t>表3-1</w:t>
            </w:r>
            <w:r>
              <w:rPr>
                <w:rFonts w:hint="default" w:ascii="Times New Roman" w:hAnsi="Times New Roman" w:eastAsia="宋体" w:cs="Times New Roman"/>
                <w:b/>
                <w:color w:val="auto"/>
                <w:szCs w:val="21"/>
                <w:lang w:val="en-US" w:eastAsia="zh-CN" w:bidi="ar"/>
              </w:rPr>
              <w:t>遂宁</w:t>
            </w:r>
            <w:r>
              <w:rPr>
                <w:rFonts w:hint="default" w:ascii="Times New Roman" w:hAnsi="Times New Roman" w:eastAsia="宋体" w:cs="Times New Roman"/>
                <w:b/>
                <w:color w:val="auto"/>
                <w:szCs w:val="21"/>
                <w:lang w:bidi="ar"/>
              </w:rPr>
              <w:t>市</w:t>
            </w:r>
            <w:r>
              <w:rPr>
                <w:rFonts w:hint="default" w:ascii="Times New Roman" w:hAnsi="Times New Roman" w:eastAsia="宋体" w:cs="Times New Roman"/>
                <w:b/>
                <w:color w:val="auto"/>
                <w:szCs w:val="21"/>
                <w:lang w:val="en-US" w:eastAsia="zh-CN" w:bidi="ar"/>
              </w:rPr>
              <w:t>城区</w:t>
            </w:r>
            <w:r>
              <w:rPr>
                <w:rFonts w:hint="default" w:ascii="Times New Roman" w:hAnsi="Times New Roman" w:eastAsia="宋体" w:cs="Times New Roman"/>
                <w:b/>
                <w:color w:val="auto"/>
                <w:szCs w:val="21"/>
                <w:lang w:bidi="ar"/>
              </w:rPr>
              <w:t>202</w:t>
            </w:r>
            <w:r>
              <w:rPr>
                <w:rFonts w:hint="default" w:ascii="Times New Roman" w:hAnsi="Times New Roman" w:eastAsia="宋体" w:cs="Times New Roman"/>
                <w:b/>
                <w:color w:val="auto"/>
                <w:szCs w:val="21"/>
                <w:lang w:val="en-US" w:eastAsia="zh-CN" w:bidi="ar"/>
              </w:rPr>
              <w:t>2</w:t>
            </w:r>
            <w:r>
              <w:rPr>
                <w:rFonts w:hint="default" w:ascii="Times New Roman" w:hAnsi="Times New Roman" w:eastAsia="宋体" w:cs="Times New Roman"/>
                <w:b/>
                <w:color w:val="auto"/>
                <w:szCs w:val="21"/>
                <w:lang w:bidi="ar"/>
              </w:rPr>
              <w:t>年环境空气质量状况数据</w:t>
            </w:r>
          </w:p>
          <w:tbl>
            <w:tblPr>
              <w:tblStyle w:val="25"/>
              <w:tblW w:w="4997"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689"/>
              <w:gridCol w:w="1611"/>
              <w:gridCol w:w="1193"/>
              <w:gridCol w:w="987"/>
              <w:gridCol w:w="1003"/>
              <w:gridCol w:w="1170"/>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37" w:type="dxa"/>
                  <w:tcBorders>
                    <w:top w:val="single" w:color="auto" w:sz="12"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lang w:eastAsia="en-US"/>
                    </w:rPr>
                  </w:pPr>
                  <w:r>
                    <w:rPr>
                      <w:rFonts w:hint="default" w:ascii="Times New Roman" w:hAnsi="Times New Roman" w:eastAsia="宋体" w:cs="Times New Roman"/>
                      <w:b/>
                      <w:bCs/>
                      <w:color w:val="auto"/>
                      <w:szCs w:val="21"/>
                      <w:lang w:eastAsia="en-US" w:bidi="ar"/>
                    </w:rPr>
                    <w:t>地点</w:t>
                  </w:r>
                </w:p>
              </w:tc>
              <w:tc>
                <w:tcPr>
                  <w:tcW w:w="3313" w:type="dxa"/>
                  <w:gridSpan w:val="2"/>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lang w:eastAsia="en-US"/>
                    </w:rPr>
                  </w:pPr>
                  <w:r>
                    <w:rPr>
                      <w:rFonts w:hint="default" w:ascii="Times New Roman" w:hAnsi="Times New Roman" w:eastAsia="宋体" w:cs="Times New Roman"/>
                      <w:b/>
                      <w:bCs/>
                      <w:color w:val="auto"/>
                      <w:szCs w:val="21"/>
                      <w:lang w:eastAsia="en-US" w:bidi="ar"/>
                    </w:rPr>
                    <w:t>监测因子</w:t>
                  </w:r>
                </w:p>
              </w:tc>
              <w:tc>
                <w:tcPr>
                  <w:tcW w:w="1197" w:type="dxa"/>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lang w:eastAsia="en-US"/>
                    </w:rPr>
                  </w:pPr>
                  <w:r>
                    <w:rPr>
                      <w:rFonts w:hint="default" w:ascii="Times New Roman" w:hAnsi="Times New Roman" w:eastAsia="宋体" w:cs="Times New Roman"/>
                      <w:b/>
                      <w:bCs/>
                      <w:color w:val="auto"/>
                      <w:szCs w:val="21"/>
                      <w:lang w:eastAsia="en-US" w:bidi="ar"/>
                    </w:rPr>
                    <w:t>浓度</w:t>
                  </w:r>
                </w:p>
              </w:tc>
              <w:tc>
                <w:tcPr>
                  <w:tcW w:w="990" w:type="dxa"/>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lang w:eastAsia="en-US"/>
                    </w:rPr>
                  </w:pPr>
                  <w:r>
                    <w:rPr>
                      <w:rFonts w:hint="default" w:ascii="Times New Roman" w:hAnsi="Times New Roman" w:eastAsia="宋体" w:cs="Times New Roman"/>
                      <w:b/>
                      <w:bCs/>
                      <w:color w:val="auto"/>
                      <w:szCs w:val="21"/>
                      <w:lang w:eastAsia="en-US" w:bidi="ar"/>
                    </w:rPr>
                    <w:t>标准值</w:t>
                  </w:r>
                </w:p>
              </w:tc>
              <w:tc>
                <w:tcPr>
                  <w:tcW w:w="1005" w:type="dxa"/>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lang w:eastAsia="en-US"/>
                    </w:rPr>
                  </w:pPr>
                  <w:r>
                    <w:rPr>
                      <w:rFonts w:hint="default" w:ascii="Times New Roman" w:hAnsi="Times New Roman" w:eastAsia="宋体" w:cs="Times New Roman"/>
                      <w:b/>
                      <w:bCs/>
                      <w:color w:val="auto"/>
                      <w:szCs w:val="21"/>
                      <w:lang w:eastAsia="en-US" w:bidi="ar"/>
                    </w:rPr>
                    <w:t>Pi值</w:t>
                  </w:r>
                </w:p>
              </w:tc>
              <w:tc>
                <w:tcPr>
                  <w:tcW w:w="1175" w:type="dxa"/>
                  <w:tcBorders>
                    <w:top w:val="single" w:color="auto" w:sz="12" w:space="0"/>
                    <w:left w:val="single" w:color="auto" w:sz="4" w:space="0"/>
                    <w:bottom w:val="single" w:color="auto" w:sz="4" w:space="0"/>
                    <w:right w:val="nil"/>
                  </w:tcBorders>
                  <w:noWrap w:val="0"/>
                  <w:vAlign w:val="center"/>
                </w:tcPr>
                <w:p>
                  <w:pPr>
                    <w:jc w:val="center"/>
                    <w:rPr>
                      <w:rFonts w:hint="default" w:ascii="Times New Roman" w:hAnsi="Times New Roman" w:eastAsia="宋体" w:cs="Times New Roman"/>
                      <w:b/>
                      <w:bCs/>
                      <w:color w:val="auto"/>
                      <w:szCs w:val="21"/>
                      <w:lang w:eastAsia="en-US"/>
                    </w:rPr>
                  </w:pPr>
                  <w:r>
                    <w:rPr>
                      <w:rFonts w:hint="default" w:ascii="Times New Roman" w:hAnsi="Times New Roman" w:eastAsia="宋体" w:cs="Times New Roman"/>
                      <w:b/>
                      <w:bCs/>
                      <w:color w:val="auto"/>
                      <w:szCs w:val="21"/>
                      <w:lang w:eastAsia="en-US" w:bidi="ar"/>
                    </w:rPr>
                    <w:t>备注</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37" w:type="dxa"/>
                  <w:vMerge w:val="restart"/>
                  <w:tcBorders>
                    <w:top w:val="single" w:color="auto" w:sz="4" w:space="0"/>
                    <w:left w:val="nil"/>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bidi="ar"/>
                    </w:rPr>
                    <w:t>遂宁市全市平均</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SO</w:t>
                  </w:r>
                  <w:r>
                    <w:rPr>
                      <w:rFonts w:hint="default" w:ascii="Times New Roman" w:hAnsi="Times New Roman" w:eastAsia="宋体" w:cs="Times New Roman"/>
                      <w:color w:val="auto"/>
                      <w:szCs w:val="21"/>
                      <w:vertAlign w:val="subscript"/>
                      <w:lang w:eastAsia="en-US" w:bidi="ar"/>
                    </w:rPr>
                    <w:t>2</w:t>
                  </w:r>
                  <w:r>
                    <w:rPr>
                      <w:rFonts w:hint="default" w:ascii="Times New Roman" w:hAnsi="Times New Roman" w:eastAsia="宋体" w:cs="Times New Roman"/>
                      <w:color w:val="auto"/>
                      <w:szCs w:val="21"/>
                      <w:lang w:eastAsia="en-US" w:bidi="ar"/>
                    </w:rPr>
                    <w:t>（</w:t>
                  </w:r>
                  <w:r>
                    <w:rPr>
                      <w:rFonts w:hint="default" w:ascii="Times New Roman" w:hAnsi="Times New Roman" w:eastAsia="宋体" w:cs="Times New Roman"/>
                      <w:color w:val="auto"/>
                      <w:szCs w:val="21"/>
                      <w:shd w:val="clear" w:color="auto" w:fill="FFFFFF"/>
                      <w:lang w:eastAsia="en-US" w:bidi="ar"/>
                    </w:rPr>
                    <w:t>μg/m</w:t>
                  </w:r>
                  <w:r>
                    <w:rPr>
                      <w:rFonts w:hint="default" w:ascii="Times New Roman" w:hAnsi="Times New Roman" w:eastAsia="宋体" w:cs="Times New Roman"/>
                      <w:color w:val="auto"/>
                      <w:szCs w:val="21"/>
                      <w:shd w:val="clear" w:color="auto" w:fill="FFFFFF"/>
                      <w:vertAlign w:val="superscript"/>
                      <w:lang w:eastAsia="en-US" w:bidi="ar"/>
                    </w:rPr>
                    <w:t>3</w:t>
                  </w:r>
                  <w:r>
                    <w:rPr>
                      <w:rFonts w:hint="default" w:ascii="Times New Roman" w:hAnsi="Times New Roman" w:eastAsia="宋体" w:cs="Times New Roman"/>
                      <w:color w:val="auto"/>
                      <w:szCs w:val="21"/>
                      <w:lang w:eastAsia="en-US" w:bidi="ar"/>
                    </w:rPr>
                    <w:t>）</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val="en-US" w:eastAsia="zh-CN" w:bidi="ar"/>
                    </w:rPr>
                    <w:t>季</w:t>
                  </w:r>
                  <w:r>
                    <w:rPr>
                      <w:rFonts w:hint="default" w:ascii="Times New Roman" w:hAnsi="Times New Roman" w:eastAsia="宋体" w:cs="Times New Roman"/>
                      <w:color w:val="auto"/>
                      <w:szCs w:val="21"/>
                      <w:lang w:eastAsia="en-US" w:bidi="ar"/>
                    </w:rPr>
                    <w:t>均值</w:t>
                  </w:r>
                </w:p>
              </w:tc>
              <w:tc>
                <w:tcPr>
                  <w:tcW w:w="11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9.8</w:t>
                  </w: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60</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0.1633</w:t>
                  </w:r>
                </w:p>
              </w:tc>
              <w:tc>
                <w:tcPr>
                  <w:tcW w:w="1175" w:type="dxa"/>
                  <w:tcBorders>
                    <w:top w:val="single" w:color="auto" w:sz="4" w:space="0"/>
                    <w:left w:val="single" w:color="auto" w:sz="4" w:space="0"/>
                    <w:bottom w:val="single" w:color="auto" w:sz="4" w:space="0"/>
                    <w:right w:val="nil"/>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37" w:type="dxa"/>
                  <w:vMerge w:val="continue"/>
                  <w:tcBorders>
                    <w:top w:val="single" w:color="auto" w:sz="4" w:space="0"/>
                    <w:left w:val="nil"/>
                    <w:bottom w:val="single" w:color="auto" w:sz="12" w:space="0"/>
                    <w:right w:val="single" w:color="auto" w:sz="4" w:space="0"/>
                  </w:tcBorders>
                  <w:noWrap w:val="0"/>
                  <w:vAlign w:val="center"/>
                </w:tcPr>
                <w:p>
                  <w:pPr>
                    <w:rPr>
                      <w:rFonts w:hint="default" w:ascii="Times New Roman" w:hAnsi="Times New Roman" w:eastAsia="宋体" w:cs="Times New Roman"/>
                      <w:color w:val="auto"/>
                      <w:szCs w:val="21"/>
                      <w:lang w:eastAsia="en-US"/>
                    </w:rPr>
                  </w:pPr>
                </w:p>
              </w:tc>
              <w:tc>
                <w:tcPr>
                  <w:tcW w:w="169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NO</w:t>
                  </w:r>
                  <w:r>
                    <w:rPr>
                      <w:rFonts w:hint="default" w:ascii="Times New Roman" w:hAnsi="Times New Roman" w:eastAsia="宋体" w:cs="Times New Roman"/>
                      <w:color w:val="auto"/>
                      <w:szCs w:val="21"/>
                      <w:vertAlign w:val="subscript"/>
                      <w:lang w:eastAsia="en-US" w:bidi="ar"/>
                    </w:rPr>
                    <w:t>2</w:t>
                  </w:r>
                  <w:r>
                    <w:rPr>
                      <w:rFonts w:hint="default" w:ascii="Times New Roman" w:hAnsi="Times New Roman" w:eastAsia="宋体" w:cs="Times New Roman"/>
                      <w:color w:val="auto"/>
                      <w:szCs w:val="21"/>
                      <w:lang w:eastAsia="en-US" w:bidi="ar"/>
                    </w:rPr>
                    <w:t>（</w:t>
                  </w:r>
                  <w:r>
                    <w:rPr>
                      <w:rFonts w:hint="default" w:ascii="Times New Roman" w:hAnsi="Times New Roman" w:eastAsia="宋体" w:cs="Times New Roman"/>
                      <w:color w:val="auto"/>
                      <w:szCs w:val="21"/>
                      <w:shd w:val="clear" w:color="auto" w:fill="FFFFFF"/>
                      <w:lang w:eastAsia="en-US" w:bidi="ar"/>
                    </w:rPr>
                    <w:t>μg/m</w:t>
                  </w:r>
                  <w:r>
                    <w:rPr>
                      <w:rFonts w:hint="default" w:ascii="Times New Roman" w:hAnsi="Times New Roman" w:eastAsia="宋体" w:cs="Times New Roman"/>
                      <w:color w:val="auto"/>
                      <w:szCs w:val="21"/>
                      <w:shd w:val="clear" w:color="auto" w:fill="FFFFFF"/>
                      <w:vertAlign w:val="superscript"/>
                      <w:lang w:eastAsia="en-US" w:bidi="ar"/>
                    </w:rPr>
                    <w:t>3</w:t>
                  </w:r>
                  <w:r>
                    <w:rPr>
                      <w:rFonts w:hint="default" w:ascii="Times New Roman" w:hAnsi="Times New Roman" w:eastAsia="宋体" w:cs="Times New Roman"/>
                      <w:color w:val="auto"/>
                      <w:szCs w:val="21"/>
                      <w:lang w:eastAsia="en-US" w:bidi="ar"/>
                    </w:rPr>
                    <w:t>）</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val="en-US" w:eastAsia="zh-CN" w:bidi="ar"/>
                    </w:rPr>
                    <w:t>季</w:t>
                  </w:r>
                  <w:r>
                    <w:rPr>
                      <w:rFonts w:hint="default" w:ascii="Times New Roman" w:hAnsi="Times New Roman" w:eastAsia="宋体" w:cs="Times New Roman"/>
                      <w:color w:val="auto"/>
                      <w:szCs w:val="21"/>
                      <w:lang w:eastAsia="en-US" w:bidi="ar"/>
                    </w:rPr>
                    <w:t>均值</w:t>
                  </w:r>
                </w:p>
              </w:tc>
              <w:tc>
                <w:tcPr>
                  <w:tcW w:w="11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20.1</w:t>
                  </w: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40</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0.5025</w:t>
                  </w:r>
                </w:p>
              </w:tc>
              <w:tc>
                <w:tcPr>
                  <w:tcW w:w="1175" w:type="dxa"/>
                  <w:tcBorders>
                    <w:top w:val="single" w:color="auto" w:sz="4" w:space="0"/>
                    <w:left w:val="single" w:color="auto" w:sz="4" w:space="0"/>
                    <w:bottom w:val="single" w:color="auto" w:sz="4" w:space="0"/>
                    <w:right w:val="nil"/>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7" w:type="dxa"/>
                  <w:vMerge w:val="continue"/>
                  <w:tcBorders>
                    <w:top w:val="single" w:color="auto" w:sz="4" w:space="0"/>
                    <w:left w:val="nil"/>
                    <w:bottom w:val="single" w:color="auto" w:sz="12" w:space="0"/>
                    <w:right w:val="single" w:color="auto" w:sz="4" w:space="0"/>
                  </w:tcBorders>
                  <w:noWrap w:val="0"/>
                  <w:vAlign w:val="center"/>
                </w:tcPr>
                <w:p>
                  <w:pPr>
                    <w:rPr>
                      <w:rFonts w:hint="default" w:ascii="Times New Roman" w:hAnsi="Times New Roman" w:eastAsia="宋体" w:cs="Times New Roman"/>
                      <w:color w:val="auto"/>
                      <w:szCs w:val="21"/>
                      <w:lang w:eastAsia="en-US"/>
                    </w:rPr>
                  </w:pPr>
                </w:p>
              </w:tc>
              <w:tc>
                <w:tcPr>
                  <w:tcW w:w="169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CO（</w:t>
                  </w:r>
                  <w:r>
                    <w:rPr>
                      <w:rFonts w:hint="default" w:ascii="Times New Roman" w:hAnsi="Times New Roman" w:eastAsia="宋体" w:cs="Times New Roman"/>
                      <w:color w:val="auto"/>
                      <w:szCs w:val="21"/>
                      <w:shd w:val="clear" w:color="auto" w:fill="FFFFFF"/>
                      <w:lang w:eastAsia="en-US" w:bidi="ar"/>
                    </w:rPr>
                    <w:t>mg/m</w:t>
                  </w:r>
                  <w:r>
                    <w:rPr>
                      <w:rFonts w:hint="default" w:ascii="Times New Roman" w:hAnsi="Times New Roman" w:eastAsia="宋体" w:cs="Times New Roman"/>
                      <w:color w:val="auto"/>
                      <w:szCs w:val="21"/>
                      <w:shd w:val="clear" w:color="auto" w:fill="FFFFFF"/>
                      <w:vertAlign w:val="superscript"/>
                      <w:lang w:eastAsia="en-US" w:bidi="ar"/>
                    </w:rPr>
                    <w:t>3</w:t>
                  </w:r>
                  <w:r>
                    <w:rPr>
                      <w:rFonts w:hint="default" w:ascii="Times New Roman" w:hAnsi="Times New Roman" w:eastAsia="宋体" w:cs="Times New Roman"/>
                      <w:color w:val="auto"/>
                      <w:szCs w:val="21"/>
                      <w:lang w:eastAsia="en-US" w:bidi="ar"/>
                    </w:rPr>
                    <w:t>）</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bidi="ar"/>
                    </w:rPr>
                    <w:t>季</w:t>
                  </w:r>
                  <w:r>
                    <w:rPr>
                      <w:rFonts w:hint="default" w:ascii="Times New Roman" w:hAnsi="Times New Roman" w:eastAsia="宋体" w:cs="Times New Roman"/>
                      <w:color w:val="auto"/>
                      <w:szCs w:val="21"/>
                      <w:lang w:eastAsia="en-US" w:bidi="ar"/>
                    </w:rPr>
                    <w:t>均值</w:t>
                  </w:r>
                </w:p>
              </w:tc>
              <w:tc>
                <w:tcPr>
                  <w:tcW w:w="11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0.9</w:t>
                  </w: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4</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0.225</w:t>
                  </w:r>
                </w:p>
              </w:tc>
              <w:tc>
                <w:tcPr>
                  <w:tcW w:w="1175" w:type="dxa"/>
                  <w:tcBorders>
                    <w:top w:val="single" w:color="auto" w:sz="4" w:space="0"/>
                    <w:left w:val="single" w:color="auto" w:sz="4" w:space="0"/>
                    <w:bottom w:val="single" w:color="auto" w:sz="4" w:space="0"/>
                    <w:right w:val="nil"/>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37" w:type="dxa"/>
                  <w:vMerge w:val="continue"/>
                  <w:tcBorders>
                    <w:top w:val="single" w:color="auto" w:sz="4" w:space="0"/>
                    <w:left w:val="nil"/>
                    <w:bottom w:val="single" w:color="auto" w:sz="12" w:space="0"/>
                    <w:right w:val="single" w:color="auto" w:sz="4" w:space="0"/>
                  </w:tcBorders>
                  <w:noWrap w:val="0"/>
                  <w:vAlign w:val="center"/>
                </w:tcPr>
                <w:p>
                  <w:pPr>
                    <w:rPr>
                      <w:rFonts w:hint="default" w:ascii="Times New Roman" w:hAnsi="Times New Roman" w:eastAsia="宋体" w:cs="Times New Roman"/>
                      <w:color w:val="auto"/>
                      <w:szCs w:val="21"/>
                      <w:lang w:eastAsia="en-US"/>
                    </w:rPr>
                  </w:pPr>
                </w:p>
              </w:tc>
              <w:tc>
                <w:tcPr>
                  <w:tcW w:w="169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PM</w:t>
                  </w:r>
                  <w:r>
                    <w:rPr>
                      <w:rFonts w:hint="default" w:ascii="Times New Roman" w:hAnsi="Times New Roman" w:eastAsia="宋体" w:cs="Times New Roman"/>
                      <w:color w:val="auto"/>
                      <w:szCs w:val="21"/>
                      <w:vertAlign w:val="subscript"/>
                      <w:lang w:eastAsia="en-US" w:bidi="ar"/>
                    </w:rPr>
                    <w:t>10</w:t>
                  </w:r>
                  <w:r>
                    <w:rPr>
                      <w:rFonts w:hint="default" w:ascii="Times New Roman" w:hAnsi="Times New Roman" w:eastAsia="宋体" w:cs="Times New Roman"/>
                      <w:color w:val="auto"/>
                      <w:szCs w:val="21"/>
                      <w:lang w:eastAsia="en-US" w:bidi="ar"/>
                    </w:rPr>
                    <w:t>（</w:t>
                  </w:r>
                  <w:r>
                    <w:rPr>
                      <w:rFonts w:hint="default" w:ascii="Times New Roman" w:hAnsi="Times New Roman" w:eastAsia="宋体" w:cs="Times New Roman"/>
                      <w:color w:val="auto"/>
                      <w:szCs w:val="21"/>
                      <w:shd w:val="clear" w:color="auto" w:fill="FFFFFF"/>
                      <w:lang w:eastAsia="en-US" w:bidi="ar"/>
                    </w:rPr>
                    <w:t>μg/m</w:t>
                  </w:r>
                  <w:r>
                    <w:rPr>
                      <w:rFonts w:hint="default" w:ascii="Times New Roman" w:hAnsi="Times New Roman" w:eastAsia="宋体" w:cs="Times New Roman"/>
                      <w:color w:val="auto"/>
                      <w:szCs w:val="21"/>
                      <w:shd w:val="clear" w:color="auto" w:fill="FFFFFF"/>
                      <w:vertAlign w:val="superscript"/>
                      <w:lang w:eastAsia="en-US" w:bidi="ar"/>
                    </w:rPr>
                    <w:t>3</w:t>
                  </w:r>
                  <w:r>
                    <w:rPr>
                      <w:rFonts w:hint="default" w:ascii="Times New Roman" w:hAnsi="Times New Roman" w:eastAsia="宋体" w:cs="Times New Roman"/>
                      <w:color w:val="auto"/>
                      <w:szCs w:val="21"/>
                      <w:lang w:eastAsia="en-US" w:bidi="ar"/>
                    </w:rPr>
                    <w:t>）</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val="en-US" w:eastAsia="zh-CN" w:bidi="ar"/>
                    </w:rPr>
                    <w:t>季</w:t>
                  </w:r>
                  <w:r>
                    <w:rPr>
                      <w:rFonts w:hint="default" w:ascii="Times New Roman" w:hAnsi="Times New Roman" w:eastAsia="宋体" w:cs="Times New Roman"/>
                      <w:color w:val="auto"/>
                      <w:szCs w:val="21"/>
                      <w:lang w:eastAsia="en-US" w:bidi="ar"/>
                    </w:rPr>
                    <w:t>均值</w:t>
                  </w:r>
                </w:p>
              </w:tc>
              <w:tc>
                <w:tcPr>
                  <w:tcW w:w="11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54.0</w:t>
                  </w: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70</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0.7714</w:t>
                  </w:r>
                </w:p>
              </w:tc>
              <w:tc>
                <w:tcPr>
                  <w:tcW w:w="1175" w:type="dxa"/>
                  <w:tcBorders>
                    <w:top w:val="single" w:color="auto" w:sz="4" w:space="0"/>
                    <w:left w:val="single" w:color="auto" w:sz="4" w:space="0"/>
                    <w:bottom w:val="single" w:color="auto" w:sz="4" w:space="0"/>
                    <w:right w:val="nil"/>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37" w:type="dxa"/>
                  <w:vMerge w:val="continue"/>
                  <w:tcBorders>
                    <w:top w:val="single" w:color="auto" w:sz="4" w:space="0"/>
                    <w:left w:val="nil"/>
                    <w:bottom w:val="single" w:color="auto" w:sz="12" w:space="0"/>
                    <w:right w:val="single" w:color="auto" w:sz="4" w:space="0"/>
                  </w:tcBorders>
                  <w:noWrap w:val="0"/>
                  <w:vAlign w:val="center"/>
                </w:tcPr>
                <w:p>
                  <w:pPr>
                    <w:rPr>
                      <w:rFonts w:hint="default" w:ascii="Times New Roman" w:hAnsi="Times New Roman" w:eastAsia="宋体" w:cs="Times New Roman"/>
                      <w:color w:val="auto"/>
                      <w:szCs w:val="21"/>
                      <w:lang w:eastAsia="en-US"/>
                    </w:rPr>
                  </w:pPr>
                </w:p>
              </w:tc>
              <w:tc>
                <w:tcPr>
                  <w:tcW w:w="169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PM</w:t>
                  </w:r>
                  <w:r>
                    <w:rPr>
                      <w:rFonts w:hint="default" w:ascii="Times New Roman" w:hAnsi="Times New Roman" w:eastAsia="宋体" w:cs="Times New Roman"/>
                      <w:color w:val="auto"/>
                      <w:szCs w:val="21"/>
                      <w:vertAlign w:val="subscript"/>
                      <w:lang w:eastAsia="en-US" w:bidi="ar"/>
                    </w:rPr>
                    <w:t>2.5</w:t>
                  </w:r>
                  <w:r>
                    <w:rPr>
                      <w:rFonts w:hint="default" w:ascii="Times New Roman" w:hAnsi="Times New Roman" w:eastAsia="宋体" w:cs="Times New Roman"/>
                      <w:color w:val="auto"/>
                      <w:szCs w:val="21"/>
                      <w:lang w:eastAsia="en-US" w:bidi="ar"/>
                    </w:rPr>
                    <w:t>（</w:t>
                  </w:r>
                  <w:r>
                    <w:rPr>
                      <w:rFonts w:hint="default" w:ascii="Times New Roman" w:hAnsi="Times New Roman" w:eastAsia="宋体" w:cs="Times New Roman"/>
                      <w:color w:val="auto"/>
                      <w:szCs w:val="21"/>
                      <w:shd w:val="clear" w:color="auto" w:fill="FFFFFF"/>
                      <w:lang w:eastAsia="en-US" w:bidi="ar"/>
                    </w:rPr>
                    <w:t>μg/m</w:t>
                  </w:r>
                  <w:r>
                    <w:rPr>
                      <w:rFonts w:hint="default" w:ascii="Times New Roman" w:hAnsi="Times New Roman" w:eastAsia="宋体" w:cs="Times New Roman"/>
                      <w:color w:val="auto"/>
                      <w:szCs w:val="21"/>
                      <w:shd w:val="clear" w:color="auto" w:fill="FFFFFF"/>
                      <w:vertAlign w:val="superscript"/>
                      <w:lang w:eastAsia="en-US" w:bidi="ar"/>
                    </w:rPr>
                    <w:t>3</w:t>
                  </w:r>
                  <w:r>
                    <w:rPr>
                      <w:rFonts w:hint="default" w:ascii="Times New Roman" w:hAnsi="Times New Roman" w:eastAsia="宋体" w:cs="Times New Roman"/>
                      <w:color w:val="auto"/>
                      <w:szCs w:val="21"/>
                      <w:lang w:eastAsia="en-US" w:bidi="ar"/>
                    </w:rPr>
                    <w:t>）</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val="en-US" w:eastAsia="zh-CN" w:bidi="ar"/>
                    </w:rPr>
                    <w:t>季</w:t>
                  </w:r>
                  <w:r>
                    <w:rPr>
                      <w:rFonts w:hint="default" w:ascii="Times New Roman" w:hAnsi="Times New Roman" w:eastAsia="宋体" w:cs="Times New Roman"/>
                      <w:color w:val="auto"/>
                      <w:szCs w:val="21"/>
                      <w:lang w:eastAsia="en-US" w:bidi="ar"/>
                    </w:rPr>
                    <w:t>均值</w:t>
                  </w:r>
                </w:p>
              </w:tc>
              <w:tc>
                <w:tcPr>
                  <w:tcW w:w="11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29.8</w:t>
                  </w: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35</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0.8514</w:t>
                  </w:r>
                </w:p>
              </w:tc>
              <w:tc>
                <w:tcPr>
                  <w:tcW w:w="1175" w:type="dxa"/>
                  <w:tcBorders>
                    <w:top w:val="single" w:color="auto" w:sz="4" w:space="0"/>
                    <w:left w:val="single" w:color="auto" w:sz="4" w:space="0"/>
                    <w:bottom w:val="single" w:color="auto" w:sz="4" w:space="0"/>
                    <w:right w:val="nil"/>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37" w:type="dxa"/>
                  <w:vMerge w:val="continue"/>
                  <w:tcBorders>
                    <w:top w:val="single" w:color="auto" w:sz="4" w:space="0"/>
                    <w:left w:val="nil"/>
                    <w:bottom w:val="single" w:color="auto" w:sz="12" w:space="0"/>
                    <w:right w:val="single" w:color="auto" w:sz="4" w:space="0"/>
                  </w:tcBorders>
                  <w:noWrap w:val="0"/>
                  <w:vAlign w:val="center"/>
                </w:tcPr>
                <w:p>
                  <w:pPr>
                    <w:rPr>
                      <w:rFonts w:hint="default" w:ascii="Times New Roman" w:hAnsi="Times New Roman" w:eastAsia="宋体" w:cs="Times New Roman"/>
                      <w:color w:val="auto"/>
                      <w:szCs w:val="21"/>
                      <w:lang w:eastAsia="en-US"/>
                    </w:rPr>
                  </w:pPr>
                </w:p>
              </w:tc>
              <w:tc>
                <w:tcPr>
                  <w:tcW w:w="1693"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O</w:t>
                  </w:r>
                  <w:r>
                    <w:rPr>
                      <w:rFonts w:hint="default" w:ascii="Times New Roman" w:hAnsi="Times New Roman" w:eastAsia="宋体" w:cs="Times New Roman"/>
                      <w:color w:val="auto"/>
                      <w:szCs w:val="21"/>
                      <w:vertAlign w:val="subscript"/>
                      <w:lang w:eastAsia="en-US" w:bidi="ar"/>
                    </w:rPr>
                    <w:t>3</w:t>
                  </w:r>
                  <w:r>
                    <w:rPr>
                      <w:rFonts w:hint="default" w:ascii="Times New Roman" w:hAnsi="Times New Roman" w:eastAsia="宋体" w:cs="Times New Roman"/>
                      <w:color w:val="auto"/>
                      <w:szCs w:val="21"/>
                      <w:lang w:eastAsia="en-US" w:bidi="ar"/>
                    </w:rPr>
                    <w:t>（</w:t>
                  </w:r>
                  <w:r>
                    <w:rPr>
                      <w:rFonts w:hint="default" w:ascii="Times New Roman" w:hAnsi="Times New Roman" w:eastAsia="宋体" w:cs="Times New Roman"/>
                      <w:color w:val="auto"/>
                      <w:szCs w:val="21"/>
                      <w:shd w:val="clear" w:color="auto" w:fill="FFFFFF"/>
                      <w:lang w:eastAsia="en-US" w:bidi="ar"/>
                    </w:rPr>
                    <w:t>μg/m</w:t>
                  </w:r>
                  <w:r>
                    <w:rPr>
                      <w:rFonts w:hint="default" w:ascii="Times New Roman" w:hAnsi="Times New Roman" w:eastAsia="宋体" w:cs="Times New Roman"/>
                      <w:color w:val="auto"/>
                      <w:szCs w:val="21"/>
                      <w:shd w:val="clear" w:color="auto" w:fill="FFFFFF"/>
                      <w:vertAlign w:val="superscript"/>
                      <w:lang w:eastAsia="en-US" w:bidi="ar"/>
                    </w:rPr>
                    <w:t>3</w:t>
                  </w:r>
                  <w:r>
                    <w:rPr>
                      <w:rFonts w:hint="default" w:ascii="Times New Roman" w:hAnsi="Times New Roman" w:eastAsia="宋体" w:cs="Times New Roman"/>
                      <w:color w:val="auto"/>
                      <w:szCs w:val="21"/>
                      <w:lang w:eastAsia="en-US" w:bidi="ar"/>
                    </w:rPr>
                    <w:t>）</w:t>
                  </w:r>
                </w:p>
              </w:tc>
              <w:tc>
                <w:tcPr>
                  <w:tcW w:w="1620"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bidi="ar"/>
                    </w:rPr>
                    <w:t>季</w:t>
                  </w:r>
                  <w:r>
                    <w:rPr>
                      <w:rFonts w:hint="default" w:ascii="Times New Roman" w:hAnsi="Times New Roman" w:eastAsia="宋体" w:cs="Times New Roman"/>
                      <w:color w:val="auto"/>
                      <w:szCs w:val="21"/>
                      <w:lang w:eastAsia="en-US" w:bidi="ar"/>
                    </w:rPr>
                    <w:t>均值</w:t>
                  </w:r>
                </w:p>
              </w:tc>
              <w:tc>
                <w:tcPr>
                  <w:tcW w:w="1197"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146</w:t>
                  </w:r>
                </w:p>
              </w:tc>
              <w:tc>
                <w:tcPr>
                  <w:tcW w:w="990"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160</w:t>
                  </w:r>
                </w:p>
              </w:tc>
              <w:tc>
                <w:tcPr>
                  <w:tcW w:w="1005"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0.9125</w:t>
                  </w:r>
                </w:p>
              </w:tc>
              <w:tc>
                <w:tcPr>
                  <w:tcW w:w="1175" w:type="dxa"/>
                  <w:tcBorders>
                    <w:top w:val="single" w:color="auto" w:sz="4" w:space="0"/>
                    <w:left w:val="single" w:color="auto" w:sz="4" w:space="0"/>
                    <w:bottom w:val="single" w:color="auto" w:sz="12" w:space="0"/>
                    <w:right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en-US" w:bidi="ar"/>
                    </w:rPr>
                    <w:t>达标</w:t>
                  </w:r>
                </w:p>
              </w:tc>
            </w:tr>
          </w:tbl>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因此，根据《</w:t>
            </w:r>
            <w:r>
              <w:rPr>
                <w:rFonts w:hint="default" w:ascii="Times New Roman" w:hAnsi="Times New Roman" w:eastAsia="宋体" w:cs="Times New Roman"/>
                <w:color w:val="auto"/>
                <w:sz w:val="24"/>
                <w:lang w:val="en-US" w:eastAsia="zh-CN" w:bidi="ar"/>
              </w:rPr>
              <w:t>环境空气质量标准</w:t>
            </w:r>
            <w:r>
              <w:rPr>
                <w:rFonts w:hint="default" w:ascii="Times New Roman" w:hAnsi="Times New Roman" w:eastAsia="宋体" w:cs="Times New Roman"/>
                <w:color w:val="auto"/>
                <w:sz w:val="24"/>
                <w:lang w:bidi="ar"/>
              </w:rPr>
              <w:t>》（</w:t>
            </w:r>
            <w:r>
              <w:rPr>
                <w:rFonts w:hint="default" w:ascii="Times New Roman" w:hAnsi="Times New Roman" w:eastAsia="宋体" w:cs="Times New Roman"/>
                <w:color w:val="auto"/>
                <w:sz w:val="24"/>
                <w:lang w:val="en-US" w:eastAsia="zh-CN" w:bidi="ar"/>
              </w:rPr>
              <w:t>GB3095-2002</w:t>
            </w:r>
            <w:r>
              <w:rPr>
                <w:rFonts w:hint="default" w:ascii="Times New Roman" w:hAnsi="Times New Roman" w:eastAsia="宋体" w:cs="Times New Roman"/>
                <w:color w:val="auto"/>
                <w:sz w:val="24"/>
                <w:lang w:bidi="ar"/>
              </w:rPr>
              <w:t>）可知，202</w:t>
            </w:r>
            <w:r>
              <w:rPr>
                <w:rFonts w:hint="default" w:ascii="Times New Roman" w:hAnsi="Times New Roman" w:eastAsia="宋体" w:cs="Times New Roman"/>
                <w:color w:val="auto"/>
                <w:sz w:val="24"/>
                <w:lang w:val="en-US" w:eastAsia="zh-CN" w:bidi="ar"/>
              </w:rPr>
              <w:t>2</w:t>
            </w:r>
            <w:r>
              <w:rPr>
                <w:rFonts w:hint="default" w:ascii="Times New Roman" w:hAnsi="Times New Roman" w:eastAsia="宋体" w:cs="Times New Roman"/>
                <w:color w:val="auto"/>
                <w:sz w:val="24"/>
                <w:lang w:bidi="ar"/>
              </w:rPr>
              <w:t>年</w:t>
            </w:r>
            <w:r>
              <w:rPr>
                <w:rFonts w:hint="default" w:ascii="Times New Roman" w:hAnsi="Times New Roman" w:eastAsia="宋体" w:cs="Times New Roman"/>
                <w:color w:val="auto"/>
                <w:sz w:val="24"/>
                <w:lang w:val="en-US" w:eastAsia="zh-CN" w:bidi="ar"/>
              </w:rPr>
              <w:t>遂宁市</w:t>
            </w:r>
            <w:r>
              <w:rPr>
                <w:rFonts w:hint="default" w:ascii="Times New Roman" w:hAnsi="Times New Roman" w:eastAsia="宋体" w:cs="Times New Roman"/>
                <w:color w:val="auto"/>
                <w:sz w:val="24"/>
                <w:lang w:bidi="ar"/>
              </w:rPr>
              <w:t>大气环境质量达标。</w:t>
            </w:r>
          </w:p>
          <w:p>
            <w:pPr>
              <w:spacing w:line="360" w:lineRule="auto"/>
              <w:ind w:firstLine="520" w:firstLineChars="200"/>
              <w:jc w:val="left"/>
              <w:rPr>
                <w:rFonts w:hint="default" w:ascii="Times New Roman" w:hAnsi="Times New Roman" w:eastAsia="宋体" w:cs="Times New Roman"/>
                <w:color w:val="auto"/>
                <w:spacing w:val="10"/>
                <w:sz w:val="24"/>
                <w:szCs w:val="32"/>
                <w:lang w:val="en-US" w:eastAsia="zh-CN" w:bidi="ar"/>
              </w:rPr>
            </w:pPr>
            <w:r>
              <w:rPr>
                <w:rFonts w:hint="default" w:ascii="Times New Roman" w:hAnsi="Times New Roman" w:eastAsia="宋体" w:cs="Times New Roman"/>
                <w:b w:val="0"/>
                <w:bCs w:val="0"/>
                <w:color w:val="auto"/>
                <w:spacing w:val="10"/>
                <w:sz w:val="24"/>
                <w:szCs w:val="32"/>
                <w:lang w:val="en-US" w:eastAsia="zh-CN" w:bidi="ar"/>
              </w:rPr>
              <w:t>根据大英县人民政府发布的大英县城区环境空气质量月报（2023年1月~6月），大英县环境空气质量</w:t>
            </w:r>
            <w:r>
              <w:rPr>
                <w:rFonts w:hint="eastAsia" w:cs="Times New Roman"/>
                <w:b w:val="0"/>
                <w:bCs w:val="0"/>
                <w:color w:val="auto"/>
                <w:spacing w:val="10"/>
                <w:sz w:val="24"/>
                <w:szCs w:val="32"/>
                <w:lang w:val="en-US" w:eastAsia="zh-CN" w:bidi="ar"/>
              </w:rPr>
              <w:t>见下表</w:t>
            </w:r>
            <w:r>
              <w:rPr>
                <w:rFonts w:hint="default" w:ascii="Times New Roman" w:hAnsi="Times New Roman" w:eastAsia="宋体" w:cs="Times New Roman"/>
                <w:b w:val="0"/>
                <w:bCs w:val="0"/>
                <w:color w:val="auto"/>
                <w:spacing w:val="10"/>
                <w:sz w:val="24"/>
                <w:szCs w:val="32"/>
                <w:lang w:val="en-US" w:eastAsia="zh-CN" w:bidi="ar"/>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bidi="ar"/>
              </w:rPr>
              <w:t>表3-</w:t>
            </w:r>
            <w:r>
              <w:rPr>
                <w:rFonts w:hint="default" w:ascii="Times New Roman" w:hAnsi="Times New Roman" w:eastAsia="宋体" w:cs="Times New Roman"/>
                <w:b/>
                <w:color w:val="auto"/>
                <w:szCs w:val="21"/>
                <w:lang w:val="en-US" w:eastAsia="zh-CN" w:bidi="ar"/>
              </w:rPr>
              <w:t>2大英县</w:t>
            </w:r>
            <w:r>
              <w:rPr>
                <w:rFonts w:hint="default" w:ascii="Times New Roman" w:hAnsi="Times New Roman" w:eastAsia="宋体" w:cs="Times New Roman"/>
                <w:b/>
                <w:color w:val="auto"/>
                <w:szCs w:val="21"/>
                <w:lang w:bidi="ar"/>
              </w:rPr>
              <w:t>环境空气质量状况数据</w:t>
            </w:r>
          </w:p>
          <w:tbl>
            <w:tblPr>
              <w:tblStyle w:val="25"/>
              <w:tblpPr w:leftFromText="180" w:rightFromText="180" w:vertAnchor="text" w:horzAnchor="page" w:tblpX="96" w:tblpY="255"/>
              <w:tblOverlap w:val="never"/>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689"/>
              <w:gridCol w:w="1611"/>
              <w:gridCol w:w="1193"/>
              <w:gridCol w:w="987"/>
              <w:gridCol w:w="1003"/>
              <w:gridCol w:w="1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lang w:eastAsia="en-US"/>
                    </w:rPr>
                  </w:pPr>
                  <w:r>
                    <w:rPr>
                      <w:rFonts w:hint="default" w:ascii="Times New Roman" w:hAnsi="Times New Roman" w:eastAsia="宋体" w:cs="Times New Roman"/>
                      <w:b/>
                      <w:bCs/>
                      <w:color w:val="auto"/>
                      <w:szCs w:val="21"/>
                      <w:lang w:eastAsia="en-US" w:bidi="ar"/>
                    </w:rPr>
                    <w:t>地点</w:t>
                  </w:r>
                </w:p>
              </w:tc>
              <w:tc>
                <w:tcPr>
                  <w:tcW w:w="33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lang w:eastAsia="en-US"/>
                    </w:rPr>
                  </w:pPr>
                  <w:r>
                    <w:rPr>
                      <w:rFonts w:hint="default" w:ascii="Times New Roman" w:hAnsi="Times New Roman" w:eastAsia="宋体" w:cs="Times New Roman"/>
                      <w:b/>
                      <w:bCs/>
                      <w:color w:val="auto"/>
                      <w:szCs w:val="21"/>
                      <w:lang w:eastAsia="en-US" w:bidi="ar"/>
                    </w:rPr>
                    <w:t>监测因子</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lang w:eastAsia="en-US"/>
                    </w:rPr>
                  </w:pPr>
                  <w:r>
                    <w:rPr>
                      <w:rFonts w:hint="default" w:ascii="Times New Roman" w:hAnsi="Times New Roman" w:eastAsia="宋体" w:cs="Times New Roman"/>
                      <w:b/>
                      <w:bCs/>
                      <w:color w:val="auto"/>
                      <w:szCs w:val="21"/>
                      <w:lang w:eastAsia="en-US" w:bidi="ar"/>
                    </w:rPr>
                    <w:t>浓度</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lang w:eastAsia="en-US"/>
                    </w:rPr>
                  </w:pPr>
                  <w:r>
                    <w:rPr>
                      <w:rFonts w:hint="default" w:ascii="Times New Roman" w:hAnsi="Times New Roman" w:eastAsia="宋体" w:cs="Times New Roman"/>
                      <w:b/>
                      <w:bCs/>
                      <w:color w:val="auto"/>
                      <w:szCs w:val="21"/>
                      <w:lang w:eastAsia="en-US" w:bidi="ar"/>
                    </w:rPr>
                    <w:t>标准值</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lang w:eastAsia="en-US"/>
                    </w:rPr>
                  </w:pPr>
                  <w:r>
                    <w:rPr>
                      <w:rFonts w:hint="default" w:ascii="Times New Roman" w:hAnsi="Times New Roman" w:eastAsia="宋体" w:cs="Times New Roman"/>
                      <w:b/>
                      <w:bCs/>
                      <w:color w:val="auto"/>
                      <w:szCs w:val="21"/>
                      <w:lang w:eastAsia="en-US" w:bidi="ar"/>
                    </w:rPr>
                    <w:t>Pi值</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lang w:eastAsia="en-US"/>
                    </w:rPr>
                  </w:pPr>
                  <w:r>
                    <w:rPr>
                      <w:rFonts w:hint="default" w:ascii="Times New Roman" w:hAnsi="Times New Roman" w:eastAsia="宋体" w:cs="Times New Roman"/>
                      <w:b/>
                      <w:bCs/>
                      <w:color w:val="auto"/>
                      <w:szCs w:val="21"/>
                      <w:lang w:eastAsia="en-US"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bidi="ar"/>
                    </w:rPr>
                    <w:t>大英县城区</w:t>
                  </w:r>
                </w:p>
              </w:tc>
              <w:tc>
                <w:tcPr>
                  <w:tcW w:w="169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SO</w:t>
                  </w:r>
                  <w:r>
                    <w:rPr>
                      <w:rFonts w:hint="default" w:ascii="Times New Roman" w:hAnsi="Times New Roman" w:eastAsia="宋体" w:cs="Times New Roman"/>
                      <w:color w:val="auto"/>
                      <w:szCs w:val="21"/>
                      <w:vertAlign w:val="subscript"/>
                      <w:lang w:eastAsia="en-US" w:bidi="ar"/>
                    </w:rPr>
                    <w:t>2</w:t>
                  </w:r>
                  <w:r>
                    <w:rPr>
                      <w:rFonts w:hint="default" w:ascii="Times New Roman" w:hAnsi="Times New Roman" w:eastAsia="宋体" w:cs="Times New Roman"/>
                      <w:color w:val="auto"/>
                      <w:szCs w:val="21"/>
                      <w:lang w:eastAsia="en-US" w:bidi="ar"/>
                    </w:rPr>
                    <w:t>（</w:t>
                  </w:r>
                  <w:r>
                    <w:rPr>
                      <w:rFonts w:hint="default" w:ascii="Times New Roman" w:hAnsi="Times New Roman" w:eastAsia="宋体" w:cs="Times New Roman"/>
                      <w:color w:val="auto"/>
                      <w:szCs w:val="21"/>
                      <w:shd w:val="clear" w:color="auto" w:fill="FFFFFF"/>
                      <w:lang w:eastAsia="en-US" w:bidi="ar"/>
                    </w:rPr>
                    <w:t>μg/m</w:t>
                  </w:r>
                  <w:r>
                    <w:rPr>
                      <w:rFonts w:hint="default" w:ascii="Times New Roman" w:hAnsi="Times New Roman" w:eastAsia="宋体" w:cs="Times New Roman"/>
                      <w:color w:val="auto"/>
                      <w:szCs w:val="21"/>
                      <w:shd w:val="clear" w:color="auto" w:fill="FFFFFF"/>
                      <w:vertAlign w:val="superscript"/>
                      <w:lang w:eastAsia="en-US" w:bidi="ar"/>
                    </w:rPr>
                    <w:t>3</w:t>
                  </w:r>
                  <w:r>
                    <w:rPr>
                      <w:rFonts w:hint="default" w:ascii="Times New Roman" w:hAnsi="Times New Roman" w:eastAsia="宋体" w:cs="Times New Roman"/>
                      <w:color w:val="auto"/>
                      <w:szCs w:val="21"/>
                      <w:lang w:eastAsia="en-US" w:bidi="ar"/>
                    </w:rPr>
                    <w:t>）</w:t>
                  </w: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val="en-US" w:eastAsia="zh-CN" w:bidi="ar"/>
                    </w:rPr>
                    <w:t>1月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3.9</w:t>
                  </w:r>
                </w:p>
              </w:tc>
              <w:tc>
                <w:tcPr>
                  <w:tcW w:w="99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60</w:t>
                  </w:r>
                </w:p>
              </w:tc>
              <w:tc>
                <w:tcPr>
                  <w:tcW w:w="10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0.065</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2月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0.083</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3月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4.2</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0.07</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4月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0.2</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5月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6.8</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0.113</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6月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4.8</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0.08</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NO</w:t>
                  </w:r>
                  <w:r>
                    <w:rPr>
                      <w:rFonts w:hint="default" w:ascii="Times New Roman" w:hAnsi="Times New Roman" w:eastAsia="宋体" w:cs="Times New Roman"/>
                      <w:color w:val="auto"/>
                      <w:szCs w:val="21"/>
                      <w:vertAlign w:val="subscript"/>
                      <w:lang w:eastAsia="en-US" w:bidi="ar"/>
                    </w:rPr>
                    <w:t>2</w:t>
                  </w:r>
                  <w:r>
                    <w:rPr>
                      <w:rFonts w:hint="default" w:ascii="Times New Roman" w:hAnsi="Times New Roman" w:eastAsia="宋体" w:cs="Times New Roman"/>
                      <w:color w:val="auto"/>
                      <w:szCs w:val="21"/>
                      <w:lang w:eastAsia="en-US" w:bidi="ar"/>
                    </w:rPr>
                    <w:t>（</w:t>
                  </w:r>
                  <w:r>
                    <w:rPr>
                      <w:rFonts w:hint="default" w:ascii="Times New Roman" w:hAnsi="Times New Roman" w:eastAsia="宋体" w:cs="Times New Roman"/>
                      <w:color w:val="auto"/>
                      <w:szCs w:val="21"/>
                      <w:shd w:val="clear" w:color="auto" w:fill="FFFFFF"/>
                      <w:lang w:eastAsia="en-US" w:bidi="ar"/>
                    </w:rPr>
                    <w:t>μg/m</w:t>
                  </w:r>
                  <w:r>
                    <w:rPr>
                      <w:rFonts w:hint="default" w:ascii="Times New Roman" w:hAnsi="Times New Roman" w:eastAsia="宋体" w:cs="Times New Roman"/>
                      <w:color w:val="auto"/>
                      <w:szCs w:val="21"/>
                      <w:shd w:val="clear" w:color="auto" w:fill="FFFFFF"/>
                      <w:vertAlign w:val="superscript"/>
                      <w:lang w:eastAsia="en-US" w:bidi="ar"/>
                    </w:rPr>
                    <w:t>3</w:t>
                  </w:r>
                  <w:r>
                    <w:rPr>
                      <w:rFonts w:hint="default" w:ascii="Times New Roman" w:hAnsi="Times New Roman" w:eastAsia="宋体" w:cs="Times New Roman"/>
                      <w:color w:val="auto"/>
                      <w:szCs w:val="21"/>
                      <w:lang w:eastAsia="en-US" w:bidi="ar"/>
                    </w:rPr>
                    <w:t>）</w:t>
                  </w: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val="en-US" w:eastAsia="zh-CN" w:bidi="ar"/>
                    </w:rPr>
                    <w:t>1月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19.5</w:t>
                  </w:r>
                </w:p>
              </w:tc>
              <w:tc>
                <w:tcPr>
                  <w:tcW w:w="99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40</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0.4875</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2月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19.2</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0.48</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3月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13.9</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0.3475</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4月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11.8</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0.295</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5月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8.4</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0.21</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6月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0.15</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CO（</w:t>
                  </w:r>
                  <w:r>
                    <w:rPr>
                      <w:rFonts w:hint="default" w:ascii="Times New Roman" w:hAnsi="Times New Roman" w:eastAsia="宋体" w:cs="Times New Roman"/>
                      <w:color w:val="auto"/>
                      <w:szCs w:val="21"/>
                      <w:shd w:val="clear" w:color="auto" w:fill="FFFFFF"/>
                      <w:lang w:eastAsia="en-US" w:bidi="ar"/>
                    </w:rPr>
                    <w:t>mg/m</w:t>
                  </w:r>
                  <w:r>
                    <w:rPr>
                      <w:rFonts w:hint="default" w:ascii="Times New Roman" w:hAnsi="Times New Roman" w:eastAsia="宋体" w:cs="Times New Roman"/>
                      <w:color w:val="auto"/>
                      <w:szCs w:val="21"/>
                      <w:shd w:val="clear" w:color="auto" w:fill="FFFFFF"/>
                      <w:vertAlign w:val="superscript"/>
                      <w:lang w:eastAsia="en-US" w:bidi="ar"/>
                    </w:rPr>
                    <w:t>3</w:t>
                  </w:r>
                  <w:r>
                    <w:rPr>
                      <w:rFonts w:hint="default" w:ascii="Times New Roman" w:hAnsi="Times New Roman" w:eastAsia="宋体" w:cs="Times New Roman"/>
                      <w:color w:val="auto"/>
                      <w:szCs w:val="21"/>
                      <w:lang w:eastAsia="en-US" w:bidi="ar"/>
                    </w:rPr>
                    <w:t>）</w:t>
                  </w: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bidi="ar"/>
                    </w:rPr>
                    <w:t>1月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w:t>
                  </w:r>
                </w:p>
              </w:tc>
              <w:tc>
                <w:tcPr>
                  <w:tcW w:w="99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4</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0.275</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2月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0.25</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3月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0.8</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4月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0.275</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5月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0.7</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0.175</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6月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0.125</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PM</w:t>
                  </w:r>
                  <w:r>
                    <w:rPr>
                      <w:rFonts w:hint="default" w:ascii="Times New Roman" w:hAnsi="Times New Roman" w:eastAsia="宋体" w:cs="Times New Roman"/>
                      <w:color w:val="auto"/>
                      <w:szCs w:val="21"/>
                      <w:vertAlign w:val="subscript"/>
                      <w:lang w:eastAsia="en-US" w:bidi="ar"/>
                    </w:rPr>
                    <w:t>10</w:t>
                  </w:r>
                  <w:r>
                    <w:rPr>
                      <w:rFonts w:hint="default" w:ascii="Times New Roman" w:hAnsi="Times New Roman" w:eastAsia="宋体" w:cs="Times New Roman"/>
                      <w:color w:val="auto"/>
                      <w:szCs w:val="21"/>
                      <w:lang w:eastAsia="en-US" w:bidi="ar"/>
                    </w:rPr>
                    <w:t>（</w:t>
                  </w:r>
                  <w:r>
                    <w:rPr>
                      <w:rFonts w:hint="default" w:ascii="Times New Roman" w:hAnsi="Times New Roman" w:eastAsia="宋体" w:cs="Times New Roman"/>
                      <w:color w:val="auto"/>
                      <w:szCs w:val="21"/>
                      <w:shd w:val="clear" w:color="auto" w:fill="FFFFFF"/>
                      <w:lang w:eastAsia="en-US" w:bidi="ar"/>
                    </w:rPr>
                    <w:t>μg/m</w:t>
                  </w:r>
                  <w:r>
                    <w:rPr>
                      <w:rFonts w:hint="default" w:ascii="Times New Roman" w:hAnsi="Times New Roman" w:eastAsia="宋体" w:cs="Times New Roman"/>
                      <w:color w:val="auto"/>
                      <w:szCs w:val="21"/>
                      <w:shd w:val="clear" w:color="auto" w:fill="FFFFFF"/>
                      <w:vertAlign w:val="superscript"/>
                      <w:lang w:eastAsia="en-US" w:bidi="ar"/>
                    </w:rPr>
                    <w:t>3</w:t>
                  </w:r>
                  <w:r>
                    <w:rPr>
                      <w:rFonts w:hint="default" w:ascii="Times New Roman" w:hAnsi="Times New Roman" w:eastAsia="宋体" w:cs="Times New Roman"/>
                      <w:color w:val="auto"/>
                      <w:szCs w:val="21"/>
                      <w:lang w:eastAsia="en-US" w:bidi="ar"/>
                    </w:rPr>
                    <w:t>）</w:t>
                  </w: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val="en-US" w:eastAsia="zh-CN" w:bidi="ar"/>
                    </w:rPr>
                    <w:t>1月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85.7</w:t>
                  </w:r>
                </w:p>
              </w:tc>
              <w:tc>
                <w:tcPr>
                  <w:tcW w:w="99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70</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1.224</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b/>
                      <w:bCs/>
                      <w:color w:val="auto"/>
                      <w:szCs w:val="21"/>
                      <w:lang w:val="en-US" w:eastAsia="zh-CN" w:bidi="ar"/>
                    </w:rPr>
                    <w:t>不</w:t>
                  </w:r>
                  <w:r>
                    <w:rPr>
                      <w:rFonts w:hint="default" w:ascii="Times New Roman" w:hAnsi="Times New Roman" w:eastAsia="宋体" w:cs="Times New Roman"/>
                      <w:b/>
                      <w:bCs/>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2月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53.9</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0.77</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3月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39.1</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0.558</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4月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45.4</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0.648</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5月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36.8</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0.526</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6月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23.6</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0.337</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PM</w:t>
                  </w:r>
                  <w:r>
                    <w:rPr>
                      <w:rFonts w:hint="default" w:ascii="Times New Roman" w:hAnsi="Times New Roman" w:eastAsia="宋体" w:cs="Times New Roman"/>
                      <w:color w:val="auto"/>
                      <w:szCs w:val="21"/>
                      <w:vertAlign w:val="subscript"/>
                      <w:lang w:eastAsia="en-US" w:bidi="ar"/>
                    </w:rPr>
                    <w:t>2.5</w:t>
                  </w:r>
                  <w:r>
                    <w:rPr>
                      <w:rFonts w:hint="default" w:ascii="Times New Roman" w:hAnsi="Times New Roman" w:eastAsia="宋体" w:cs="Times New Roman"/>
                      <w:color w:val="auto"/>
                      <w:szCs w:val="21"/>
                      <w:lang w:eastAsia="en-US" w:bidi="ar"/>
                    </w:rPr>
                    <w:t>（</w:t>
                  </w:r>
                  <w:r>
                    <w:rPr>
                      <w:rFonts w:hint="default" w:ascii="Times New Roman" w:hAnsi="Times New Roman" w:eastAsia="宋体" w:cs="Times New Roman"/>
                      <w:color w:val="auto"/>
                      <w:szCs w:val="21"/>
                      <w:shd w:val="clear" w:color="auto" w:fill="FFFFFF"/>
                      <w:lang w:eastAsia="en-US" w:bidi="ar"/>
                    </w:rPr>
                    <w:t>μg/m</w:t>
                  </w:r>
                  <w:r>
                    <w:rPr>
                      <w:rFonts w:hint="default" w:ascii="Times New Roman" w:hAnsi="Times New Roman" w:eastAsia="宋体" w:cs="Times New Roman"/>
                      <w:color w:val="auto"/>
                      <w:szCs w:val="21"/>
                      <w:shd w:val="clear" w:color="auto" w:fill="FFFFFF"/>
                      <w:vertAlign w:val="superscript"/>
                      <w:lang w:eastAsia="en-US" w:bidi="ar"/>
                    </w:rPr>
                    <w:t>3</w:t>
                  </w:r>
                  <w:r>
                    <w:rPr>
                      <w:rFonts w:hint="default" w:ascii="Times New Roman" w:hAnsi="Times New Roman" w:eastAsia="宋体" w:cs="Times New Roman"/>
                      <w:color w:val="auto"/>
                      <w:szCs w:val="21"/>
                      <w:lang w:eastAsia="en-US" w:bidi="ar"/>
                    </w:rPr>
                    <w:t>）</w:t>
                  </w: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val="en-US" w:eastAsia="zh-CN" w:bidi="ar"/>
                    </w:rPr>
                    <w:t>1月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60.8</w:t>
                  </w:r>
                </w:p>
              </w:tc>
              <w:tc>
                <w:tcPr>
                  <w:tcW w:w="99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35</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1.737</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b/>
                      <w:bCs/>
                      <w:color w:val="auto"/>
                      <w:szCs w:val="21"/>
                      <w:lang w:val="en-US" w:eastAsia="zh-CN" w:bidi="ar"/>
                    </w:rPr>
                    <w:t>不</w:t>
                  </w:r>
                  <w:r>
                    <w:rPr>
                      <w:rFonts w:hint="default" w:ascii="Times New Roman" w:hAnsi="Times New Roman" w:eastAsia="宋体" w:cs="Times New Roman"/>
                      <w:b/>
                      <w:bCs/>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2月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38.9</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1.111</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b/>
                      <w:bCs/>
                      <w:color w:val="auto"/>
                      <w:szCs w:val="21"/>
                      <w:lang w:val="en-US" w:eastAsia="zh-CN" w:bidi="ar"/>
                    </w:rPr>
                    <w:t>不</w:t>
                  </w:r>
                  <w:r>
                    <w:rPr>
                      <w:rFonts w:hint="default" w:ascii="Times New Roman" w:hAnsi="Times New Roman" w:eastAsia="宋体" w:cs="Times New Roman"/>
                      <w:b/>
                      <w:bCs/>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3月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22.9</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0.654</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4月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22</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0.628</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5月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22.6</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0.646</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6月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14</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0.4</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bidi="ar"/>
                    </w:rPr>
                    <w:t>O</w:t>
                  </w:r>
                  <w:r>
                    <w:rPr>
                      <w:rFonts w:hint="default" w:ascii="Times New Roman" w:hAnsi="Times New Roman" w:eastAsia="宋体" w:cs="Times New Roman"/>
                      <w:color w:val="auto"/>
                      <w:szCs w:val="21"/>
                      <w:vertAlign w:val="subscript"/>
                      <w:lang w:eastAsia="en-US" w:bidi="ar"/>
                    </w:rPr>
                    <w:t>3</w:t>
                  </w:r>
                  <w:r>
                    <w:rPr>
                      <w:rFonts w:hint="default" w:ascii="Times New Roman" w:hAnsi="Times New Roman" w:eastAsia="宋体" w:cs="Times New Roman"/>
                      <w:color w:val="auto"/>
                      <w:szCs w:val="21"/>
                      <w:lang w:eastAsia="en-US" w:bidi="ar"/>
                    </w:rPr>
                    <w:t>（</w:t>
                  </w:r>
                  <w:r>
                    <w:rPr>
                      <w:rFonts w:hint="default" w:ascii="Times New Roman" w:hAnsi="Times New Roman" w:eastAsia="宋体" w:cs="Times New Roman"/>
                      <w:color w:val="auto"/>
                      <w:szCs w:val="21"/>
                      <w:shd w:val="clear" w:color="auto" w:fill="FFFFFF"/>
                      <w:lang w:eastAsia="en-US" w:bidi="ar"/>
                    </w:rPr>
                    <w:t>μg/m</w:t>
                  </w:r>
                  <w:r>
                    <w:rPr>
                      <w:rFonts w:hint="default" w:ascii="Times New Roman" w:hAnsi="Times New Roman" w:eastAsia="宋体" w:cs="Times New Roman"/>
                      <w:color w:val="auto"/>
                      <w:szCs w:val="21"/>
                      <w:shd w:val="clear" w:color="auto" w:fill="FFFFFF"/>
                      <w:vertAlign w:val="superscript"/>
                      <w:lang w:eastAsia="en-US" w:bidi="ar"/>
                    </w:rPr>
                    <w:t>3</w:t>
                  </w:r>
                  <w:r>
                    <w:rPr>
                      <w:rFonts w:hint="default" w:ascii="Times New Roman" w:hAnsi="Times New Roman" w:eastAsia="宋体" w:cs="Times New Roman"/>
                      <w:color w:val="auto"/>
                      <w:szCs w:val="21"/>
                      <w:lang w:eastAsia="en-US" w:bidi="ar"/>
                    </w:rPr>
                    <w:t>）</w:t>
                  </w: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1月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83</w:t>
                  </w:r>
                </w:p>
              </w:tc>
              <w:tc>
                <w:tcPr>
                  <w:tcW w:w="99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160</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0.519</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bidi="ar"/>
                    </w:rPr>
                    <w:t>2月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95.9</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0.599</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3月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122</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0.7625</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4月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163.2</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1.02</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r>
                    <w:rPr>
                      <w:rFonts w:hint="default" w:ascii="Times New Roman" w:hAnsi="Times New Roman" w:eastAsia="宋体" w:cs="Times New Roman"/>
                      <w:b/>
                      <w:bCs/>
                      <w:color w:val="auto"/>
                      <w:szCs w:val="21"/>
                      <w:lang w:val="en-US" w:eastAsia="zh-CN" w:bidi="ar"/>
                    </w:rPr>
                    <w:t>不</w:t>
                  </w:r>
                  <w:r>
                    <w:rPr>
                      <w:rFonts w:hint="default" w:ascii="Times New Roman" w:hAnsi="Times New Roman" w:eastAsia="宋体" w:cs="Times New Roman"/>
                      <w:b/>
                      <w:bCs/>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5月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144</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0.9</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lang w:val="en-US" w:eastAsia="zh-CN" w:bidi="ar"/>
                    </w:rPr>
                  </w:pPr>
                  <w:r>
                    <w:rPr>
                      <w:rFonts w:hint="default" w:ascii="Times New Roman" w:hAnsi="Times New Roman" w:eastAsia="宋体" w:cs="Times New Roman"/>
                      <w:color w:val="auto"/>
                      <w:szCs w:val="21"/>
                      <w:lang w:eastAsia="en-US"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lang w:eastAsia="en-US"/>
                    </w:rPr>
                  </w:pPr>
                </w:p>
              </w:tc>
              <w:tc>
                <w:tcPr>
                  <w:tcW w:w="1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en-US" w:bidi="ar"/>
                    </w:rPr>
                  </w:pPr>
                </w:p>
              </w:tc>
              <w:tc>
                <w:tcPr>
                  <w:tcW w:w="16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6月</w:t>
                  </w:r>
                  <w:r>
                    <w:rPr>
                      <w:rFonts w:hint="default" w:ascii="Times New Roman" w:hAnsi="Times New Roman" w:eastAsia="宋体" w:cs="Times New Roman"/>
                      <w:color w:val="auto"/>
                      <w:szCs w:val="21"/>
                      <w:lang w:eastAsia="en-US" w:bidi="ar"/>
                    </w:rPr>
                    <w:t>均值</w:t>
                  </w:r>
                </w:p>
              </w:tc>
              <w:tc>
                <w:tcPr>
                  <w:tcW w:w="11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150.1</w:t>
                  </w:r>
                </w:p>
              </w:tc>
              <w:tc>
                <w:tcPr>
                  <w:tcW w:w="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bidi="ar"/>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0.938</w:t>
                  </w:r>
                </w:p>
              </w:tc>
              <w:tc>
                <w:tcPr>
                  <w:tcW w:w="11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lang w:val="en-US" w:eastAsia="zh-CN" w:bidi="ar"/>
                    </w:rPr>
                  </w:pPr>
                  <w:r>
                    <w:rPr>
                      <w:rFonts w:hint="default" w:ascii="Times New Roman" w:hAnsi="Times New Roman" w:eastAsia="宋体" w:cs="Times New Roman"/>
                      <w:color w:val="auto"/>
                      <w:szCs w:val="21"/>
                      <w:lang w:eastAsia="en-US" w:bidi="ar"/>
                    </w:rPr>
                    <w:t>达标</w:t>
                  </w:r>
                </w:p>
              </w:tc>
            </w:tr>
          </w:tbl>
          <w:p>
            <w:pPr>
              <w:pStyle w:val="21"/>
              <w:widowControl w:val="0"/>
              <w:spacing w:before="0" w:beforeAutospacing="0" w:after="0" w:afterAutospacing="0" w:line="360" w:lineRule="auto"/>
              <w:ind w:firstLine="520" w:firstLineChars="200"/>
              <w:jc w:val="both"/>
              <w:rPr>
                <w:rFonts w:hint="default" w:ascii="Times New Roman" w:hAnsi="Times New Roman" w:eastAsia="宋体" w:cs="Times New Roman"/>
                <w:color w:val="auto"/>
                <w:spacing w:val="10"/>
                <w:szCs w:val="24"/>
                <w:lang w:val="en-US" w:eastAsia="zh-CN" w:bidi="ar"/>
              </w:rPr>
            </w:pPr>
            <w:r>
              <w:rPr>
                <w:rFonts w:hint="default" w:ascii="Times New Roman" w:hAnsi="Times New Roman" w:eastAsia="宋体" w:cs="Times New Roman"/>
                <w:color w:val="auto"/>
                <w:spacing w:val="10"/>
                <w:lang w:bidi="ar"/>
              </w:rPr>
              <w:t>根据以上</w:t>
            </w:r>
            <w:r>
              <w:rPr>
                <w:rFonts w:hint="default" w:ascii="Times New Roman" w:hAnsi="Times New Roman" w:eastAsia="宋体" w:cs="Times New Roman"/>
                <w:color w:val="auto"/>
                <w:spacing w:val="10"/>
                <w:lang w:val="en-US" w:eastAsia="zh-CN" w:bidi="ar"/>
              </w:rPr>
              <w:t>监测</w:t>
            </w:r>
            <w:r>
              <w:rPr>
                <w:rFonts w:hint="default" w:ascii="Times New Roman" w:hAnsi="Times New Roman" w:eastAsia="宋体" w:cs="Times New Roman"/>
                <w:color w:val="auto"/>
                <w:spacing w:val="10"/>
                <w:lang w:bidi="ar"/>
              </w:rPr>
              <w:t>结果，</w:t>
            </w:r>
            <w:r>
              <w:rPr>
                <w:rFonts w:hint="default" w:ascii="Times New Roman" w:hAnsi="Times New Roman" w:eastAsia="宋体" w:cs="Times New Roman"/>
                <w:color w:val="auto"/>
                <w:spacing w:val="10"/>
                <w:lang w:val="en-US" w:eastAsia="zh-CN" w:bidi="ar"/>
              </w:rPr>
              <w:t>大英县城区</w:t>
            </w:r>
            <w:r>
              <w:rPr>
                <w:rFonts w:hint="default" w:ascii="Times New Roman" w:hAnsi="Times New Roman" w:eastAsia="宋体" w:cs="Times New Roman"/>
                <w:color w:val="auto"/>
                <w:spacing w:val="10"/>
                <w:lang w:bidi="ar"/>
              </w:rPr>
              <w:t>SO</w:t>
            </w:r>
            <w:r>
              <w:rPr>
                <w:rFonts w:hint="default" w:ascii="Times New Roman" w:hAnsi="Times New Roman" w:eastAsia="宋体" w:cs="Times New Roman"/>
                <w:color w:val="auto"/>
                <w:spacing w:val="10"/>
                <w:vertAlign w:val="subscript"/>
                <w:lang w:bidi="ar"/>
              </w:rPr>
              <w:t>2</w:t>
            </w:r>
            <w:r>
              <w:rPr>
                <w:rFonts w:hint="default" w:ascii="Times New Roman" w:hAnsi="Times New Roman" w:eastAsia="宋体" w:cs="Times New Roman"/>
                <w:color w:val="auto"/>
                <w:spacing w:val="10"/>
                <w:lang w:bidi="ar"/>
              </w:rPr>
              <w:t>、NO</w:t>
            </w:r>
            <w:r>
              <w:rPr>
                <w:rFonts w:hint="default" w:ascii="Times New Roman" w:hAnsi="Times New Roman" w:eastAsia="宋体" w:cs="Times New Roman"/>
                <w:color w:val="auto"/>
                <w:spacing w:val="10"/>
                <w:vertAlign w:val="subscript"/>
                <w:lang w:bidi="ar"/>
              </w:rPr>
              <w:t>2</w:t>
            </w:r>
            <w:r>
              <w:rPr>
                <w:rFonts w:hint="default" w:ascii="Times New Roman" w:hAnsi="Times New Roman" w:eastAsia="宋体" w:cs="Times New Roman"/>
                <w:color w:val="auto"/>
                <w:spacing w:val="10"/>
                <w:vertAlign w:val="baseline"/>
                <w:lang w:eastAsia="zh-CN" w:bidi="ar"/>
              </w:rPr>
              <w:t>、</w:t>
            </w:r>
            <w:r>
              <w:rPr>
                <w:rFonts w:hint="default" w:ascii="Times New Roman" w:hAnsi="Times New Roman" w:eastAsia="宋体" w:cs="Times New Roman"/>
                <w:color w:val="auto"/>
                <w:spacing w:val="10"/>
                <w:lang w:bidi="ar"/>
              </w:rPr>
              <w:t>CO均满足《环境空气质量标准》（GB3095-2012）二级标准要求</w:t>
            </w:r>
            <w:r>
              <w:rPr>
                <w:rFonts w:hint="default" w:ascii="Times New Roman" w:hAnsi="Times New Roman" w:eastAsia="宋体" w:cs="Times New Roman"/>
                <w:color w:val="auto"/>
                <w:spacing w:val="10"/>
                <w:lang w:eastAsia="zh-CN" w:bidi="ar"/>
              </w:rPr>
              <w:t>，</w:t>
            </w:r>
            <w:r>
              <w:rPr>
                <w:rFonts w:hint="default" w:ascii="Times New Roman" w:hAnsi="Times New Roman" w:eastAsia="宋体" w:cs="Times New Roman"/>
                <w:color w:val="auto"/>
                <w:spacing w:val="10"/>
                <w:lang w:bidi="ar"/>
              </w:rPr>
              <w:t>PM</w:t>
            </w:r>
            <w:r>
              <w:rPr>
                <w:rFonts w:hint="default" w:ascii="Times New Roman" w:hAnsi="Times New Roman" w:eastAsia="宋体" w:cs="Times New Roman"/>
                <w:color w:val="auto"/>
                <w:spacing w:val="10"/>
                <w:vertAlign w:val="subscript"/>
                <w:lang w:bidi="ar"/>
              </w:rPr>
              <w:t>10</w:t>
            </w:r>
            <w:r>
              <w:rPr>
                <w:rFonts w:hint="default" w:ascii="Times New Roman" w:hAnsi="Times New Roman" w:eastAsia="宋体" w:cs="Times New Roman"/>
                <w:color w:val="auto"/>
                <w:spacing w:val="10"/>
                <w:lang w:bidi="ar"/>
              </w:rPr>
              <w:t>、O</w:t>
            </w:r>
            <w:r>
              <w:rPr>
                <w:rFonts w:hint="default" w:ascii="Times New Roman" w:hAnsi="Times New Roman" w:eastAsia="宋体" w:cs="Times New Roman"/>
                <w:color w:val="auto"/>
                <w:spacing w:val="10"/>
                <w:vertAlign w:val="subscript"/>
                <w:lang w:bidi="ar"/>
              </w:rPr>
              <w:t>3</w:t>
            </w:r>
            <w:r>
              <w:rPr>
                <w:rFonts w:hint="default" w:ascii="Times New Roman" w:hAnsi="Times New Roman" w:eastAsia="宋体" w:cs="Times New Roman"/>
                <w:color w:val="auto"/>
                <w:spacing w:val="10"/>
                <w:lang w:bidi="ar"/>
              </w:rPr>
              <w:t>、PM</w:t>
            </w:r>
            <w:r>
              <w:rPr>
                <w:rFonts w:hint="default" w:ascii="Times New Roman" w:hAnsi="Times New Roman" w:eastAsia="宋体" w:cs="Times New Roman"/>
                <w:color w:val="auto"/>
                <w:spacing w:val="10"/>
                <w:vertAlign w:val="subscript"/>
                <w:lang w:bidi="ar"/>
              </w:rPr>
              <w:t>2.5</w:t>
            </w:r>
            <w:r>
              <w:rPr>
                <w:rFonts w:hint="default" w:ascii="Times New Roman" w:hAnsi="Times New Roman" w:eastAsia="宋体" w:cs="Times New Roman"/>
                <w:color w:val="auto"/>
                <w:spacing w:val="10"/>
                <w:vertAlign w:val="baseline"/>
                <w:lang w:val="en-US" w:eastAsia="zh-CN" w:bidi="ar"/>
              </w:rPr>
              <w:t>偶有超标，</w:t>
            </w:r>
            <w:r>
              <w:rPr>
                <w:rFonts w:hint="default" w:ascii="Times New Roman" w:hAnsi="Times New Roman" w:eastAsia="宋体" w:cs="Times New Roman"/>
                <w:color w:val="auto"/>
                <w:spacing w:val="10"/>
                <w:lang w:val="en-US" w:eastAsia="zh-CN" w:bidi="ar"/>
              </w:rPr>
              <w:t>区域大气环境质量相对较好。</w:t>
            </w:r>
            <w:r>
              <w:rPr>
                <w:rFonts w:hint="default" w:ascii="Times New Roman" w:hAnsi="Times New Roman" w:eastAsia="宋体" w:cs="Times New Roman"/>
                <w:color w:val="auto"/>
                <w:spacing w:val="10"/>
                <w:szCs w:val="24"/>
                <w:lang w:bidi="ar"/>
              </w:rPr>
              <w:t>根据《</w:t>
            </w:r>
            <w:r>
              <w:rPr>
                <w:rFonts w:hint="default" w:ascii="Times New Roman" w:hAnsi="Times New Roman" w:eastAsia="宋体" w:cs="Times New Roman"/>
                <w:color w:val="auto"/>
                <w:spacing w:val="10"/>
                <w:szCs w:val="24"/>
                <w:lang w:val="en-US" w:eastAsia="zh-CN" w:bidi="ar"/>
              </w:rPr>
              <w:t>遂宁市人民政府</w:t>
            </w:r>
            <w:r>
              <w:rPr>
                <w:rFonts w:hint="default" w:ascii="Times New Roman" w:hAnsi="Times New Roman" w:eastAsia="宋体" w:cs="Times New Roman"/>
                <w:color w:val="auto"/>
                <w:spacing w:val="10"/>
                <w:szCs w:val="24"/>
                <w:lang w:bidi="ar"/>
              </w:rPr>
              <w:t>办公室关于转发&lt;</w:t>
            </w:r>
            <w:r>
              <w:rPr>
                <w:rFonts w:hint="default" w:ascii="Times New Roman" w:hAnsi="Times New Roman" w:eastAsia="宋体" w:cs="Times New Roman"/>
                <w:color w:val="auto"/>
                <w:spacing w:val="10"/>
                <w:szCs w:val="24"/>
                <w:lang w:val="en-US" w:eastAsia="zh-CN" w:bidi="ar"/>
              </w:rPr>
              <w:t>遂宁市“十四五”生态环境保护规划</w:t>
            </w:r>
            <w:r>
              <w:rPr>
                <w:rFonts w:hint="default" w:ascii="Times New Roman" w:hAnsi="Times New Roman" w:eastAsia="宋体" w:cs="Times New Roman"/>
                <w:color w:val="auto"/>
                <w:spacing w:val="10"/>
                <w:szCs w:val="24"/>
                <w:lang w:bidi="ar"/>
              </w:rPr>
              <w:t>）&gt;的通知》（</w:t>
            </w:r>
            <w:r>
              <w:rPr>
                <w:rFonts w:hint="default" w:ascii="Times New Roman" w:hAnsi="Times New Roman" w:eastAsia="宋体" w:cs="Times New Roman"/>
                <w:color w:val="auto"/>
                <w:spacing w:val="10"/>
                <w:szCs w:val="24"/>
                <w:lang w:val="en-US" w:eastAsia="zh-CN" w:bidi="ar"/>
              </w:rPr>
              <w:t>遂府函〔2022〕38号</w:t>
            </w:r>
            <w:r>
              <w:rPr>
                <w:rFonts w:hint="default" w:ascii="Times New Roman" w:hAnsi="Times New Roman" w:eastAsia="宋体" w:cs="Times New Roman"/>
                <w:color w:val="auto"/>
                <w:spacing w:val="10"/>
                <w:szCs w:val="24"/>
                <w:lang w:bidi="ar"/>
              </w:rPr>
              <w:t>），通过各项大气污染防治方案的实施，达标期限与分阶段目标到2020年</w:t>
            </w:r>
            <w:r>
              <w:rPr>
                <w:rFonts w:hint="default" w:ascii="Times New Roman" w:hAnsi="Times New Roman" w:eastAsia="宋体" w:cs="Times New Roman"/>
                <w:color w:val="auto"/>
                <w:spacing w:val="10"/>
                <w:szCs w:val="24"/>
                <w:lang w:val="en-US" w:eastAsia="zh-CN" w:bidi="ar"/>
              </w:rPr>
              <w:t>空气质量优良天数比例95.1%，</w:t>
            </w:r>
            <w:r>
              <w:rPr>
                <w:rFonts w:hint="default" w:ascii="Times New Roman" w:hAnsi="Times New Roman" w:eastAsia="宋体" w:cs="Times New Roman"/>
                <w:color w:val="auto"/>
                <w:spacing w:val="10"/>
                <w:szCs w:val="24"/>
                <w:lang w:bidi="ar"/>
              </w:rPr>
              <w:t>PM</w:t>
            </w:r>
            <w:r>
              <w:rPr>
                <w:rFonts w:hint="default" w:ascii="Times New Roman" w:hAnsi="Times New Roman" w:eastAsia="宋体" w:cs="Times New Roman"/>
                <w:color w:val="auto"/>
                <w:spacing w:val="10"/>
                <w:szCs w:val="24"/>
                <w:vertAlign w:val="subscript"/>
                <w:lang w:bidi="ar"/>
              </w:rPr>
              <w:t>2.5</w:t>
            </w:r>
            <w:r>
              <w:rPr>
                <w:rFonts w:hint="default" w:ascii="Times New Roman" w:hAnsi="Times New Roman" w:eastAsia="宋体" w:cs="Times New Roman"/>
                <w:color w:val="auto"/>
                <w:spacing w:val="10"/>
                <w:szCs w:val="24"/>
                <w:lang w:bidi="ar"/>
              </w:rPr>
              <w:t>年均浓度下降到</w:t>
            </w:r>
            <w:r>
              <w:rPr>
                <w:rFonts w:hint="default" w:ascii="Times New Roman" w:hAnsi="Times New Roman" w:eastAsia="宋体" w:cs="Times New Roman"/>
                <w:color w:val="auto"/>
                <w:spacing w:val="10"/>
                <w:szCs w:val="24"/>
                <w:lang w:val="en-US" w:eastAsia="zh-CN" w:bidi="ar"/>
              </w:rPr>
              <w:t>27.7</w:t>
            </w:r>
            <w:r>
              <w:rPr>
                <w:rFonts w:hint="default" w:ascii="Times New Roman" w:hAnsi="Times New Roman" w:eastAsia="宋体" w:cs="Times New Roman"/>
                <w:color w:val="auto"/>
                <w:spacing w:val="10"/>
                <w:szCs w:val="24"/>
                <w:lang w:bidi="ar"/>
              </w:rPr>
              <w:t>微克/立方米</w:t>
            </w:r>
            <w:r>
              <w:rPr>
                <w:rFonts w:hint="default" w:ascii="Times New Roman" w:hAnsi="Times New Roman" w:eastAsia="宋体" w:cs="Times New Roman"/>
                <w:color w:val="auto"/>
                <w:spacing w:val="10"/>
                <w:szCs w:val="24"/>
                <w:lang w:val="en-US" w:eastAsia="zh-CN" w:bidi="ar"/>
              </w:rPr>
              <w:t>以下</w:t>
            </w:r>
            <w:r>
              <w:rPr>
                <w:rFonts w:hint="default" w:ascii="Times New Roman" w:hAnsi="Times New Roman" w:eastAsia="宋体" w:cs="Times New Roman"/>
                <w:color w:val="auto"/>
                <w:spacing w:val="10"/>
                <w:szCs w:val="24"/>
                <w:lang w:bidi="ar"/>
              </w:rPr>
              <w:t>，</w:t>
            </w:r>
            <w:r>
              <w:rPr>
                <w:rFonts w:hint="default" w:ascii="Times New Roman" w:hAnsi="Times New Roman" w:eastAsia="宋体" w:cs="Times New Roman"/>
                <w:color w:val="auto"/>
                <w:spacing w:val="10"/>
                <w:szCs w:val="24"/>
                <w:lang w:val="en-US" w:eastAsia="zh-CN" w:bidi="ar"/>
              </w:rPr>
              <w:t>重污染天数基本消除</w:t>
            </w:r>
            <w:r>
              <w:rPr>
                <w:rFonts w:hint="default" w:ascii="Times New Roman" w:hAnsi="Times New Roman" w:eastAsia="宋体" w:cs="Times New Roman"/>
                <w:color w:val="auto"/>
                <w:spacing w:val="10"/>
                <w:szCs w:val="24"/>
                <w:lang w:eastAsia="zh-CN" w:bidi="ar"/>
              </w:rPr>
              <w:t>；</w:t>
            </w:r>
            <w:r>
              <w:rPr>
                <w:rFonts w:hint="default" w:ascii="Times New Roman" w:hAnsi="Times New Roman" w:eastAsia="宋体" w:cs="Times New Roman"/>
                <w:color w:val="auto"/>
                <w:spacing w:val="10"/>
                <w:szCs w:val="24"/>
                <w:lang w:val="en-US" w:eastAsia="zh-CN" w:bidi="ar"/>
              </w:rPr>
              <w:t>到2025年空气质量优良天数比例95.4%</w:t>
            </w:r>
            <w:r>
              <w:rPr>
                <w:rFonts w:hint="default" w:ascii="Times New Roman" w:hAnsi="Times New Roman" w:eastAsia="宋体" w:cs="Times New Roman"/>
                <w:color w:val="auto"/>
                <w:spacing w:val="10"/>
                <w:szCs w:val="24"/>
                <w:lang w:bidi="ar"/>
              </w:rPr>
              <w:t>，PM</w:t>
            </w:r>
            <w:r>
              <w:rPr>
                <w:rFonts w:hint="default" w:ascii="Times New Roman" w:hAnsi="Times New Roman" w:eastAsia="宋体" w:cs="Times New Roman"/>
                <w:color w:val="auto"/>
                <w:spacing w:val="10"/>
                <w:szCs w:val="24"/>
                <w:vertAlign w:val="subscript"/>
                <w:lang w:bidi="ar"/>
              </w:rPr>
              <w:t>2.5</w:t>
            </w:r>
            <w:r>
              <w:rPr>
                <w:rFonts w:hint="default" w:ascii="Times New Roman" w:hAnsi="Times New Roman" w:eastAsia="宋体" w:cs="Times New Roman"/>
                <w:color w:val="auto"/>
                <w:spacing w:val="10"/>
                <w:szCs w:val="24"/>
                <w:lang w:bidi="ar"/>
              </w:rPr>
              <w:t>年均浓度下降到</w:t>
            </w:r>
            <w:r>
              <w:rPr>
                <w:rFonts w:hint="default" w:ascii="Times New Roman" w:hAnsi="Times New Roman" w:eastAsia="宋体" w:cs="Times New Roman"/>
                <w:color w:val="auto"/>
                <w:spacing w:val="10"/>
                <w:szCs w:val="24"/>
                <w:lang w:val="en-US" w:eastAsia="zh-CN" w:bidi="ar"/>
              </w:rPr>
              <w:t>27.7</w:t>
            </w:r>
            <w:r>
              <w:rPr>
                <w:rFonts w:hint="default" w:ascii="Times New Roman" w:hAnsi="Times New Roman" w:eastAsia="宋体" w:cs="Times New Roman"/>
                <w:color w:val="auto"/>
                <w:spacing w:val="10"/>
                <w:szCs w:val="24"/>
                <w:lang w:bidi="ar"/>
              </w:rPr>
              <w:t>微克/立方米</w:t>
            </w:r>
            <w:r>
              <w:rPr>
                <w:rFonts w:hint="default" w:ascii="Times New Roman" w:hAnsi="Times New Roman" w:eastAsia="宋体" w:cs="Times New Roman"/>
                <w:color w:val="auto"/>
                <w:spacing w:val="10"/>
                <w:szCs w:val="24"/>
                <w:lang w:val="en-US" w:eastAsia="zh-CN" w:bidi="ar"/>
              </w:rPr>
              <w:t>以下</w:t>
            </w:r>
            <w:r>
              <w:rPr>
                <w:rFonts w:hint="default" w:ascii="Times New Roman" w:hAnsi="Times New Roman" w:eastAsia="宋体" w:cs="Times New Roman"/>
                <w:color w:val="auto"/>
                <w:spacing w:val="10"/>
                <w:szCs w:val="24"/>
                <w:lang w:bidi="ar"/>
              </w:rPr>
              <w:t>，PM</w:t>
            </w:r>
            <w:r>
              <w:rPr>
                <w:rFonts w:hint="default" w:ascii="Times New Roman" w:hAnsi="Times New Roman" w:eastAsia="宋体" w:cs="Times New Roman"/>
                <w:color w:val="auto"/>
                <w:spacing w:val="10"/>
                <w:szCs w:val="24"/>
                <w:vertAlign w:val="subscript"/>
                <w:lang w:val="en-US" w:eastAsia="zh-CN" w:bidi="ar"/>
              </w:rPr>
              <w:t>10</w:t>
            </w:r>
            <w:r>
              <w:rPr>
                <w:rFonts w:hint="default" w:ascii="Times New Roman" w:hAnsi="Times New Roman" w:eastAsia="宋体" w:cs="Times New Roman"/>
                <w:color w:val="auto"/>
                <w:spacing w:val="10"/>
                <w:szCs w:val="24"/>
                <w:lang w:bidi="ar"/>
              </w:rPr>
              <w:t>年均浓度下降到</w:t>
            </w:r>
            <w:r>
              <w:rPr>
                <w:rFonts w:hint="default" w:ascii="Times New Roman" w:hAnsi="Times New Roman" w:eastAsia="宋体" w:cs="Times New Roman"/>
                <w:color w:val="auto"/>
                <w:spacing w:val="10"/>
                <w:szCs w:val="24"/>
                <w:lang w:val="en-US" w:eastAsia="zh-CN" w:bidi="ar"/>
              </w:rPr>
              <w:t>27.7</w:t>
            </w:r>
            <w:r>
              <w:rPr>
                <w:rFonts w:hint="default" w:ascii="Times New Roman" w:hAnsi="Times New Roman" w:eastAsia="宋体" w:cs="Times New Roman"/>
                <w:color w:val="auto"/>
                <w:spacing w:val="10"/>
                <w:szCs w:val="24"/>
                <w:lang w:bidi="ar"/>
              </w:rPr>
              <w:t>微克/立方米</w:t>
            </w:r>
            <w:r>
              <w:rPr>
                <w:rFonts w:hint="default" w:ascii="Times New Roman" w:hAnsi="Times New Roman" w:eastAsia="宋体" w:cs="Times New Roman"/>
                <w:color w:val="auto"/>
                <w:spacing w:val="10"/>
                <w:szCs w:val="24"/>
                <w:lang w:val="en-US" w:eastAsia="zh-CN" w:bidi="ar"/>
              </w:rPr>
              <w:t>以下，重污染天数基本消除。</w:t>
            </w:r>
          </w:p>
          <w:p>
            <w:pPr>
              <w:widowControl/>
              <w:spacing w:line="360" w:lineRule="auto"/>
              <w:ind w:firstLine="480" w:firstLineChars="200"/>
              <w:jc w:val="left"/>
              <w:rPr>
                <w:rFonts w:hint="default" w:ascii="Times New Roman" w:hAnsi="Times New Roman" w:cs="Times New Roman"/>
                <w:bCs/>
                <w:sz w:val="24"/>
                <w:lang w:bidi="ar"/>
              </w:rPr>
            </w:pPr>
            <w:r>
              <w:rPr>
                <w:rFonts w:hint="default" w:ascii="Times New Roman" w:hAnsi="Times New Roman" w:eastAsia="宋体" w:cs="Times New Roman"/>
                <w:bCs/>
                <w:color w:val="auto"/>
                <w:sz w:val="24"/>
                <w:lang w:bidi="ar"/>
              </w:rPr>
              <w:t>随着</w:t>
            </w:r>
            <w:r>
              <w:rPr>
                <w:rFonts w:hint="default" w:ascii="Times New Roman" w:hAnsi="Times New Roman" w:eastAsia="宋体" w:cs="Times New Roman"/>
                <w:bCs/>
                <w:color w:val="auto"/>
                <w:sz w:val="24"/>
                <w:lang w:val="en-US" w:eastAsia="zh-CN" w:bidi="ar"/>
              </w:rPr>
              <w:t>遂宁</w:t>
            </w:r>
            <w:r>
              <w:rPr>
                <w:rFonts w:hint="default" w:ascii="Times New Roman" w:hAnsi="Times New Roman" w:eastAsia="宋体" w:cs="Times New Roman"/>
                <w:bCs/>
                <w:color w:val="auto"/>
                <w:sz w:val="24"/>
                <w:lang w:bidi="ar"/>
              </w:rPr>
              <w:t>市废气污染治理专项整治的深入，区域内环境空气质量将得到进一步改善</w:t>
            </w:r>
            <w:r>
              <w:rPr>
                <w:rFonts w:hint="default" w:ascii="Times New Roman" w:hAnsi="Times New Roman" w:cs="Times New Roman"/>
                <w:bCs/>
                <w:sz w:val="24"/>
                <w:lang w:bidi="ar"/>
              </w:rPr>
              <w:t>。</w:t>
            </w:r>
          </w:p>
          <w:p>
            <w:pPr>
              <w:autoSpaceDE/>
              <w:autoSpaceDN/>
              <w:spacing w:line="360" w:lineRule="auto"/>
              <w:rPr>
                <w:rFonts w:hint="default" w:ascii="Times New Roman" w:hAnsi="Times New Roman" w:eastAsia="宋体" w:cs="Times New Roman"/>
                <w:b/>
                <w:bCs/>
                <w:color w:val="auto"/>
                <w:kern w:val="0"/>
                <w:sz w:val="24"/>
                <w:szCs w:val="21"/>
                <w:lang w:bidi="ar"/>
              </w:rPr>
            </w:pPr>
            <w:r>
              <w:rPr>
                <w:rFonts w:hint="default" w:ascii="Times New Roman" w:hAnsi="Times New Roman" w:eastAsia="宋体" w:cs="Times New Roman"/>
                <w:b/>
                <w:bCs/>
                <w:color w:val="auto"/>
                <w:kern w:val="0"/>
                <w:sz w:val="24"/>
                <w:szCs w:val="21"/>
                <w:lang w:bidi="ar"/>
              </w:rPr>
              <w:t>二、地表水环境质量现状调查与评价</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bookmarkStart w:id="8" w:name="_Hlk79487528"/>
            <w:r>
              <w:rPr>
                <w:rFonts w:hint="default" w:ascii="Times New Roman" w:hAnsi="Times New Roman" w:cs="Times New Roman"/>
                <w:color w:val="auto"/>
                <w:sz w:val="24"/>
                <w:lang w:bidi="ar"/>
              </w:rPr>
              <w:t>本项目</w:t>
            </w:r>
            <w:r>
              <w:rPr>
                <w:rFonts w:hint="default" w:ascii="Times New Roman" w:hAnsi="Times New Roman" w:cs="Times New Roman"/>
                <w:color w:val="auto"/>
                <w:sz w:val="24"/>
                <w:lang w:val="en-US" w:eastAsia="zh-CN" w:bidi="ar"/>
              </w:rPr>
              <w:t>所在区域地表水体为郪江，</w:t>
            </w:r>
            <w:r>
              <w:rPr>
                <w:rFonts w:hint="default" w:ascii="Times New Roman" w:hAnsi="Times New Roman" w:cs="Times New Roman"/>
                <w:color w:val="auto"/>
                <w:sz w:val="24"/>
                <w:lang w:bidi="ar"/>
              </w:rPr>
              <w:t>选取较近的</w:t>
            </w:r>
            <w:r>
              <w:rPr>
                <w:rFonts w:hint="default" w:ascii="Times New Roman" w:hAnsi="Times New Roman" w:cs="Times New Roman"/>
                <w:color w:val="auto"/>
                <w:sz w:val="24"/>
                <w:lang w:val="en-US" w:eastAsia="zh-CN" w:bidi="ar"/>
              </w:rPr>
              <w:t>郪江口控制断面</w:t>
            </w:r>
            <w:r>
              <w:rPr>
                <w:rFonts w:hint="default" w:ascii="Times New Roman" w:hAnsi="Times New Roman" w:cs="Times New Roman"/>
                <w:color w:val="auto"/>
                <w:sz w:val="24"/>
                <w:lang w:bidi="ar"/>
              </w:rPr>
              <w:t>监测断面作为参照，根据</w:t>
            </w:r>
            <w:r>
              <w:rPr>
                <w:rFonts w:hint="default" w:ascii="Times New Roman" w:hAnsi="Times New Roman" w:cs="Times New Roman"/>
                <w:color w:val="auto"/>
                <w:sz w:val="24"/>
                <w:lang w:val="en-US" w:eastAsia="zh-CN" w:bidi="ar"/>
              </w:rPr>
              <w:t>遂宁市生态环境局发布的《2022年遂宁市环境质量公告》</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val="en-US" w:eastAsia="zh-CN" w:bidi="ar"/>
              </w:rPr>
              <w:t>网址：</w:t>
            </w:r>
            <w:r>
              <w:rPr>
                <w:rFonts w:hint="default" w:ascii="Times New Roman" w:hAnsi="Times New Roman" w:eastAsia="宋体" w:cs="Times New Roman"/>
                <w:color w:val="auto"/>
                <w:sz w:val="24"/>
                <w:szCs w:val="24"/>
                <w:u w:val="single"/>
              </w:rPr>
              <w:fldChar w:fldCharType="begin"/>
            </w:r>
            <w:r>
              <w:rPr>
                <w:rFonts w:hint="default" w:ascii="Times New Roman" w:hAnsi="Times New Roman" w:eastAsia="宋体" w:cs="Times New Roman"/>
                <w:color w:val="auto"/>
                <w:sz w:val="24"/>
                <w:szCs w:val="24"/>
                <w:u w:val="single"/>
              </w:rPr>
              <w:instrText xml:space="preserve"> HYPERLINK "https://ssthjj.suining.gov.cn/hjzlgb/-/articles/43411922.shtml" </w:instrText>
            </w:r>
            <w:r>
              <w:rPr>
                <w:rFonts w:hint="default" w:ascii="Times New Roman" w:hAnsi="Times New Roman" w:eastAsia="宋体" w:cs="Times New Roman"/>
                <w:color w:val="auto"/>
                <w:sz w:val="24"/>
                <w:szCs w:val="24"/>
                <w:u w:val="single"/>
              </w:rPr>
              <w:fldChar w:fldCharType="separate"/>
            </w:r>
            <w:r>
              <w:rPr>
                <w:rStyle w:val="29"/>
                <w:rFonts w:hint="default" w:ascii="Times New Roman" w:hAnsi="Times New Roman" w:eastAsia="宋体" w:cs="Times New Roman"/>
                <w:color w:val="auto"/>
                <w:sz w:val="24"/>
                <w:szCs w:val="24"/>
                <w:u w:val="single"/>
              </w:rPr>
              <w:t xml:space="preserve">2022年遂宁市环境质量公告 - 环境质量公报 - 遂宁市生态环境局 </w:t>
            </w:r>
            <w:r>
              <w:rPr>
                <w:rStyle w:val="29"/>
                <w:rFonts w:hint="eastAsia" w:cs="Times New Roman"/>
                <w:color w:val="auto"/>
                <w:sz w:val="24"/>
                <w:szCs w:val="24"/>
                <w:u w:val="single"/>
                <w:lang w:eastAsia="zh-CN"/>
              </w:rPr>
              <w:t>（</w:t>
            </w:r>
            <w:r>
              <w:rPr>
                <w:rStyle w:val="29"/>
                <w:rFonts w:hint="default" w:ascii="Times New Roman" w:hAnsi="Times New Roman" w:eastAsia="宋体" w:cs="Times New Roman"/>
                <w:color w:val="auto"/>
                <w:sz w:val="24"/>
                <w:szCs w:val="24"/>
                <w:u w:val="single"/>
              </w:rPr>
              <w:t>suining.gov.cn</w:t>
            </w:r>
            <w:r>
              <w:rPr>
                <w:rStyle w:val="29"/>
                <w:rFonts w:hint="eastAsia" w:cs="Times New Roman"/>
                <w:color w:val="auto"/>
                <w:sz w:val="24"/>
                <w:szCs w:val="24"/>
                <w:u w:val="single"/>
                <w:lang w:eastAsia="zh-CN"/>
              </w:rPr>
              <w:t>）</w:t>
            </w:r>
            <w:r>
              <w:rPr>
                <w:rFonts w:hint="default" w:ascii="Times New Roman" w:hAnsi="Times New Roman" w:eastAsia="宋体" w:cs="Times New Roman"/>
                <w:color w:val="auto"/>
                <w:sz w:val="24"/>
                <w:szCs w:val="24"/>
                <w:u w:val="single"/>
              </w:rPr>
              <w:fldChar w:fldCharType="end"/>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val="en-US" w:eastAsia="zh-CN" w:bidi="ar"/>
              </w:rPr>
              <w:t>中</w:t>
            </w:r>
            <w:r>
              <w:rPr>
                <w:rFonts w:hint="default" w:ascii="Times New Roman" w:hAnsi="Times New Roman" w:cs="Times New Roman"/>
                <w:color w:val="auto"/>
                <w:sz w:val="24"/>
                <w:lang w:bidi="ar"/>
              </w:rPr>
              <w:t>，</w:t>
            </w:r>
            <w:r>
              <w:rPr>
                <w:rFonts w:hint="default" w:ascii="Times New Roman" w:hAnsi="Times New Roman" w:cs="Times New Roman"/>
                <w:color w:val="auto"/>
                <w:sz w:val="24"/>
                <w:lang w:val="en-US" w:eastAsia="zh-CN" w:bidi="ar"/>
              </w:rPr>
              <w:t>2022年遂宁市河流水质评价结果表，郪江口</w:t>
            </w:r>
            <w:r>
              <w:rPr>
                <w:rFonts w:hint="default" w:ascii="Times New Roman" w:hAnsi="Times New Roman" w:cs="Times New Roman"/>
                <w:color w:val="auto"/>
                <w:sz w:val="24"/>
                <w:lang w:bidi="ar"/>
              </w:rPr>
              <w:t>控制断面水质</w:t>
            </w:r>
            <w:r>
              <w:rPr>
                <w:rFonts w:hint="default" w:ascii="Times New Roman" w:hAnsi="Times New Roman" w:cs="Times New Roman"/>
                <w:color w:val="auto"/>
                <w:sz w:val="24"/>
                <w:lang w:val="en-US" w:eastAsia="zh-CN" w:bidi="ar"/>
              </w:rPr>
              <w:t>调查</w:t>
            </w:r>
            <w:bookmarkEnd w:id="8"/>
            <w:r>
              <w:rPr>
                <w:rFonts w:hint="default" w:ascii="Times New Roman" w:hAnsi="Times New Roman" w:cs="Times New Roman"/>
                <w:color w:val="auto"/>
                <w:kern w:val="0"/>
                <w:sz w:val="24"/>
              </w:rPr>
              <w:t>统计如下：</w:t>
            </w:r>
          </w:p>
          <w:p>
            <w:pPr>
              <w:pStyle w:val="2"/>
              <w:keepNext w:val="0"/>
              <w:keepLines w:val="0"/>
              <w:suppressLineNumbers w:val="0"/>
              <w:autoSpaceDE w:val="0"/>
              <w:autoSpaceDN w:val="0"/>
              <w:spacing w:beforeAutospacing="0" w:afterAutospacing="0" w:line="240" w:lineRule="auto"/>
              <w:ind w:left="0"/>
              <w:jc w:val="center"/>
              <w:rPr>
                <w:rFonts w:hint="default" w:ascii="Times New Roman" w:hAnsi="Times New Roman" w:cs="Times New Roman"/>
                <w:color w:val="auto"/>
                <w:sz w:val="21"/>
                <w:szCs w:val="21"/>
                <w:lang w:val="en-US"/>
              </w:rPr>
            </w:pPr>
            <w:r>
              <w:rPr>
                <w:rFonts w:hint="default" w:ascii="Times New Roman" w:hAnsi="Times New Roman" w:cs="Times New Roman"/>
                <w:b/>
                <w:color w:val="auto"/>
                <w:sz w:val="21"/>
                <w:szCs w:val="21"/>
              </w:rPr>
              <w:t>表3-</w:t>
            </w:r>
            <w:r>
              <w:rPr>
                <w:rFonts w:hint="eastAsia"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rPr>
              <w:t xml:space="preserve"> </w:t>
            </w:r>
            <w:r>
              <w:rPr>
                <w:rFonts w:hint="default" w:ascii="Times New Roman" w:hAnsi="Times New Roman" w:cs="Times New Roman"/>
                <w:b/>
                <w:color w:val="auto"/>
                <w:sz w:val="21"/>
                <w:szCs w:val="21"/>
                <w:lang w:val="en-US" w:eastAsia="zh-CN"/>
              </w:rPr>
              <w:t xml:space="preserve"> 2022年遂宁市河流水质评价结果表</w:t>
            </w:r>
          </w:p>
          <w:tbl>
            <w:tblPr>
              <w:tblStyle w:val="25"/>
              <w:tblW w:w="85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906"/>
              <w:gridCol w:w="1105"/>
              <w:gridCol w:w="1419"/>
              <w:gridCol w:w="1330"/>
              <w:gridCol w:w="1126"/>
              <w:gridCol w:w="13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279"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断面名称</w:t>
                  </w:r>
                </w:p>
              </w:tc>
              <w:tc>
                <w:tcPr>
                  <w:tcW w:w="906"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所在地</w:t>
                  </w:r>
                </w:p>
              </w:tc>
              <w:tc>
                <w:tcPr>
                  <w:tcW w:w="1105"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规定类别</w:t>
                  </w:r>
                </w:p>
              </w:tc>
              <w:tc>
                <w:tcPr>
                  <w:tcW w:w="1419"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2021年度类别</w:t>
                  </w:r>
                </w:p>
              </w:tc>
              <w:tc>
                <w:tcPr>
                  <w:tcW w:w="1330"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2022年度类别</w:t>
                  </w:r>
                </w:p>
              </w:tc>
              <w:tc>
                <w:tcPr>
                  <w:tcW w:w="1126"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是否达标</w:t>
                  </w:r>
                </w:p>
              </w:tc>
              <w:tc>
                <w:tcPr>
                  <w:tcW w:w="1371"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主要污染指标/超标倍数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79"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郪江口</w:t>
                  </w:r>
                </w:p>
              </w:tc>
              <w:tc>
                <w:tcPr>
                  <w:tcW w:w="906"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大英县</w:t>
                  </w:r>
                </w:p>
              </w:tc>
              <w:tc>
                <w:tcPr>
                  <w:tcW w:w="1105"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Ⅲ</w:t>
                  </w:r>
                </w:p>
              </w:tc>
              <w:tc>
                <w:tcPr>
                  <w:tcW w:w="1419"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Ⅲ</w:t>
                  </w:r>
                </w:p>
              </w:tc>
              <w:tc>
                <w:tcPr>
                  <w:tcW w:w="1330"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Ⅲ</w:t>
                  </w:r>
                </w:p>
              </w:tc>
              <w:tc>
                <w:tcPr>
                  <w:tcW w:w="1126"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达标</w:t>
                  </w:r>
                </w:p>
              </w:tc>
              <w:tc>
                <w:tcPr>
                  <w:tcW w:w="1371" w:type="dxa"/>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lang w:eastAsia="zh-CN" w:bidi="ar"/>
              </w:rPr>
            </w:pPr>
            <w:r>
              <w:rPr>
                <w:rFonts w:hint="default" w:ascii="Times New Roman" w:hAnsi="Times New Roman" w:eastAsia="宋体" w:cs="Times New Roman"/>
                <w:color w:val="auto"/>
                <w:sz w:val="21"/>
                <w:szCs w:val="21"/>
                <w:lang w:val="en-US" w:eastAsia="zh-CN" w:bidi="ar"/>
              </w:rPr>
              <w:t>注：</w:t>
            </w:r>
            <w:r>
              <w:rPr>
                <w:rFonts w:hint="default" w:ascii="Times New Roman" w:hAnsi="Times New Roman" w:eastAsia="宋体" w:cs="Times New Roman"/>
                <w:color w:val="auto"/>
                <w:sz w:val="21"/>
                <w:szCs w:val="21"/>
                <w:lang w:val="en-US" w:eastAsia="zh-CN" w:bidi="ar"/>
              </w:rPr>
              <w:fldChar w:fldCharType="begin"/>
            </w:r>
            <w:r>
              <w:rPr>
                <w:rFonts w:hint="default" w:ascii="Times New Roman" w:hAnsi="Times New Roman" w:eastAsia="宋体" w:cs="Times New Roman"/>
                <w:color w:val="auto"/>
                <w:sz w:val="21"/>
                <w:szCs w:val="21"/>
                <w:lang w:val="en-US" w:eastAsia="zh-CN" w:bidi="ar"/>
              </w:rPr>
              <w:instrText xml:space="preserve"> = 1 \* GB3 \* MERGEFORMAT </w:instrText>
            </w:r>
            <w:r>
              <w:rPr>
                <w:rFonts w:hint="default" w:ascii="Times New Roman" w:hAnsi="Times New Roman" w:eastAsia="宋体" w:cs="Times New Roman"/>
                <w:color w:val="auto"/>
                <w:sz w:val="21"/>
                <w:szCs w:val="21"/>
                <w:lang w:val="en-US" w:eastAsia="zh-CN" w:bidi="ar"/>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lang w:val="en-US" w:eastAsia="zh-CN" w:bidi="ar"/>
              </w:rPr>
              <w:fldChar w:fldCharType="end"/>
            </w:r>
            <w:r>
              <w:rPr>
                <w:rFonts w:hint="default" w:ascii="Times New Roman" w:hAnsi="Times New Roman" w:eastAsia="宋体" w:cs="Times New Roman"/>
                <w:color w:val="auto"/>
                <w:sz w:val="21"/>
                <w:szCs w:val="21"/>
                <w:lang w:val="en-US" w:eastAsia="zh-CN" w:bidi="ar"/>
              </w:rPr>
              <w:t>郪江水域功能类别执行《地表水环境质量标准》（GB3838-2002）中的</w:t>
            </w:r>
            <w:r>
              <w:rPr>
                <w:rFonts w:hint="default" w:ascii="Times New Roman" w:hAnsi="Times New Roman" w:eastAsia="宋体" w:cs="Times New Roman"/>
                <w:color w:val="auto"/>
                <w:sz w:val="21"/>
                <w:szCs w:val="21"/>
                <w:lang w:bidi="ar"/>
              </w:rPr>
              <w:t>Ⅲ类水质标准</w:t>
            </w:r>
            <w:r>
              <w:rPr>
                <w:rFonts w:hint="default" w:ascii="Times New Roman" w:hAnsi="Times New Roman" w:eastAsia="宋体" w:cs="Times New Roman"/>
                <w:color w:val="auto"/>
                <w:sz w:val="21"/>
                <w:szCs w:val="21"/>
                <w:lang w:eastAsia="zh-CN" w:bidi="ar"/>
              </w:rPr>
              <w:t>。</w:t>
            </w:r>
          </w:p>
          <w:p>
            <w:pPr>
              <w:pStyle w:val="13"/>
              <w:keepNext w:val="0"/>
              <w:keepLines w:val="0"/>
              <w:pageBreakBefore w:val="0"/>
              <w:widowControl w:val="0"/>
              <w:kinsoku/>
              <w:wordWrap/>
              <w:overflowPunct/>
              <w:topLinePunct w:val="0"/>
              <w:autoSpaceDE/>
              <w:autoSpaceDN/>
              <w:bidi w:val="0"/>
              <w:spacing w:after="0" w:line="240" w:lineRule="auto"/>
              <w:ind w:left="0" w:lef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2 \* GB3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b w:val="0"/>
                <w:bCs w:val="0"/>
                <w:color w:val="auto"/>
                <w:spacing w:val="-6"/>
                <w:sz w:val="21"/>
                <w:szCs w:val="21"/>
                <w:vertAlign w:val="baseline"/>
              </w:rPr>
              <w:t>超过Ⅲ类水质标准的指标为断面污染指标</w:t>
            </w:r>
            <w:r>
              <w:rPr>
                <w:rFonts w:hint="default" w:ascii="Times New Roman" w:hAnsi="Times New Roman" w:eastAsia="宋体" w:cs="Times New Roman"/>
                <w:b w:val="0"/>
                <w:bCs w:val="0"/>
                <w:color w:val="auto"/>
                <w:spacing w:val="-6"/>
                <w:sz w:val="21"/>
                <w:szCs w:val="21"/>
                <w:vertAlign w:val="baseline"/>
                <w:lang w:eastAsia="zh-CN"/>
              </w:rPr>
              <w:t>，</w:t>
            </w:r>
            <w:r>
              <w:rPr>
                <w:rFonts w:hint="default" w:ascii="Times New Roman" w:hAnsi="Times New Roman" w:eastAsia="宋体" w:cs="Times New Roman"/>
                <w:b w:val="0"/>
                <w:bCs w:val="0"/>
                <w:color w:val="auto"/>
                <w:spacing w:val="-6"/>
                <w:sz w:val="21"/>
                <w:szCs w:val="21"/>
                <w:vertAlign w:val="baseline"/>
              </w:rPr>
              <w:t>取超标倍数最大的前三项为主要污染指标。</w:t>
            </w:r>
          </w:p>
          <w:p>
            <w:pPr>
              <w:widowControl/>
              <w:spacing w:line="360" w:lineRule="auto"/>
              <w:ind w:firstLine="480" w:firstLineChars="200"/>
              <w:jc w:val="left"/>
              <w:rPr>
                <w:rFonts w:hint="default" w:ascii="Times New Roman" w:hAnsi="Times New Roman" w:eastAsia="宋体" w:cs="Times New Roman"/>
                <w:bCs/>
                <w:sz w:val="24"/>
                <w:lang w:eastAsia="zh-CN" w:bidi="ar"/>
              </w:rPr>
            </w:pPr>
            <w:r>
              <w:rPr>
                <w:rFonts w:hint="default" w:ascii="Times New Roman" w:hAnsi="Times New Roman" w:cs="Times New Roman"/>
                <w:color w:val="auto"/>
                <w:sz w:val="24"/>
                <w:lang w:bidi="ar"/>
              </w:rPr>
              <w:t>监测结果表明：</w:t>
            </w:r>
            <w:r>
              <w:rPr>
                <w:rFonts w:hint="default" w:ascii="Times New Roman" w:hAnsi="Times New Roman" w:cs="Times New Roman"/>
                <w:color w:val="auto"/>
                <w:sz w:val="24"/>
                <w:lang w:val="en-US" w:eastAsia="zh-CN" w:bidi="ar"/>
              </w:rPr>
              <w:t>郪江口</w:t>
            </w:r>
            <w:r>
              <w:rPr>
                <w:rFonts w:hint="default" w:ascii="Times New Roman" w:hAnsi="Times New Roman" w:cs="Times New Roman"/>
                <w:color w:val="auto"/>
                <w:sz w:val="24"/>
                <w:lang w:eastAsia="zh-CN" w:bidi="ar"/>
              </w:rPr>
              <w:t>控制断面</w:t>
            </w:r>
            <w:r>
              <w:rPr>
                <w:rFonts w:hint="default" w:ascii="Times New Roman" w:hAnsi="Times New Roman" w:cs="Times New Roman"/>
                <w:color w:val="auto"/>
                <w:sz w:val="24"/>
                <w:lang w:bidi="ar"/>
              </w:rPr>
              <w:t>监测断面满足《地表水环境质量标准》（GB3838-2002）Ⅲ类水质标准</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val="en-US" w:eastAsia="zh-CN" w:bidi="ar"/>
              </w:rPr>
              <w:t>故项目所在区域地表水环境质量较好</w:t>
            </w:r>
            <w:r>
              <w:rPr>
                <w:rFonts w:hint="default" w:ascii="Times New Roman" w:hAnsi="Times New Roman" w:cs="Times New Roman"/>
                <w:bCs/>
                <w:sz w:val="24"/>
                <w:lang w:eastAsia="zh-CN" w:bidi="ar"/>
              </w:rPr>
              <w:t>。</w:t>
            </w:r>
          </w:p>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三、项目周围声环境质量</w:t>
            </w:r>
          </w:p>
          <w:p>
            <w:pPr>
              <w:tabs>
                <w:tab w:val="left" w:pos="1260"/>
              </w:tabs>
              <w:adjustRightInd w:val="0"/>
              <w:spacing w:line="360" w:lineRule="auto"/>
              <w:ind w:firstLine="480" w:firstLineChars="200"/>
              <w:rPr>
                <w:rFonts w:hint="default" w:ascii="Times New Roman" w:hAnsi="Times New Roman" w:cs="Times New Roman"/>
                <w:b/>
                <w:sz w:val="24"/>
              </w:rPr>
            </w:pPr>
            <w:r>
              <w:rPr>
                <w:rFonts w:hint="default" w:ascii="Times New Roman" w:hAnsi="Times New Roman" w:cs="Times New Roman"/>
                <w:sz w:val="24"/>
              </w:rPr>
              <w:t>本项目厂界外周边</w:t>
            </w:r>
            <w:r>
              <w:rPr>
                <w:rFonts w:hint="default" w:ascii="Times New Roman" w:hAnsi="Times New Roman" w:eastAsia="Times New Roman" w:cs="Times New Roman"/>
                <w:sz w:val="24"/>
              </w:rPr>
              <w:t>50m</w:t>
            </w:r>
            <w:r>
              <w:rPr>
                <w:rFonts w:hint="default" w:ascii="Times New Roman" w:hAnsi="Times New Roman" w:cs="Times New Roman"/>
                <w:sz w:val="24"/>
              </w:rPr>
              <w:t>范围内不存在声环境保护目标，因此，无需进行声环境质量现状监测。</w:t>
            </w:r>
          </w:p>
          <w:p>
            <w:pPr>
              <w:tabs>
                <w:tab w:val="left" w:pos="1260"/>
              </w:tabs>
              <w:adjustRightIn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四、生态环境质量现状</w:t>
            </w:r>
          </w:p>
          <w:p>
            <w:pPr>
              <w:adjustRightInd w:val="0"/>
              <w:snapToGrid w:val="0"/>
              <w:spacing w:line="360" w:lineRule="auto"/>
              <w:ind w:firstLine="480" w:firstLineChars="200"/>
              <w:rPr>
                <w:rFonts w:hint="default" w:ascii="Times New Roman" w:hAnsi="Times New Roman" w:cs="Times New Roman"/>
                <w:kern w:val="0"/>
                <w:szCs w:val="21"/>
              </w:rPr>
            </w:pPr>
            <w:r>
              <w:rPr>
                <w:rFonts w:hint="default" w:ascii="Times New Roman" w:hAnsi="Times New Roman" w:cs="Times New Roman"/>
                <w:sz w:val="24"/>
                <w:szCs w:val="22"/>
              </w:rPr>
              <w:t>项目所在区域主要以工业企业为主，无重点保护的古树名木。项目区地表及其附近水土流失程度较轻，评价区内生态环境良好。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398" w:type="dxa"/>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环境</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保护</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目标</w:t>
            </w:r>
          </w:p>
        </w:tc>
        <w:tc>
          <w:tcPr>
            <w:tcW w:w="8663" w:type="dxa"/>
            <w:vAlign w:val="center"/>
          </w:tcPr>
          <w:p>
            <w:pPr>
              <w:pStyle w:val="79"/>
              <w:adjustRightInd/>
              <w:spacing w:line="360" w:lineRule="auto"/>
              <w:ind w:firstLine="482"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1、大气环境保护目标</w:t>
            </w:r>
          </w:p>
          <w:p>
            <w:pPr>
              <w:pStyle w:val="79"/>
              <w:adjustRightInd/>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 w:val="0"/>
                <w:sz w:val="24"/>
                <w:szCs w:val="24"/>
              </w:rPr>
              <w:t>本项目位于</w:t>
            </w:r>
            <w:r>
              <w:rPr>
                <w:rFonts w:hint="default" w:ascii="Times New Roman" w:hAnsi="Times New Roman" w:eastAsia="宋体" w:cs="Times New Roman"/>
                <w:b w:val="0"/>
                <w:sz w:val="24"/>
                <w:szCs w:val="24"/>
                <w:lang w:eastAsia="zh-CN"/>
              </w:rPr>
              <w:t>四川省遂宁市大英县隆盛镇席家沟村</w:t>
            </w:r>
            <w:r>
              <w:rPr>
                <w:rFonts w:hint="default" w:ascii="Times New Roman" w:hAnsi="Times New Roman" w:eastAsia="宋体" w:cs="Times New Roman"/>
                <w:b w:val="0"/>
                <w:sz w:val="24"/>
                <w:szCs w:val="24"/>
              </w:rPr>
              <w:t>，属于大英县工业集中发展区，项目周边主要为工业企业及待建工业用地等，无自然保护区、风景名胜区、居住区和农村地区人群较集中区域。</w:t>
            </w:r>
          </w:p>
          <w:p>
            <w:pPr>
              <w:pStyle w:val="79"/>
              <w:adjustRightInd/>
              <w:spacing w:line="360" w:lineRule="auto"/>
              <w:ind w:firstLine="482"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2、声环境保护目标</w:t>
            </w:r>
          </w:p>
          <w:p>
            <w:pPr>
              <w:pStyle w:val="79"/>
              <w:adjustRightInd/>
              <w:spacing w:line="360" w:lineRule="auto"/>
              <w:ind w:firstLine="480" w:firstLineChars="200"/>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项目厂界外50m范围内无医院、学校、住宅、自然保护区等声环境保护目标，主要环境保护目标见下表。</w:t>
            </w:r>
          </w:p>
          <w:p>
            <w:pPr>
              <w:pStyle w:val="79"/>
              <w:snapToGrid w:val="0"/>
              <w:spacing w:line="360" w:lineRule="auto"/>
              <w:ind w:firstLine="482"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3、地下水环境保护目标</w:t>
            </w:r>
          </w:p>
          <w:p>
            <w:pPr>
              <w:spacing w:line="360" w:lineRule="auto"/>
              <w:ind w:firstLine="480" w:firstLineChars="200"/>
              <w:jc w:val="left"/>
              <w:rPr>
                <w:rFonts w:hint="default" w:ascii="Times New Roman" w:hAnsi="Times New Roman" w:cs="Times New Roman"/>
                <w:b/>
              </w:rPr>
            </w:pPr>
            <w:r>
              <w:rPr>
                <w:rFonts w:hint="default" w:ascii="Times New Roman" w:hAnsi="Times New Roman" w:cs="Times New Roman"/>
                <w:sz w:val="24"/>
              </w:rPr>
              <w:t>项目厂界外500m范围内无地下水集中式饮用水水源和热水、矿泉水、温泉等特殊地下水资源，不涉及地下水环境保护目标。</w:t>
            </w:r>
          </w:p>
          <w:p>
            <w:pPr>
              <w:spacing w:line="360" w:lineRule="auto"/>
              <w:jc w:val="center"/>
              <w:rPr>
                <w:rFonts w:hint="default" w:ascii="Times New Roman" w:hAnsi="Times New Roman" w:cs="Times New Roman"/>
                <w:b/>
              </w:rPr>
            </w:pPr>
            <w:r>
              <w:rPr>
                <w:rFonts w:hint="default" w:ascii="Times New Roman" w:hAnsi="Times New Roman" w:cs="Times New Roman"/>
                <w:b/>
              </w:rPr>
              <w:t>表3-</w:t>
            </w:r>
            <w:r>
              <w:rPr>
                <w:rFonts w:hint="eastAsia" w:ascii="Times New Roman" w:hAnsi="Times New Roman" w:cs="Times New Roman"/>
                <w:b/>
                <w:lang w:val="en-US" w:eastAsia="zh-CN"/>
              </w:rPr>
              <w:t>5</w:t>
            </w:r>
            <w:r>
              <w:rPr>
                <w:rFonts w:hint="default" w:ascii="Times New Roman" w:hAnsi="Times New Roman" w:cs="Times New Roman"/>
                <w:b/>
              </w:rPr>
              <w:t>本项目主要外环境保护目标</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72"/>
              <w:gridCol w:w="1352"/>
              <w:gridCol w:w="1352"/>
              <w:gridCol w:w="1204"/>
              <w:gridCol w:w="32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64" w:hRule="atLeast"/>
                <w:jc w:val="center"/>
              </w:trPr>
              <w:tc>
                <w:tcPr>
                  <w:tcW w:w="1282" w:type="dxa"/>
                  <w:tcMar>
                    <w:left w:w="28" w:type="dxa"/>
                    <w:right w:w="28" w:type="dxa"/>
                  </w:tcMar>
                  <w:vAlign w:val="center"/>
                </w:tcPr>
                <w:p>
                  <w:pPr>
                    <w:pStyle w:val="83"/>
                    <w:rPr>
                      <w:rFonts w:hint="default" w:ascii="Times New Roman" w:hAnsi="Times New Roman" w:cs="Times New Roman"/>
                      <w:szCs w:val="21"/>
                    </w:rPr>
                  </w:pPr>
                  <w:r>
                    <w:rPr>
                      <w:rFonts w:hint="default" w:ascii="Times New Roman" w:hAnsi="Times New Roman" w:cs="Times New Roman"/>
                      <w:szCs w:val="21"/>
                    </w:rPr>
                    <w:t>环境类别</w:t>
                  </w:r>
                </w:p>
              </w:tc>
              <w:tc>
                <w:tcPr>
                  <w:tcW w:w="1363" w:type="dxa"/>
                  <w:tcMar>
                    <w:left w:w="28" w:type="dxa"/>
                    <w:right w:w="28" w:type="dxa"/>
                  </w:tcMar>
                  <w:vAlign w:val="center"/>
                </w:tcPr>
                <w:p>
                  <w:pPr>
                    <w:pStyle w:val="83"/>
                    <w:rPr>
                      <w:rFonts w:hint="default" w:ascii="Times New Roman" w:hAnsi="Times New Roman" w:cs="Times New Roman"/>
                      <w:szCs w:val="21"/>
                    </w:rPr>
                  </w:pPr>
                  <w:r>
                    <w:rPr>
                      <w:rFonts w:hint="default" w:ascii="Times New Roman" w:hAnsi="Times New Roman" w:cs="Times New Roman"/>
                      <w:szCs w:val="21"/>
                    </w:rPr>
                    <w:t>环境保护目标</w:t>
                  </w:r>
                </w:p>
              </w:tc>
              <w:tc>
                <w:tcPr>
                  <w:tcW w:w="1362" w:type="dxa"/>
                  <w:tcMar>
                    <w:left w:w="28" w:type="dxa"/>
                    <w:right w:w="28" w:type="dxa"/>
                  </w:tcMar>
                  <w:vAlign w:val="center"/>
                </w:tcPr>
                <w:p>
                  <w:pPr>
                    <w:pStyle w:val="83"/>
                    <w:rPr>
                      <w:rFonts w:hint="default" w:ascii="Times New Roman" w:hAnsi="Times New Roman" w:cs="Times New Roman"/>
                      <w:szCs w:val="21"/>
                    </w:rPr>
                  </w:pPr>
                  <w:r>
                    <w:rPr>
                      <w:rFonts w:hint="default" w:ascii="Times New Roman" w:hAnsi="Times New Roman" w:cs="Times New Roman"/>
                      <w:szCs w:val="21"/>
                    </w:rPr>
                    <w:t>方位距离</w:t>
                  </w:r>
                </w:p>
              </w:tc>
              <w:tc>
                <w:tcPr>
                  <w:tcW w:w="1212" w:type="dxa"/>
                  <w:tcMar>
                    <w:left w:w="28" w:type="dxa"/>
                    <w:right w:w="28" w:type="dxa"/>
                  </w:tcMar>
                  <w:vAlign w:val="center"/>
                </w:tcPr>
                <w:p>
                  <w:pPr>
                    <w:pStyle w:val="83"/>
                    <w:rPr>
                      <w:rFonts w:hint="default" w:ascii="Times New Roman" w:hAnsi="Times New Roman" w:cs="Times New Roman"/>
                      <w:szCs w:val="21"/>
                    </w:rPr>
                  </w:pPr>
                  <w:r>
                    <w:rPr>
                      <w:rFonts w:hint="default" w:ascii="Times New Roman" w:hAnsi="Times New Roman" w:cs="Times New Roman"/>
                      <w:szCs w:val="21"/>
                    </w:rPr>
                    <w:t>性质</w:t>
                  </w:r>
                </w:p>
              </w:tc>
              <w:tc>
                <w:tcPr>
                  <w:tcW w:w="3228" w:type="dxa"/>
                  <w:tcMar>
                    <w:left w:w="28" w:type="dxa"/>
                    <w:right w:w="28" w:type="dxa"/>
                  </w:tcMar>
                  <w:vAlign w:val="center"/>
                </w:tcPr>
                <w:p>
                  <w:pPr>
                    <w:pStyle w:val="83"/>
                    <w:rPr>
                      <w:rFonts w:hint="default" w:ascii="Times New Roman" w:hAnsi="Times New Roman" w:cs="Times New Roman"/>
                      <w:szCs w:val="21"/>
                    </w:rPr>
                  </w:pPr>
                  <w:r>
                    <w:rPr>
                      <w:rFonts w:hint="default" w:ascii="Times New Roman" w:hAnsi="Times New Roman" w:cs="Times New Roman"/>
                      <w:szCs w:val="21"/>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34" w:hRule="atLeast"/>
                <w:jc w:val="center"/>
              </w:trPr>
              <w:tc>
                <w:tcPr>
                  <w:tcW w:w="1282" w:type="dxa"/>
                  <w:vMerge w:val="restart"/>
                  <w:tcMar>
                    <w:left w:w="28" w:type="dxa"/>
                    <w:right w:w="28" w:type="dxa"/>
                  </w:tcMar>
                  <w:vAlign w:val="center"/>
                </w:tcPr>
                <w:p>
                  <w:pPr>
                    <w:pStyle w:val="83"/>
                    <w:rPr>
                      <w:rFonts w:hint="default" w:ascii="Times New Roman" w:hAnsi="Times New Roman" w:cs="Times New Roman"/>
                      <w:szCs w:val="21"/>
                    </w:rPr>
                  </w:pPr>
                  <w:r>
                    <w:rPr>
                      <w:rFonts w:hint="default" w:ascii="Times New Roman" w:hAnsi="Times New Roman" w:cs="Times New Roman"/>
                      <w:szCs w:val="21"/>
                    </w:rPr>
                    <w:t>大气环境</w:t>
                  </w:r>
                </w:p>
              </w:tc>
              <w:tc>
                <w:tcPr>
                  <w:tcW w:w="1363" w:type="dxa"/>
                  <w:tcBorders>
                    <w:bottom w:val="single" w:color="auto" w:sz="4" w:space="0"/>
                  </w:tcBorders>
                  <w:tcMar>
                    <w:left w:w="28" w:type="dxa"/>
                    <w:right w:w="28"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362" w:type="dxa"/>
                  <w:tcBorders>
                    <w:bottom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212" w:type="dxa"/>
                  <w:tcBorders>
                    <w:bottom w:val="single" w:color="auto" w:sz="4" w:space="0"/>
                  </w:tcBorders>
                  <w:tcMar>
                    <w:left w:w="28" w:type="dxa"/>
                    <w:right w:w="28"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228" w:type="dxa"/>
                  <w:vMerge w:val="restart"/>
                  <w:tcMar>
                    <w:left w:w="28" w:type="dxa"/>
                    <w:right w:w="28" w:type="dxa"/>
                  </w:tcMar>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《环境空气质量标准》</w:t>
                  </w:r>
                  <w:r>
                    <w:rPr>
                      <w:rFonts w:hint="eastAsia" w:cs="Times New Roman"/>
                      <w:szCs w:val="21"/>
                      <w:lang w:eastAsia="zh-CN"/>
                    </w:rPr>
                    <w:t>（</w:t>
                  </w:r>
                  <w:r>
                    <w:rPr>
                      <w:rFonts w:hint="default" w:ascii="Times New Roman" w:hAnsi="Times New Roman" w:cs="Times New Roman"/>
                      <w:szCs w:val="21"/>
                    </w:rPr>
                    <w:t>GB3095-2012</w:t>
                  </w:r>
                  <w:r>
                    <w:rPr>
                      <w:rFonts w:hint="eastAsia" w:cs="Times New Roman"/>
                      <w:szCs w:val="21"/>
                      <w:lang w:eastAsia="zh-CN"/>
                    </w:rPr>
                    <w:t>）</w:t>
                  </w:r>
                  <w:r>
                    <w:rPr>
                      <w:rFonts w:hint="default" w:ascii="Times New Roman" w:hAnsi="Times New Roman" w:cs="Times New Roman"/>
                      <w:szCs w:val="21"/>
                    </w:rPr>
                    <w:t>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282" w:type="dxa"/>
                  <w:vMerge w:val="continue"/>
                  <w:tcBorders>
                    <w:bottom w:val="single" w:color="auto" w:sz="4" w:space="0"/>
                  </w:tcBorders>
                  <w:tcMar>
                    <w:left w:w="28" w:type="dxa"/>
                    <w:right w:w="28" w:type="dxa"/>
                  </w:tcMar>
                  <w:vAlign w:val="center"/>
                </w:tcPr>
                <w:p>
                  <w:pPr>
                    <w:pStyle w:val="83"/>
                    <w:rPr>
                      <w:rFonts w:hint="default" w:ascii="Times New Roman" w:hAnsi="Times New Roman" w:cs="Times New Roman"/>
                      <w:szCs w:val="21"/>
                    </w:rPr>
                  </w:pPr>
                </w:p>
              </w:tc>
              <w:tc>
                <w:tcPr>
                  <w:tcW w:w="1363" w:type="dxa"/>
                  <w:tcBorders>
                    <w:top w:val="single" w:color="auto" w:sz="4" w:space="0"/>
                    <w:bottom w:val="single" w:color="auto" w:sz="4" w:space="0"/>
                  </w:tcBorders>
                  <w:tcMar>
                    <w:left w:w="28" w:type="dxa"/>
                    <w:right w:w="28"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362" w:type="dxa"/>
                  <w:tcBorders>
                    <w:top w:val="single" w:color="auto" w:sz="4" w:space="0"/>
                    <w:bottom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212" w:type="dxa"/>
                  <w:tcBorders>
                    <w:top w:val="single" w:color="auto" w:sz="4" w:space="0"/>
                    <w:bottom w:val="single" w:color="auto" w:sz="4" w:space="0"/>
                  </w:tcBorders>
                  <w:tcMar>
                    <w:left w:w="28" w:type="dxa"/>
                    <w:right w:w="28"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228" w:type="dxa"/>
                  <w:vMerge w:val="continue"/>
                  <w:tcBorders>
                    <w:bottom w:val="single" w:color="auto" w:sz="4" w:space="0"/>
                  </w:tcBorders>
                  <w:tcMar>
                    <w:left w:w="28" w:type="dxa"/>
                    <w:right w:w="28" w:type="dxa"/>
                  </w:tcMar>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7" w:hRule="atLeast"/>
                <w:jc w:val="center"/>
              </w:trPr>
              <w:tc>
                <w:tcPr>
                  <w:tcW w:w="1282" w:type="dxa"/>
                  <w:tcBorders>
                    <w:top w:val="single" w:color="auto" w:sz="4" w:space="0"/>
                  </w:tcBorders>
                  <w:tcMar>
                    <w:left w:w="28" w:type="dxa"/>
                    <w:right w:w="28" w:type="dxa"/>
                  </w:tcMar>
                  <w:vAlign w:val="center"/>
                </w:tcPr>
                <w:p>
                  <w:pPr>
                    <w:pStyle w:val="83"/>
                    <w:rPr>
                      <w:rFonts w:hint="default" w:ascii="Times New Roman" w:hAnsi="Times New Roman" w:cs="Times New Roman"/>
                      <w:szCs w:val="21"/>
                    </w:rPr>
                  </w:pPr>
                  <w:r>
                    <w:rPr>
                      <w:rFonts w:hint="default" w:ascii="Times New Roman" w:hAnsi="Times New Roman" w:cs="Times New Roman"/>
                      <w:szCs w:val="21"/>
                    </w:rPr>
                    <w:t>声环境</w:t>
                  </w:r>
                </w:p>
              </w:tc>
              <w:tc>
                <w:tcPr>
                  <w:tcW w:w="3937" w:type="dxa"/>
                  <w:gridSpan w:val="3"/>
                  <w:tcBorders>
                    <w:top w:val="single" w:color="auto" w:sz="4" w:space="0"/>
                  </w:tcBorders>
                  <w:tcMar>
                    <w:left w:w="28" w:type="dxa"/>
                    <w:right w:w="28" w:type="dxa"/>
                  </w:tcMar>
                  <w:vAlign w:val="center"/>
                </w:tcPr>
                <w:p>
                  <w:pPr>
                    <w:pStyle w:val="83"/>
                    <w:rPr>
                      <w:rFonts w:hint="default" w:ascii="Times New Roman" w:hAnsi="Times New Roman" w:cs="Times New Roman"/>
                      <w:szCs w:val="21"/>
                    </w:rPr>
                  </w:pPr>
                  <w:r>
                    <w:rPr>
                      <w:rFonts w:hint="default" w:ascii="Times New Roman" w:hAnsi="Times New Roman" w:cs="Times New Roman"/>
                      <w:szCs w:val="21"/>
                    </w:rPr>
                    <w:t>项目所在区域周边 50m 范围无声环境敏感点</w:t>
                  </w:r>
                </w:p>
              </w:tc>
              <w:tc>
                <w:tcPr>
                  <w:tcW w:w="3228" w:type="dxa"/>
                  <w:tcBorders>
                    <w:top w:val="single" w:color="auto" w:sz="4" w:space="0"/>
                  </w:tcBorders>
                  <w:tcMar>
                    <w:left w:w="28" w:type="dxa"/>
                    <w:right w:w="28" w:type="dxa"/>
                  </w:tcMar>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cs="Times New Roman"/>
                      <w:spacing w:val="4"/>
                      <w:szCs w:val="21"/>
                    </w:rPr>
                  </w:pPr>
                  <w:r>
                    <w:rPr>
                      <w:rFonts w:hint="default" w:ascii="Times New Roman" w:hAnsi="Times New Roman" w:cs="Times New Roman"/>
                      <w:spacing w:val="4"/>
                      <w:szCs w:val="21"/>
                    </w:rPr>
                    <w:t>《声环境质量标准》（GB3096-2008）3类标准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3" w:hRule="atLeast"/>
                <w:jc w:val="center"/>
              </w:trPr>
              <w:tc>
                <w:tcPr>
                  <w:tcW w:w="1282" w:type="dxa"/>
                  <w:tcMar>
                    <w:left w:w="28" w:type="dxa"/>
                    <w:right w:w="28" w:type="dxa"/>
                  </w:tcMar>
                  <w:vAlign w:val="center"/>
                </w:tcPr>
                <w:p>
                  <w:pPr>
                    <w:pStyle w:val="83"/>
                    <w:rPr>
                      <w:rFonts w:hint="default" w:ascii="Times New Roman" w:hAnsi="Times New Roman" w:cs="Times New Roman"/>
                      <w:szCs w:val="21"/>
                    </w:rPr>
                  </w:pPr>
                  <w:r>
                    <w:rPr>
                      <w:rFonts w:hint="default" w:ascii="Times New Roman" w:hAnsi="Times New Roman" w:cs="Times New Roman"/>
                      <w:szCs w:val="21"/>
                    </w:rPr>
                    <w:t>地表水环境</w:t>
                  </w:r>
                </w:p>
              </w:tc>
              <w:tc>
                <w:tcPr>
                  <w:tcW w:w="1363" w:type="dxa"/>
                  <w:tcMar>
                    <w:left w:w="28" w:type="dxa"/>
                    <w:right w:w="28" w:type="dxa"/>
                  </w:tcMar>
                  <w:vAlign w:val="center"/>
                </w:tcPr>
                <w:p>
                  <w:pPr>
                    <w:pStyle w:val="83"/>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郪江</w:t>
                  </w:r>
                </w:p>
              </w:tc>
              <w:tc>
                <w:tcPr>
                  <w:tcW w:w="1362" w:type="dxa"/>
                  <w:tcMar>
                    <w:left w:w="28" w:type="dxa"/>
                    <w:right w:w="28" w:type="dxa"/>
                  </w:tcMar>
                  <w:vAlign w:val="center"/>
                </w:tcPr>
                <w:p>
                  <w:pPr>
                    <w:pStyle w:val="83"/>
                    <w:rPr>
                      <w:rFonts w:hint="default" w:ascii="Times New Roman" w:hAnsi="Times New Roman" w:cs="Times New Roman"/>
                      <w:szCs w:val="21"/>
                    </w:rPr>
                  </w:pPr>
                  <w:r>
                    <w:rPr>
                      <w:rFonts w:hint="default" w:ascii="Times New Roman" w:hAnsi="Times New Roman" w:cs="Times New Roman"/>
                      <w:szCs w:val="21"/>
                    </w:rPr>
                    <w:t>西侧50m</w:t>
                  </w:r>
                </w:p>
              </w:tc>
              <w:tc>
                <w:tcPr>
                  <w:tcW w:w="1212" w:type="dxa"/>
                  <w:tcMar>
                    <w:left w:w="28" w:type="dxa"/>
                    <w:right w:w="28" w:type="dxa"/>
                  </w:tcMar>
                  <w:vAlign w:val="center"/>
                </w:tcPr>
                <w:p>
                  <w:pPr>
                    <w:pStyle w:val="83"/>
                    <w:rPr>
                      <w:rFonts w:hint="default" w:ascii="Times New Roman" w:hAnsi="Times New Roman" w:cs="Times New Roman"/>
                      <w:szCs w:val="21"/>
                    </w:rPr>
                  </w:pPr>
                  <w:r>
                    <w:rPr>
                      <w:rFonts w:hint="default" w:ascii="Times New Roman" w:hAnsi="Times New Roman" w:cs="Times New Roman"/>
                      <w:szCs w:val="21"/>
                    </w:rPr>
                    <w:t>纳污、绿化、堤防、灌溉</w:t>
                  </w:r>
                </w:p>
              </w:tc>
              <w:tc>
                <w:tcPr>
                  <w:tcW w:w="3228" w:type="dxa"/>
                  <w:tcMar>
                    <w:left w:w="28" w:type="dxa"/>
                    <w:right w:w="28" w:type="dxa"/>
                  </w:tcMar>
                  <w:vAlign w:val="center"/>
                </w:tcPr>
                <w:p>
                  <w:pPr>
                    <w:pStyle w:val="83"/>
                    <w:rPr>
                      <w:rFonts w:hint="default" w:ascii="Times New Roman" w:hAnsi="Times New Roman" w:cs="Times New Roman"/>
                      <w:szCs w:val="21"/>
                    </w:rPr>
                  </w:pPr>
                  <w:r>
                    <w:rPr>
                      <w:rFonts w:hint="default" w:ascii="Times New Roman" w:hAnsi="Times New Roman" w:cs="Times New Roman"/>
                      <w:szCs w:val="21"/>
                    </w:rPr>
                    <w:t>《地表水环境质量标准》（GB3838-2002）Ⅲ类标准</w:t>
                  </w:r>
                </w:p>
              </w:tc>
            </w:tr>
          </w:tbl>
          <w:p>
            <w:pPr>
              <w:adjustRightInd w:val="0"/>
              <w:snapToGrid w:val="0"/>
              <w:spacing w:line="360" w:lineRule="auto"/>
              <w:ind w:firstLine="420" w:firstLineChars="200"/>
              <w:rPr>
                <w:rFonts w:hint="default"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398" w:type="dxa"/>
            <w:tcMar>
              <w:left w:w="28" w:type="dxa"/>
              <w:right w:w="28" w:type="dxa"/>
            </w:tcMar>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污染</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物排</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放控</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制标</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准</w:t>
            </w:r>
          </w:p>
        </w:tc>
        <w:tc>
          <w:tcPr>
            <w:tcW w:w="8663" w:type="dxa"/>
            <w:vAlign w:val="center"/>
          </w:tcPr>
          <w:p>
            <w:pPr>
              <w:pStyle w:val="72"/>
              <w:spacing w:line="360" w:lineRule="auto"/>
              <w:ind w:left="0" w:firstLineChars="200"/>
              <w:rPr>
                <w:rFonts w:hint="default" w:ascii="Times New Roman" w:hAnsi="Times New Roman" w:cs="Times New Roman"/>
                <w:b/>
                <w:szCs w:val="24"/>
              </w:rPr>
            </w:pPr>
            <w:r>
              <w:rPr>
                <w:rFonts w:hint="default" w:ascii="Times New Roman" w:hAnsi="Times New Roman" w:cs="Times New Roman"/>
                <w:b/>
                <w:szCs w:val="24"/>
              </w:rPr>
              <w:t>一、废水</w:t>
            </w:r>
          </w:p>
          <w:p>
            <w:pPr>
              <w:adjustRightInd w:val="0"/>
              <w:spacing w:line="360" w:lineRule="auto"/>
              <w:ind w:firstLine="480" w:firstLineChars="200"/>
              <w:jc w:val="left"/>
              <w:outlineLvl w:val="0"/>
              <w:rPr>
                <w:rFonts w:hint="default" w:ascii="Times New Roman" w:hAnsi="Times New Roman" w:cs="Times New Roman"/>
                <w:spacing w:val="-8"/>
                <w:sz w:val="24"/>
              </w:rPr>
            </w:pPr>
            <w:r>
              <w:rPr>
                <w:rFonts w:hint="default" w:ascii="Times New Roman" w:hAnsi="Times New Roman" w:cs="Times New Roman"/>
                <w:sz w:val="24"/>
              </w:rPr>
              <w:t>废水排放执行《污水综合排放标准》（GB8978-1996）中的三级标准，</w:t>
            </w:r>
            <w:r>
              <w:rPr>
                <w:rFonts w:hint="default" w:ascii="Times New Roman" w:hAnsi="Times New Roman" w:cs="Times New Roman"/>
                <w:spacing w:val="-8"/>
                <w:sz w:val="24"/>
              </w:rPr>
              <w:t>具体数值见下表。</w:t>
            </w:r>
          </w:p>
          <w:p>
            <w:pPr>
              <w:adjustRightInd w:val="0"/>
              <w:spacing w:line="360" w:lineRule="auto"/>
              <w:ind w:firstLine="422" w:firstLineChars="200"/>
              <w:jc w:val="center"/>
              <w:outlineLvl w:val="0"/>
              <w:rPr>
                <w:rFonts w:hint="default" w:ascii="Times New Roman" w:hAnsi="Times New Roman" w:cs="Times New Roman"/>
                <w:b/>
                <w:bCs/>
                <w:szCs w:val="21"/>
              </w:rPr>
            </w:pPr>
            <w:r>
              <w:rPr>
                <w:rFonts w:hint="default" w:ascii="Times New Roman" w:hAnsi="Times New Roman" w:cs="Times New Roman"/>
                <w:b/>
                <w:bCs/>
              </w:rPr>
              <w:t>表3-</w:t>
            </w:r>
            <w:r>
              <w:rPr>
                <w:rFonts w:hint="eastAsia" w:ascii="Times New Roman" w:hAnsi="Times New Roman" w:cs="Times New Roman"/>
                <w:b/>
                <w:bCs/>
                <w:lang w:val="en-US" w:eastAsia="zh-CN"/>
              </w:rPr>
              <w:t>6</w:t>
            </w:r>
            <w:r>
              <w:rPr>
                <w:rFonts w:hint="default" w:ascii="Times New Roman" w:hAnsi="Times New Roman" w:cs="Times New Roman"/>
                <w:b/>
                <w:bCs/>
              </w:rPr>
              <w:t xml:space="preserve">  污水综合排放标准</w:t>
            </w:r>
          </w:p>
          <w:tbl>
            <w:tblPr>
              <w:tblStyle w:val="2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863"/>
              <w:gridCol w:w="733"/>
              <w:gridCol w:w="925"/>
              <w:gridCol w:w="803"/>
              <w:gridCol w:w="803"/>
              <w:gridCol w:w="789"/>
              <w:gridCol w:w="834"/>
              <w:gridCol w:w="12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423" w:type="dxa"/>
                  <w:tcMar>
                    <w:left w:w="28" w:type="dxa"/>
                    <w:right w:w="28" w:type="dxa"/>
                  </w:tcMar>
                  <w:vAlign w:val="center"/>
                </w:tcPr>
                <w:p>
                  <w:pPr>
                    <w:pStyle w:val="83"/>
                    <w:spacing w:before="0" w:after="0"/>
                    <w:rPr>
                      <w:rFonts w:hint="default" w:ascii="Times New Roman" w:hAnsi="Times New Roman" w:cs="Times New Roman"/>
                      <w:bCs/>
                      <w:szCs w:val="21"/>
                    </w:rPr>
                  </w:pPr>
                  <w:r>
                    <w:rPr>
                      <w:rFonts w:hint="default" w:ascii="Times New Roman" w:hAnsi="Times New Roman" w:cs="Times New Roman"/>
                      <w:bCs/>
                      <w:szCs w:val="21"/>
                    </w:rPr>
                    <w:t>项目</w:t>
                  </w:r>
                </w:p>
              </w:tc>
              <w:tc>
                <w:tcPr>
                  <w:tcW w:w="870" w:type="dxa"/>
                  <w:tcMar>
                    <w:left w:w="28" w:type="dxa"/>
                    <w:right w:w="28" w:type="dxa"/>
                  </w:tcMar>
                  <w:vAlign w:val="center"/>
                </w:tcPr>
                <w:p>
                  <w:pPr>
                    <w:pStyle w:val="83"/>
                    <w:spacing w:before="0" w:after="0"/>
                    <w:rPr>
                      <w:rFonts w:hint="default" w:ascii="Times New Roman" w:hAnsi="Times New Roman" w:cs="Times New Roman"/>
                      <w:bCs/>
                      <w:szCs w:val="21"/>
                    </w:rPr>
                  </w:pPr>
                  <w:r>
                    <w:rPr>
                      <w:rFonts w:hint="default" w:ascii="Times New Roman" w:hAnsi="Times New Roman" w:cs="Times New Roman"/>
                      <w:bCs/>
                      <w:szCs w:val="21"/>
                    </w:rPr>
                    <w:t>pH</w:t>
                  </w:r>
                </w:p>
              </w:tc>
              <w:tc>
                <w:tcPr>
                  <w:tcW w:w="734" w:type="dxa"/>
                  <w:tcMar>
                    <w:left w:w="28" w:type="dxa"/>
                    <w:right w:w="28" w:type="dxa"/>
                  </w:tcMar>
                  <w:vAlign w:val="center"/>
                </w:tcPr>
                <w:p>
                  <w:pPr>
                    <w:pStyle w:val="83"/>
                    <w:spacing w:before="0" w:after="0"/>
                    <w:rPr>
                      <w:rFonts w:hint="default" w:ascii="Times New Roman" w:hAnsi="Times New Roman" w:cs="Times New Roman"/>
                      <w:bCs/>
                      <w:szCs w:val="21"/>
                      <w:vertAlign w:val="subscript"/>
                    </w:rPr>
                  </w:pPr>
                  <w:r>
                    <w:rPr>
                      <w:rFonts w:hint="default" w:ascii="Times New Roman" w:hAnsi="Times New Roman" w:cs="Times New Roman"/>
                      <w:bCs/>
                      <w:szCs w:val="21"/>
                    </w:rPr>
                    <w:t>COD</w:t>
                  </w:r>
                  <w:r>
                    <w:rPr>
                      <w:rFonts w:hint="default" w:ascii="Times New Roman" w:hAnsi="Times New Roman" w:cs="Times New Roman"/>
                      <w:bCs/>
                      <w:szCs w:val="21"/>
                      <w:vertAlign w:val="subscript"/>
                    </w:rPr>
                    <w:t>Cr</w:t>
                  </w:r>
                </w:p>
              </w:tc>
              <w:tc>
                <w:tcPr>
                  <w:tcW w:w="930" w:type="dxa"/>
                  <w:tcMar>
                    <w:left w:w="28" w:type="dxa"/>
                    <w:right w:w="28" w:type="dxa"/>
                  </w:tcMar>
                  <w:vAlign w:val="center"/>
                </w:tcPr>
                <w:p>
                  <w:pPr>
                    <w:pStyle w:val="83"/>
                    <w:spacing w:before="0" w:after="0"/>
                    <w:rPr>
                      <w:rFonts w:hint="default" w:ascii="Times New Roman" w:hAnsi="Times New Roman" w:cs="Times New Roman"/>
                      <w:bCs/>
                      <w:szCs w:val="21"/>
                    </w:rPr>
                  </w:pPr>
                  <w:r>
                    <w:rPr>
                      <w:rFonts w:hint="default" w:ascii="Times New Roman" w:hAnsi="Times New Roman" w:cs="Times New Roman"/>
                      <w:bCs/>
                      <w:szCs w:val="21"/>
                    </w:rPr>
                    <w:t>BOD</w:t>
                  </w:r>
                  <w:r>
                    <w:rPr>
                      <w:rFonts w:hint="default" w:ascii="Times New Roman" w:hAnsi="Times New Roman" w:cs="Times New Roman"/>
                      <w:bCs/>
                      <w:szCs w:val="21"/>
                      <w:vertAlign w:val="subscript"/>
                    </w:rPr>
                    <w:t>5</w:t>
                  </w:r>
                </w:p>
              </w:tc>
              <w:tc>
                <w:tcPr>
                  <w:tcW w:w="810" w:type="dxa"/>
                  <w:tcMar>
                    <w:left w:w="28" w:type="dxa"/>
                    <w:right w:w="28" w:type="dxa"/>
                  </w:tcMar>
                  <w:vAlign w:val="center"/>
                </w:tcPr>
                <w:p>
                  <w:pPr>
                    <w:pStyle w:val="83"/>
                    <w:spacing w:before="0" w:after="0"/>
                    <w:rPr>
                      <w:rFonts w:hint="default" w:ascii="Times New Roman" w:hAnsi="Times New Roman" w:cs="Times New Roman"/>
                      <w:bCs/>
                      <w:szCs w:val="21"/>
                    </w:rPr>
                  </w:pPr>
                  <w:r>
                    <w:rPr>
                      <w:rFonts w:hint="default" w:ascii="Times New Roman" w:hAnsi="Times New Roman" w:cs="Times New Roman"/>
                      <w:bCs/>
                      <w:szCs w:val="21"/>
                    </w:rPr>
                    <w:t>SS</w:t>
                  </w:r>
                </w:p>
              </w:tc>
              <w:tc>
                <w:tcPr>
                  <w:tcW w:w="810" w:type="dxa"/>
                  <w:tcMar>
                    <w:left w:w="28" w:type="dxa"/>
                    <w:right w:w="28" w:type="dxa"/>
                  </w:tcMar>
                  <w:vAlign w:val="center"/>
                </w:tcPr>
                <w:p>
                  <w:pPr>
                    <w:pStyle w:val="83"/>
                    <w:spacing w:before="0" w:after="0"/>
                    <w:rPr>
                      <w:rFonts w:hint="default" w:ascii="Times New Roman" w:hAnsi="Times New Roman" w:cs="Times New Roman"/>
                      <w:bCs/>
                      <w:szCs w:val="21"/>
                    </w:rPr>
                  </w:pPr>
                  <w:r>
                    <w:rPr>
                      <w:rFonts w:hint="default" w:ascii="Times New Roman" w:hAnsi="Times New Roman" w:cs="Times New Roman"/>
                      <w:szCs w:val="21"/>
                    </w:rPr>
                    <w:t>氨氮</w:t>
                  </w:r>
                </w:p>
              </w:tc>
              <w:tc>
                <w:tcPr>
                  <w:tcW w:w="795" w:type="dxa"/>
                  <w:vAlign w:val="center"/>
                </w:tcPr>
                <w:p>
                  <w:pPr>
                    <w:pStyle w:val="83"/>
                    <w:spacing w:before="0" w:after="0"/>
                    <w:rPr>
                      <w:rFonts w:hint="default" w:ascii="Times New Roman" w:hAnsi="Times New Roman" w:cs="Times New Roman"/>
                      <w:szCs w:val="21"/>
                    </w:rPr>
                  </w:pPr>
                  <w:r>
                    <w:rPr>
                      <w:rFonts w:hint="default" w:ascii="Times New Roman" w:hAnsi="Times New Roman" w:cs="Times New Roman"/>
                      <w:szCs w:val="21"/>
                    </w:rPr>
                    <w:t>石油类</w:t>
                  </w:r>
                </w:p>
              </w:tc>
              <w:tc>
                <w:tcPr>
                  <w:tcW w:w="840" w:type="dxa"/>
                  <w:vAlign w:val="center"/>
                </w:tcPr>
                <w:p>
                  <w:pPr>
                    <w:pStyle w:val="83"/>
                    <w:spacing w:before="0" w:after="0"/>
                    <w:rPr>
                      <w:rFonts w:hint="default" w:ascii="Times New Roman" w:hAnsi="Times New Roman" w:cs="Times New Roman"/>
                      <w:szCs w:val="21"/>
                    </w:rPr>
                  </w:pPr>
                  <w:r>
                    <w:rPr>
                      <w:rFonts w:hint="default" w:ascii="Times New Roman" w:hAnsi="Times New Roman" w:cs="Times New Roman"/>
                      <w:szCs w:val="21"/>
                    </w:rPr>
                    <w:t>总磷</w:t>
                  </w:r>
                </w:p>
              </w:tc>
              <w:tc>
                <w:tcPr>
                  <w:tcW w:w="1235" w:type="dxa"/>
                  <w:vAlign w:val="center"/>
                </w:tcPr>
                <w:p>
                  <w:pPr>
                    <w:pStyle w:val="83"/>
                    <w:spacing w:before="0" w:after="0"/>
                    <w:rPr>
                      <w:rFonts w:hint="default" w:ascii="Times New Roman" w:hAnsi="Times New Roman" w:cs="Times New Roman"/>
                      <w:szCs w:val="21"/>
                    </w:rPr>
                  </w:pPr>
                  <w:r>
                    <w:rPr>
                      <w:rFonts w:hint="default" w:ascii="Times New Roman" w:hAnsi="Times New Roman" w:cs="Times New Roman"/>
                      <w:szCs w:val="21"/>
                    </w:rPr>
                    <w:t>总溶解性固体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423" w:type="dxa"/>
                  <w:tcMar>
                    <w:left w:w="28" w:type="dxa"/>
                    <w:right w:w="28" w:type="dxa"/>
                  </w:tcMar>
                </w:tcPr>
                <w:p>
                  <w:pPr>
                    <w:pStyle w:val="83"/>
                    <w:spacing w:before="0" w:after="0"/>
                    <w:rPr>
                      <w:rFonts w:hint="default" w:ascii="Times New Roman" w:hAnsi="Times New Roman" w:cs="Times New Roman"/>
                      <w:szCs w:val="21"/>
                    </w:rPr>
                  </w:pPr>
                  <w:r>
                    <w:rPr>
                      <w:rFonts w:hint="default" w:ascii="Times New Roman" w:hAnsi="Times New Roman" w:cs="Times New Roman"/>
                      <w:szCs w:val="21"/>
                    </w:rPr>
                    <w:t>标准值（mg/L）</w:t>
                  </w:r>
                </w:p>
              </w:tc>
              <w:tc>
                <w:tcPr>
                  <w:tcW w:w="870" w:type="dxa"/>
                  <w:tcMar>
                    <w:left w:w="28" w:type="dxa"/>
                    <w:right w:w="28" w:type="dxa"/>
                  </w:tcMar>
                </w:tcPr>
                <w:p>
                  <w:pPr>
                    <w:pStyle w:val="83"/>
                    <w:spacing w:before="0" w:after="0"/>
                    <w:rPr>
                      <w:rFonts w:hint="default" w:ascii="Times New Roman" w:hAnsi="Times New Roman" w:cs="Times New Roman"/>
                      <w:szCs w:val="21"/>
                    </w:rPr>
                  </w:pPr>
                  <w:r>
                    <w:rPr>
                      <w:rFonts w:hint="default" w:ascii="Times New Roman" w:hAnsi="Times New Roman" w:cs="Times New Roman"/>
                      <w:szCs w:val="21"/>
                    </w:rPr>
                    <w:t>6~9</w:t>
                  </w:r>
                </w:p>
              </w:tc>
              <w:tc>
                <w:tcPr>
                  <w:tcW w:w="734" w:type="dxa"/>
                  <w:tcMar>
                    <w:left w:w="28" w:type="dxa"/>
                    <w:right w:w="28" w:type="dxa"/>
                  </w:tcMar>
                </w:tcPr>
                <w:p>
                  <w:pPr>
                    <w:pStyle w:val="83"/>
                    <w:spacing w:before="0" w:after="0"/>
                    <w:rPr>
                      <w:rFonts w:hint="default" w:ascii="Times New Roman" w:hAnsi="Times New Roman" w:cs="Times New Roman"/>
                      <w:szCs w:val="21"/>
                    </w:rPr>
                  </w:pPr>
                  <w:r>
                    <w:rPr>
                      <w:rFonts w:hint="default" w:ascii="Times New Roman" w:hAnsi="Times New Roman" w:cs="Times New Roman"/>
                      <w:szCs w:val="21"/>
                    </w:rPr>
                    <w:t>500</w:t>
                  </w:r>
                </w:p>
              </w:tc>
              <w:tc>
                <w:tcPr>
                  <w:tcW w:w="930" w:type="dxa"/>
                  <w:tcMar>
                    <w:left w:w="28" w:type="dxa"/>
                    <w:right w:w="28" w:type="dxa"/>
                  </w:tcMar>
                </w:tcPr>
                <w:p>
                  <w:pPr>
                    <w:pStyle w:val="83"/>
                    <w:spacing w:before="0" w:after="0"/>
                    <w:rPr>
                      <w:rFonts w:hint="default" w:ascii="Times New Roman" w:hAnsi="Times New Roman" w:cs="Times New Roman"/>
                      <w:szCs w:val="21"/>
                    </w:rPr>
                  </w:pPr>
                  <w:r>
                    <w:rPr>
                      <w:rFonts w:hint="default" w:ascii="Times New Roman" w:hAnsi="Times New Roman" w:cs="Times New Roman"/>
                      <w:szCs w:val="21"/>
                    </w:rPr>
                    <w:t>300</w:t>
                  </w:r>
                </w:p>
              </w:tc>
              <w:tc>
                <w:tcPr>
                  <w:tcW w:w="810" w:type="dxa"/>
                  <w:tcMar>
                    <w:left w:w="28" w:type="dxa"/>
                    <w:right w:w="28" w:type="dxa"/>
                  </w:tcMar>
                </w:tcPr>
                <w:p>
                  <w:pPr>
                    <w:pStyle w:val="83"/>
                    <w:spacing w:before="0" w:after="0"/>
                    <w:rPr>
                      <w:rFonts w:hint="default" w:ascii="Times New Roman" w:hAnsi="Times New Roman" w:cs="Times New Roman"/>
                      <w:szCs w:val="21"/>
                    </w:rPr>
                  </w:pPr>
                  <w:r>
                    <w:rPr>
                      <w:rFonts w:hint="default" w:ascii="Times New Roman" w:hAnsi="Times New Roman" w:cs="Times New Roman"/>
                      <w:szCs w:val="21"/>
                    </w:rPr>
                    <w:t>400</w:t>
                  </w:r>
                </w:p>
              </w:tc>
              <w:tc>
                <w:tcPr>
                  <w:tcW w:w="810" w:type="dxa"/>
                  <w:tcMar>
                    <w:left w:w="28" w:type="dxa"/>
                    <w:right w:w="28" w:type="dxa"/>
                  </w:tcMar>
                </w:tcPr>
                <w:p>
                  <w:pPr>
                    <w:pStyle w:val="83"/>
                    <w:spacing w:before="0" w:after="0"/>
                    <w:rPr>
                      <w:rFonts w:hint="default" w:ascii="Times New Roman" w:hAnsi="Times New Roman" w:cs="Times New Roman"/>
                      <w:szCs w:val="21"/>
                    </w:rPr>
                  </w:pPr>
                  <w:r>
                    <w:rPr>
                      <w:rFonts w:hint="default" w:ascii="Times New Roman" w:hAnsi="Times New Roman" w:cs="Times New Roman"/>
                      <w:szCs w:val="21"/>
                    </w:rPr>
                    <w:t>45</w:t>
                  </w:r>
                  <w:r>
                    <w:rPr>
                      <w:rFonts w:hint="default" w:ascii="Times New Roman" w:hAnsi="Times New Roman" w:eastAsia="Times New Roman" w:cs="Times New Roman"/>
                      <w:szCs w:val="21"/>
                    </w:rPr>
                    <w:t>*</w:t>
                  </w:r>
                </w:p>
              </w:tc>
              <w:tc>
                <w:tcPr>
                  <w:tcW w:w="795" w:type="dxa"/>
                </w:tcPr>
                <w:p>
                  <w:pPr>
                    <w:pStyle w:val="83"/>
                    <w:spacing w:before="0" w:after="0"/>
                    <w:rPr>
                      <w:rFonts w:hint="default" w:ascii="Times New Roman" w:hAnsi="Times New Roman" w:cs="Times New Roman"/>
                      <w:szCs w:val="21"/>
                    </w:rPr>
                  </w:pPr>
                  <w:r>
                    <w:rPr>
                      <w:rFonts w:hint="default" w:ascii="Times New Roman" w:hAnsi="Times New Roman" w:cs="Times New Roman"/>
                      <w:szCs w:val="21"/>
                    </w:rPr>
                    <w:t>20</w:t>
                  </w:r>
                </w:p>
              </w:tc>
              <w:tc>
                <w:tcPr>
                  <w:tcW w:w="840" w:type="dxa"/>
                </w:tcPr>
                <w:p>
                  <w:pPr>
                    <w:pStyle w:val="83"/>
                    <w:spacing w:before="0" w:after="0"/>
                    <w:rPr>
                      <w:rFonts w:hint="default" w:ascii="Times New Roman" w:hAnsi="Times New Roman" w:cs="Times New Roman"/>
                      <w:szCs w:val="21"/>
                    </w:rPr>
                  </w:pPr>
                  <w:r>
                    <w:rPr>
                      <w:rFonts w:hint="default" w:ascii="Times New Roman" w:hAnsi="Times New Roman" w:cs="Times New Roman"/>
                      <w:szCs w:val="21"/>
                    </w:rPr>
                    <w:t>8</w:t>
                  </w:r>
                  <w:r>
                    <w:rPr>
                      <w:rFonts w:hint="default" w:ascii="Times New Roman" w:hAnsi="Times New Roman" w:eastAsia="Times New Roman" w:cs="Times New Roman"/>
                      <w:szCs w:val="21"/>
                    </w:rPr>
                    <w:t>*</w:t>
                  </w:r>
                </w:p>
              </w:tc>
              <w:tc>
                <w:tcPr>
                  <w:tcW w:w="1235" w:type="dxa"/>
                </w:tcPr>
                <w:p>
                  <w:pPr>
                    <w:pStyle w:val="83"/>
                    <w:spacing w:before="0" w:after="0"/>
                    <w:rPr>
                      <w:rFonts w:hint="default" w:ascii="Times New Roman" w:hAnsi="Times New Roman" w:cs="Times New Roman"/>
                      <w:szCs w:val="21"/>
                    </w:rPr>
                  </w:pPr>
                  <w:r>
                    <w:rPr>
                      <w:rFonts w:hint="default" w:ascii="Times New Roman" w:hAnsi="Times New Roman" w:cs="Times New Roman"/>
                      <w:szCs w:val="21"/>
                    </w:rPr>
                    <w:t>2000</w:t>
                  </w:r>
                  <w:r>
                    <w:rPr>
                      <w:rFonts w:hint="default" w:ascii="Times New Roman" w:hAnsi="Times New Roman" w:eastAsia="Times New Roman" w:cs="Times New Roman"/>
                      <w:szCs w:val="21"/>
                    </w:rPr>
                    <w:t>*</w:t>
                  </w:r>
                </w:p>
              </w:tc>
            </w:tr>
          </w:tbl>
          <w:p>
            <w:pPr>
              <w:rPr>
                <w:rFonts w:hint="default" w:ascii="Times New Roman" w:hAnsi="Times New Roman" w:cs="Times New Roman"/>
                <w:szCs w:val="21"/>
              </w:rPr>
            </w:pPr>
            <w:r>
              <w:rPr>
                <w:rFonts w:hint="default" w:ascii="Times New Roman" w:hAnsi="Times New Roman" w:cs="Times New Roman"/>
                <w:szCs w:val="21"/>
              </w:rPr>
              <w:t>注：*由于《污水综合排放标准》（GB8978-1996）中无氨氮、总磷、总溶解性固体的三级排放限值，参照执行《污水排入城镇下水道水质标准》（GBT31962-2015）B等级标准。</w:t>
            </w:r>
          </w:p>
          <w:p>
            <w:pPr>
              <w:spacing w:line="360" w:lineRule="auto"/>
              <w:ind w:left="496" w:leftChars="236"/>
              <w:rPr>
                <w:rFonts w:hint="default" w:ascii="Times New Roman" w:hAnsi="Times New Roman" w:cs="Times New Roman"/>
                <w:b/>
                <w:sz w:val="24"/>
              </w:rPr>
            </w:pPr>
            <w:r>
              <w:rPr>
                <w:rFonts w:hint="default" w:ascii="Times New Roman" w:hAnsi="Times New Roman" w:cs="Times New Roman"/>
                <w:b/>
                <w:sz w:val="24"/>
              </w:rPr>
              <w:t>二、废气</w:t>
            </w:r>
          </w:p>
          <w:p>
            <w:pPr>
              <w:spacing w:line="360" w:lineRule="auto"/>
              <w:ind w:firstLine="480" w:firstLineChars="200"/>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施工期：扬尘执行《四川省施工场地扬尘排放标准》（DB51 2682-2020）相关要求。</w:t>
            </w:r>
          </w:p>
          <w:p>
            <w:pPr>
              <w:spacing w:line="324" w:lineRule="auto"/>
              <w:ind w:firstLine="422" w:firstLineChars="200"/>
              <w:jc w:val="center"/>
              <w:rPr>
                <w:rFonts w:hint="default" w:ascii="Times New Roman" w:hAnsi="Times New Roman" w:cs="Times New Roman"/>
                <w:b/>
                <w:bCs/>
                <w:szCs w:val="21"/>
                <w:highlight w:val="darkGreen"/>
              </w:rPr>
            </w:pPr>
            <w:r>
              <w:rPr>
                <w:rFonts w:hint="default" w:ascii="Times New Roman" w:hAnsi="Times New Roman" w:cs="Times New Roman"/>
                <w:b/>
                <w:bCs/>
                <w:szCs w:val="21"/>
              </w:rPr>
              <w:t>表3-</w:t>
            </w:r>
            <w:r>
              <w:rPr>
                <w:rFonts w:hint="eastAsia" w:ascii="Times New Roman" w:hAnsi="Times New Roman" w:cs="Times New Roman"/>
                <w:b/>
                <w:bCs/>
                <w:szCs w:val="21"/>
                <w:lang w:val="en-US" w:eastAsia="zh-CN"/>
              </w:rPr>
              <w:t>7</w:t>
            </w:r>
            <w:r>
              <w:rPr>
                <w:rFonts w:hint="default" w:ascii="Times New Roman" w:hAnsi="Times New Roman" w:cs="Times New Roman"/>
                <w:b/>
                <w:bCs/>
                <w:szCs w:val="21"/>
              </w:rPr>
              <w:t xml:space="preserve"> 《四川省施工场地扬尘排放标准》（DB51 2682-2020）</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2645"/>
              <w:gridCol w:w="2344"/>
              <w:gridCol w:w="1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497" w:type="dxa"/>
                  <w:vAlign w:val="center"/>
                </w:tcPr>
                <w:p>
                  <w:pPr>
                    <w:autoSpaceDE w:val="0"/>
                    <w:autoSpaceDN w:val="0"/>
                    <w:jc w:val="center"/>
                    <w:rPr>
                      <w:rFonts w:hint="default" w:ascii="Times New Roman" w:hAnsi="Times New Roman" w:cs="Times New Roman"/>
                      <w:b/>
                      <w:caps/>
                      <w:szCs w:val="21"/>
                    </w:rPr>
                  </w:pPr>
                  <w:r>
                    <w:rPr>
                      <w:rFonts w:hint="default" w:ascii="Times New Roman" w:hAnsi="Times New Roman" w:cs="Times New Roman"/>
                      <w:b/>
                      <w:caps/>
                      <w:szCs w:val="21"/>
                    </w:rPr>
                    <w:t>名称</w:t>
                  </w:r>
                </w:p>
              </w:tc>
              <w:tc>
                <w:tcPr>
                  <w:tcW w:w="2666" w:type="dxa"/>
                  <w:vAlign w:val="center"/>
                </w:tcPr>
                <w:p>
                  <w:pPr>
                    <w:tabs>
                      <w:tab w:val="left" w:pos="600"/>
                    </w:tabs>
                    <w:jc w:val="center"/>
                    <w:rPr>
                      <w:rFonts w:hint="default" w:ascii="Times New Roman" w:hAnsi="Times New Roman" w:eastAsia="宋体" w:cs="Times New Roman"/>
                      <w:b/>
                      <w:szCs w:val="21"/>
                      <w:lang w:val="en-US" w:eastAsia="zh-CN"/>
                    </w:rPr>
                  </w:pPr>
                  <w:r>
                    <w:rPr>
                      <w:rFonts w:hint="default" w:ascii="Times New Roman" w:hAnsi="Times New Roman" w:cs="Times New Roman"/>
                      <w:b/>
                      <w:szCs w:val="21"/>
                      <w:lang w:val="en-US" w:eastAsia="zh-CN"/>
                    </w:rPr>
                    <w:t>施工阶段</w:t>
                  </w:r>
                </w:p>
              </w:tc>
              <w:tc>
                <w:tcPr>
                  <w:tcW w:w="2355" w:type="dxa"/>
                  <w:vAlign w:val="center"/>
                </w:tcPr>
                <w:p>
                  <w:pPr>
                    <w:autoSpaceDE w:val="0"/>
                    <w:autoSpaceDN w:val="0"/>
                    <w:jc w:val="center"/>
                    <w:rPr>
                      <w:rFonts w:hint="default" w:ascii="Times New Roman" w:hAnsi="Times New Roman" w:cs="Times New Roman"/>
                      <w:b/>
                      <w:caps/>
                      <w:spacing w:val="-4"/>
                      <w:szCs w:val="21"/>
                    </w:rPr>
                  </w:pPr>
                  <w:r>
                    <w:rPr>
                      <w:rFonts w:hint="default" w:ascii="Times New Roman" w:hAnsi="Times New Roman" w:cs="Times New Roman"/>
                      <w:b/>
                      <w:szCs w:val="21"/>
                    </w:rPr>
                    <w:t>浓度限值（</w:t>
                  </w:r>
                  <w:r>
                    <w:rPr>
                      <w:rFonts w:hint="default" w:ascii="Times New Roman" w:hAnsi="Times New Roman" w:cs="Times New Roman"/>
                      <w:b/>
                      <w:szCs w:val="21"/>
                      <w:lang w:val="en-US" w:eastAsia="zh-CN"/>
                    </w:rPr>
                    <w:t>u</w:t>
                  </w:r>
                  <w:r>
                    <w:rPr>
                      <w:rFonts w:hint="default" w:ascii="Times New Roman" w:hAnsi="Times New Roman" w:cs="Times New Roman"/>
                      <w:b/>
                      <w:szCs w:val="21"/>
                    </w:rPr>
                    <w:t>g/m</w:t>
                  </w:r>
                  <w:r>
                    <w:rPr>
                      <w:rFonts w:hint="default" w:ascii="Times New Roman" w:hAnsi="Times New Roman" w:cs="Times New Roman"/>
                      <w:b/>
                      <w:szCs w:val="21"/>
                      <w:vertAlign w:val="superscript"/>
                    </w:rPr>
                    <w:t>3</w:t>
                  </w:r>
                  <w:r>
                    <w:rPr>
                      <w:rFonts w:hint="default" w:ascii="Times New Roman" w:hAnsi="Times New Roman" w:cs="Times New Roman"/>
                      <w:b/>
                      <w:szCs w:val="21"/>
                    </w:rPr>
                    <w:t>）</w:t>
                  </w:r>
                </w:p>
              </w:tc>
              <w:tc>
                <w:tcPr>
                  <w:tcW w:w="1929" w:type="dxa"/>
                  <w:vAlign w:val="center"/>
                </w:tcPr>
                <w:p>
                  <w:pPr>
                    <w:autoSpaceDE w:val="0"/>
                    <w:autoSpaceDN w:val="0"/>
                    <w:jc w:val="center"/>
                    <w:rPr>
                      <w:rFonts w:hint="default" w:ascii="Times New Roman" w:hAnsi="Times New Roman" w:eastAsia="宋体" w:cs="Times New Roman"/>
                      <w:b/>
                      <w:caps/>
                      <w:szCs w:val="21"/>
                      <w:lang w:eastAsia="zh-CN"/>
                    </w:rPr>
                  </w:pPr>
                  <w:r>
                    <w:rPr>
                      <w:rFonts w:hint="default" w:ascii="Times New Roman" w:hAnsi="Times New Roman" w:cs="Times New Roman"/>
                      <w:b/>
                      <w:caps/>
                      <w:szCs w:val="21"/>
                    </w:rPr>
                    <w:t>监测</w:t>
                  </w:r>
                  <w:r>
                    <w:rPr>
                      <w:rFonts w:hint="default" w:ascii="Times New Roman" w:hAnsi="Times New Roman" w:cs="Times New Roman"/>
                      <w:b/>
                      <w:caps/>
                      <w:szCs w:val="21"/>
                      <w:lang w:eastAsia="zh-CN"/>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497" w:type="dxa"/>
                  <w:vMerge w:val="restart"/>
                  <w:vAlign w:val="center"/>
                </w:tcPr>
                <w:p>
                  <w:pPr>
                    <w:autoSpaceDE w:val="0"/>
                    <w:autoSpaceDN w:val="0"/>
                    <w:jc w:val="center"/>
                    <w:rPr>
                      <w:rFonts w:hint="default" w:ascii="Times New Roman" w:hAnsi="Times New Roman" w:eastAsia="宋体" w:cs="Times New Roman"/>
                      <w:b w:val="0"/>
                      <w:bCs/>
                      <w:caps/>
                      <w:szCs w:val="21"/>
                      <w:lang w:val="en-US" w:eastAsia="zh-CN"/>
                    </w:rPr>
                  </w:pPr>
                  <w:r>
                    <w:rPr>
                      <w:rFonts w:hint="default" w:ascii="Times New Roman" w:hAnsi="Times New Roman" w:cs="Times New Roman"/>
                      <w:b w:val="0"/>
                      <w:bCs/>
                      <w:caps/>
                      <w:szCs w:val="21"/>
                      <w:lang w:val="en-US" w:eastAsia="zh-CN"/>
                    </w:rPr>
                    <w:t>tsp</w:t>
                  </w:r>
                </w:p>
              </w:tc>
              <w:tc>
                <w:tcPr>
                  <w:tcW w:w="2666" w:type="dxa"/>
                  <w:vAlign w:val="center"/>
                </w:tcPr>
                <w:p>
                  <w:pPr>
                    <w:tabs>
                      <w:tab w:val="left" w:pos="600"/>
                    </w:tabs>
                    <w:jc w:val="center"/>
                    <w:rPr>
                      <w:rFonts w:hint="default" w:ascii="Times New Roman" w:hAnsi="Times New Roman" w:eastAsia="宋体" w:cs="Times New Roman"/>
                      <w:b w:val="0"/>
                      <w:bCs/>
                      <w:szCs w:val="21"/>
                      <w:lang w:val="en-US" w:eastAsia="zh-CN"/>
                    </w:rPr>
                  </w:pPr>
                  <w:r>
                    <w:rPr>
                      <w:rFonts w:hint="default" w:ascii="Times New Roman" w:hAnsi="Times New Roman" w:cs="Times New Roman"/>
                      <w:b w:val="0"/>
                      <w:bCs/>
                      <w:szCs w:val="21"/>
                      <w:lang w:eastAsia="zh-CN"/>
                    </w:rPr>
                    <w:t>拆除工程</w:t>
                  </w:r>
                  <w:r>
                    <w:rPr>
                      <w:rFonts w:hint="default" w:ascii="Times New Roman" w:hAnsi="Times New Roman" w:cs="Times New Roman"/>
                      <w:b w:val="0"/>
                      <w:bCs/>
                      <w:szCs w:val="21"/>
                      <w:lang w:val="en-US" w:eastAsia="zh-CN"/>
                    </w:rPr>
                    <w:t>/土方开挖/土方石</w:t>
                  </w:r>
                </w:p>
              </w:tc>
              <w:tc>
                <w:tcPr>
                  <w:tcW w:w="2355" w:type="dxa"/>
                  <w:vAlign w:val="center"/>
                </w:tcPr>
                <w:p>
                  <w:pPr>
                    <w:autoSpaceDE w:val="0"/>
                    <w:autoSpaceDN w:val="0"/>
                    <w:jc w:val="center"/>
                    <w:rPr>
                      <w:rFonts w:hint="default" w:ascii="Times New Roman" w:hAnsi="Times New Roman" w:eastAsia="宋体" w:cs="Times New Roman"/>
                      <w:b w:val="0"/>
                      <w:bCs/>
                      <w:szCs w:val="21"/>
                      <w:lang w:val="en-US" w:eastAsia="zh-CN"/>
                    </w:rPr>
                  </w:pPr>
                  <w:r>
                    <w:rPr>
                      <w:rFonts w:hint="default" w:ascii="Times New Roman" w:hAnsi="Times New Roman" w:cs="Times New Roman"/>
                      <w:b w:val="0"/>
                      <w:bCs/>
                      <w:szCs w:val="21"/>
                      <w:lang w:val="en-US" w:eastAsia="zh-CN"/>
                    </w:rPr>
                    <w:t>600</w:t>
                  </w:r>
                </w:p>
              </w:tc>
              <w:tc>
                <w:tcPr>
                  <w:tcW w:w="1929" w:type="dxa"/>
                  <w:vMerge w:val="restart"/>
                  <w:vAlign w:val="center"/>
                </w:tcPr>
                <w:p>
                  <w:pPr>
                    <w:autoSpaceDE w:val="0"/>
                    <w:autoSpaceDN w:val="0"/>
                    <w:jc w:val="center"/>
                    <w:rPr>
                      <w:rFonts w:hint="default" w:ascii="Times New Roman" w:hAnsi="Times New Roman" w:eastAsia="宋体" w:cs="Times New Roman"/>
                      <w:b w:val="0"/>
                      <w:bCs/>
                      <w:caps/>
                      <w:szCs w:val="21"/>
                      <w:lang w:val="en-US" w:eastAsia="zh-CN"/>
                    </w:rPr>
                  </w:pPr>
                  <w:r>
                    <w:rPr>
                      <w:rFonts w:hint="default" w:ascii="Times New Roman" w:hAnsi="Times New Roman" w:cs="Times New Roman"/>
                      <w:b w:val="0"/>
                      <w:bCs/>
                      <w:caps/>
                      <w:szCs w:val="21"/>
                      <w:lang w:eastAsia="zh-CN"/>
                    </w:rPr>
                    <w:t>自监测起持续</w:t>
                  </w:r>
                  <w:r>
                    <w:rPr>
                      <w:rFonts w:hint="default" w:ascii="Times New Roman" w:hAnsi="Times New Roman" w:cs="Times New Roman"/>
                      <w:b w:val="0"/>
                      <w:bCs/>
                      <w:caps/>
                      <w:szCs w:val="21"/>
                      <w:lang w:val="en-US" w:eastAsia="zh-CN"/>
                    </w:rPr>
                    <w:t>15分钟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497" w:type="dxa"/>
                  <w:vMerge w:val="continue"/>
                  <w:vAlign w:val="center"/>
                </w:tcPr>
                <w:p>
                  <w:pPr>
                    <w:autoSpaceDE w:val="0"/>
                    <w:autoSpaceDN w:val="0"/>
                    <w:jc w:val="center"/>
                    <w:rPr>
                      <w:rFonts w:hint="default" w:ascii="Times New Roman" w:hAnsi="Times New Roman" w:cs="Times New Roman"/>
                      <w:b w:val="0"/>
                      <w:bCs/>
                      <w:caps/>
                      <w:szCs w:val="21"/>
                    </w:rPr>
                  </w:pPr>
                </w:p>
              </w:tc>
              <w:tc>
                <w:tcPr>
                  <w:tcW w:w="2666" w:type="dxa"/>
                  <w:vAlign w:val="center"/>
                </w:tcPr>
                <w:p>
                  <w:pPr>
                    <w:tabs>
                      <w:tab w:val="left" w:pos="600"/>
                    </w:tabs>
                    <w:jc w:val="center"/>
                    <w:rPr>
                      <w:rFonts w:hint="default" w:ascii="Times New Roman" w:hAnsi="Times New Roman" w:eastAsia="宋体" w:cs="Times New Roman"/>
                      <w:b w:val="0"/>
                      <w:bCs/>
                      <w:szCs w:val="21"/>
                      <w:lang w:eastAsia="zh-CN"/>
                    </w:rPr>
                  </w:pPr>
                  <w:r>
                    <w:rPr>
                      <w:rFonts w:hint="default" w:ascii="Times New Roman" w:hAnsi="Times New Roman" w:cs="Times New Roman"/>
                      <w:b w:val="0"/>
                      <w:bCs/>
                      <w:szCs w:val="21"/>
                      <w:lang w:eastAsia="zh-CN"/>
                    </w:rPr>
                    <w:t>其他工程阶段</w:t>
                  </w:r>
                </w:p>
              </w:tc>
              <w:tc>
                <w:tcPr>
                  <w:tcW w:w="2355" w:type="dxa"/>
                  <w:vAlign w:val="center"/>
                </w:tcPr>
                <w:p>
                  <w:pPr>
                    <w:autoSpaceDE w:val="0"/>
                    <w:autoSpaceDN w:val="0"/>
                    <w:jc w:val="center"/>
                    <w:rPr>
                      <w:rFonts w:hint="default" w:ascii="Times New Roman" w:hAnsi="Times New Roman" w:eastAsia="宋体" w:cs="Times New Roman"/>
                      <w:b w:val="0"/>
                      <w:bCs/>
                      <w:szCs w:val="21"/>
                      <w:lang w:val="en-US" w:eastAsia="zh-CN"/>
                    </w:rPr>
                  </w:pPr>
                  <w:r>
                    <w:rPr>
                      <w:rFonts w:hint="default" w:ascii="Times New Roman" w:hAnsi="Times New Roman" w:cs="Times New Roman"/>
                      <w:b w:val="0"/>
                      <w:bCs/>
                      <w:szCs w:val="21"/>
                      <w:lang w:val="en-US" w:eastAsia="zh-CN"/>
                    </w:rPr>
                    <w:t>250</w:t>
                  </w:r>
                </w:p>
              </w:tc>
              <w:tc>
                <w:tcPr>
                  <w:tcW w:w="1929" w:type="dxa"/>
                  <w:vMerge w:val="continue"/>
                  <w:vAlign w:val="center"/>
                </w:tcPr>
                <w:p>
                  <w:pPr>
                    <w:autoSpaceDE w:val="0"/>
                    <w:autoSpaceDN w:val="0"/>
                    <w:jc w:val="center"/>
                    <w:rPr>
                      <w:rFonts w:hint="default" w:ascii="Times New Roman" w:hAnsi="Times New Roman" w:cs="Times New Roman"/>
                      <w:b/>
                      <w:caps/>
                      <w:szCs w:val="21"/>
                    </w:rPr>
                  </w:pPr>
                </w:p>
              </w:tc>
            </w:tr>
          </w:tbl>
          <w:p>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szCs w:val="32"/>
                <w:lang w:eastAsia="zh-CN"/>
              </w:rPr>
              <w:t>营运期</w:t>
            </w:r>
            <w:r>
              <w:rPr>
                <w:rFonts w:hint="default" w:ascii="Times New Roman" w:hAnsi="Times New Roman" w:cs="Times New Roman" w:eastAsiaTheme="minorEastAsia"/>
                <w:sz w:val="24"/>
              </w:rPr>
              <w:t>锅炉废气执行《锅炉大气污染物排放标准》GB13271-2014表2中</w:t>
            </w:r>
            <w:r>
              <w:rPr>
                <w:rFonts w:hint="default" w:ascii="Times New Roman" w:hAnsi="Times New Roman" w:cs="Times New Roman" w:eastAsiaTheme="minorEastAsia"/>
                <w:sz w:val="24"/>
                <w:lang w:val="en-US" w:eastAsia="zh-CN"/>
              </w:rPr>
              <w:t>的</w:t>
            </w:r>
            <w:r>
              <w:rPr>
                <w:rFonts w:hint="default" w:ascii="Times New Roman" w:hAnsi="Times New Roman" w:cs="Times New Roman" w:eastAsiaTheme="minorEastAsia"/>
                <w:sz w:val="24"/>
              </w:rPr>
              <w:t>排放浓度限值</w:t>
            </w:r>
            <w:r>
              <w:rPr>
                <w:rFonts w:hint="default" w:ascii="Times New Roman" w:hAnsi="Times New Roman" w:cs="Times New Roman"/>
                <w:sz w:val="24"/>
              </w:rPr>
              <w:t>。</w:t>
            </w:r>
          </w:p>
          <w:p>
            <w:pPr>
              <w:spacing w:line="324" w:lineRule="auto"/>
              <w:ind w:firstLine="422" w:firstLineChars="200"/>
              <w:jc w:val="center"/>
              <w:rPr>
                <w:rFonts w:hint="default" w:ascii="Times New Roman" w:hAnsi="Times New Roman" w:cs="Times New Roman"/>
                <w:b/>
                <w:bCs/>
                <w:szCs w:val="21"/>
                <w:highlight w:val="darkGreen"/>
              </w:rPr>
            </w:pPr>
            <w:r>
              <w:rPr>
                <w:rFonts w:hint="default" w:ascii="Times New Roman" w:hAnsi="Times New Roman" w:cs="Times New Roman"/>
                <w:b/>
                <w:bCs/>
                <w:szCs w:val="21"/>
              </w:rPr>
              <w:t>表3-</w:t>
            </w:r>
            <w:r>
              <w:rPr>
                <w:rFonts w:hint="eastAsia" w:ascii="Times New Roman" w:hAnsi="Times New Roman" w:cs="Times New Roman"/>
                <w:b/>
                <w:bCs/>
                <w:szCs w:val="21"/>
                <w:lang w:val="en-US" w:eastAsia="zh-CN"/>
              </w:rPr>
              <w:t>8</w:t>
            </w:r>
            <w:r>
              <w:rPr>
                <w:rFonts w:hint="default" w:ascii="Times New Roman" w:hAnsi="Times New Roman" w:cs="Times New Roman"/>
                <w:b/>
                <w:bCs/>
                <w:szCs w:val="21"/>
              </w:rPr>
              <w:t xml:space="preserve"> 锅炉大气污染物排放标准GB 13271-2014</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519"/>
              <w:gridCol w:w="2690"/>
              <w:gridCol w:w="26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497" w:type="dxa"/>
                  <w:vAlign w:val="center"/>
                </w:tcPr>
                <w:p>
                  <w:pPr>
                    <w:autoSpaceDE w:val="0"/>
                    <w:autoSpaceDN w:val="0"/>
                    <w:jc w:val="center"/>
                    <w:rPr>
                      <w:rFonts w:hint="default" w:ascii="Times New Roman" w:hAnsi="Times New Roman" w:cs="Times New Roman"/>
                      <w:b/>
                      <w:caps/>
                      <w:szCs w:val="21"/>
                    </w:rPr>
                  </w:pPr>
                  <w:r>
                    <w:rPr>
                      <w:rFonts w:hint="default" w:ascii="Times New Roman" w:hAnsi="Times New Roman" w:cs="Times New Roman"/>
                      <w:b/>
                      <w:caps/>
                      <w:szCs w:val="21"/>
                    </w:rPr>
                    <w:t>名称</w:t>
                  </w:r>
                </w:p>
              </w:tc>
              <w:tc>
                <w:tcPr>
                  <w:tcW w:w="1529" w:type="dxa"/>
                  <w:vAlign w:val="center"/>
                </w:tcPr>
                <w:p>
                  <w:pPr>
                    <w:tabs>
                      <w:tab w:val="left" w:pos="600"/>
                    </w:tabs>
                    <w:jc w:val="center"/>
                    <w:rPr>
                      <w:rFonts w:hint="default" w:ascii="Times New Roman" w:hAnsi="Times New Roman" w:cs="Times New Roman"/>
                      <w:b/>
                      <w:szCs w:val="21"/>
                    </w:rPr>
                  </w:pPr>
                  <w:r>
                    <w:rPr>
                      <w:rFonts w:hint="default" w:ascii="Times New Roman" w:hAnsi="Times New Roman" w:cs="Times New Roman"/>
                      <w:b/>
                      <w:szCs w:val="21"/>
                    </w:rPr>
                    <w:t>污染物</w:t>
                  </w:r>
                </w:p>
              </w:tc>
              <w:tc>
                <w:tcPr>
                  <w:tcW w:w="2703" w:type="dxa"/>
                  <w:vAlign w:val="center"/>
                </w:tcPr>
                <w:p>
                  <w:pPr>
                    <w:autoSpaceDE w:val="0"/>
                    <w:autoSpaceDN w:val="0"/>
                    <w:jc w:val="center"/>
                    <w:rPr>
                      <w:rFonts w:hint="default" w:ascii="Times New Roman" w:hAnsi="Times New Roman" w:cs="Times New Roman"/>
                      <w:b/>
                      <w:caps/>
                      <w:spacing w:val="-4"/>
                      <w:szCs w:val="21"/>
                    </w:rPr>
                  </w:pPr>
                  <w:r>
                    <w:rPr>
                      <w:rFonts w:hint="default" w:ascii="Times New Roman" w:hAnsi="Times New Roman" w:cs="Times New Roman"/>
                      <w:b/>
                      <w:szCs w:val="21"/>
                    </w:rPr>
                    <w:t>浓度限值（mg/m</w:t>
                  </w:r>
                  <w:r>
                    <w:rPr>
                      <w:rFonts w:hint="default" w:ascii="Times New Roman" w:hAnsi="Times New Roman" w:cs="Times New Roman"/>
                      <w:b/>
                      <w:szCs w:val="21"/>
                      <w:vertAlign w:val="superscript"/>
                    </w:rPr>
                    <w:t>3</w:t>
                  </w:r>
                  <w:r>
                    <w:rPr>
                      <w:rFonts w:hint="default" w:ascii="Times New Roman" w:hAnsi="Times New Roman" w:cs="Times New Roman"/>
                      <w:b/>
                      <w:szCs w:val="21"/>
                    </w:rPr>
                    <w:t>）</w:t>
                  </w:r>
                </w:p>
              </w:tc>
              <w:tc>
                <w:tcPr>
                  <w:tcW w:w="2718" w:type="dxa"/>
                  <w:vAlign w:val="center"/>
                </w:tcPr>
                <w:p>
                  <w:pPr>
                    <w:autoSpaceDE w:val="0"/>
                    <w:autoSpaceDN w:val="0"/>
                    <w:jc w:val="center"/>
                    <w:rPr>
                      <w:rFonts w:hint="default" w:ascii="Times New Roman" w:hAnsi="Times New Roman" w:cs="Times New Roman"/>
                      <w:b/>
                      <w:caps/>
                      <w:szCs w:val="21"/>
                    </w:rPr>
                  </w:pPr>
                  <w:r>
                    <w:rPr>
                      <w:rFonts w:hint="default" w:ascii="Times New Roman" w:hAnsi="Times New Roman" w:cs="Times New Roman"/>
                      <w:b/>
                      <w:caps/>
                      <w:szCs w:val="21"/>
                    </w:rPr>
                    <w:t>污染物监测位置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vMerge w:val="restart"/>
                  <w:vAlign w:val="center"/>
                </w:tcPr>
                <w:p>
                  <w:pPr>
                    <w:jc w:val="center"/>
                    <w:rPr>
                      <w:rFonts w:hint="default" w:ascii="Times New Roman" w:hAnsi="Times New Roman" w:cs="Times New Roman"/>
                      <w:bCs/>
                    </w:rPr>
                  </w:pPr>
                  <w:r>
                    <w:rPr>
                      <w:rFonts w:hint="default" w:ascii="Times New Roman" w:hAnsi="Times New Roman" w:cs="Times New Roman"/>
                      <w:bCs/>
                    </w:rPr>
                    <w:t>锅炉烟气</w:t>
                  </w:r>
                </w:p>
              </w:tc>
              <w:tc>
                <w:tcPr>
                  <w:tcW w:w="1529" w:type="dxa"/>
                  <w:vAlign w:val="center"/>
                </w:tcPr>
                <w:p>
                  <w:pPr>
                    <w:jc w:val="center"/>
                    <w:rPr>
                      <w:rFonts w:hint="default" w:ascii="Times New Roman" w:hAnsi="Times New Roman" w:cs="Times New Roman"/>
                      <w:bCs/>
                    </w:rPr>
                  </w:pPr>
                  <w:r>
                    <w:rPr>
                      <w:rFonts w:hint="default" w:ascii="Times New Roman" w:hAnsi="Times New Roman" w:cs="Times New Roman"/>
                      <w:bCs/>
                    </w:rPr>
                    <w:t>颗粒物</w:t>
                  </w:r>
                </w:p>
              </w:tc>
              <w:tc>
                <w:tcPr>
                  <w:tcW w:w="2703" w:type="dxa"/>
                  <w:vAlign w:val="center"/>
                </w:tcPr>
                <w:p>
                  <w:pPr>
                    <w:autoSpaceDE w:val="0"/>
                    <w:autoSpaceDN w:val="0"/>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20</w:t>
                  </w:r>
                </w:p>
              </w:tc>
              <w:tc>
                <w:tcPr>
                  <w:tcW w:w="2718" w:type="dxa"/>
                  <w:vMerge w:val="restart"/>
                  <w:vAlign w:val="center"/>
                </w:tcPr>
                <w:p>
                  <w:pPr>
                    <w:autoSpaceDE w:val="0"/>
                    <w:autoSpaceDN w:val="0"/>
                    <w:jc w:val="center"/>
                    <w:rPr>
                      <w:rFonts w:hint="default" w:ascii="Times New Roman" w:hAnsi="Times New Roman" w:cs="Times New Roman"/>
                      <w:bCs/>
                      <w:szCs w:val="21"/>
                    </w:rPr>
                  </w:pPr>
                  <w:r>
                    <w:rPr>
                      <w:rFonts w:hint="default" w:ascii="Times New Roman" w:hAnsi="Times New Roman" w:cs="Times New Roman"/>
                      <w:bCs/>
                      <w:szCs w:val="21"/>
                    </w:rPr>
                    <w:t>烟囱或烟道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vMerge w:val="continue"/>
                  <w:vAlign w:val="center"/>
                </w:tcPr>
                <w:p>
                  <w:pPr>
                    <w:jc w:val="center"/>
                    <w:rPr>
                      <w:rFonts w:hint="default" w:ascii="Times New Roman" w:hAnsi="Times New Roman" w:cs="Times New Roman"/>
                      <w:bCs/>
                    </w:rPr>
                  </w:pPr>
                </w:p>
              </w:tc>
              <w:tc>
                <w:tcPr>
                  <w:tcW w:w="1529" w:type="dxa"/>
                  <w:vAlign w:val="center"/>
                </w:tcPr>
                <w:p>
                  <w:pPr>
                    <w:jc w:val="center"/>
                    <w:rPr>
                      <w:rFonts w:hint="default" w:ascii="Times New Roman" w:hAnsi="Times New Roman" w:cs="Times New Roman"/>
                      <w:bCs/>
                    </w:rPr>
                  </w:pPr>
                  <w:r>
                    <w:rPr>
                      <w:rFonts w:hint="default" w:ascii="Times New Roman" w:hAnsi="Times New Roman" w:cs="Times New Roman"/>
                      <w:bCs/>
                    </w:rPr>
                    <w:t>二氧化硫</w:t>
                  </w:r>
                </w:p>
              </w:tc>
              <w:tc>
                <w:tcPr>
                  <w:tcW w:w="2703" w:type="dxa"/>
                  <w:vAlign w:val="center"/>
                </w:tcPr>
                <w:p>
                  <w:pPr>
                    <w:autoSpaceDE w:val="0"/>
                    <w:autoSpaceDN w:val="0"/>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50</w:t>
                  </w:r>
                </w:p>
              </w:tc>
              <w:tc>
                <w:tcPr>
                  <w:tcW w:w="2718" w:type="dxa"/>
                  <w:vMerge w:val="continue"/>
                  <w:vAlign w:val="center"/>
                </w:tcPr>
                <w:p>
                  <w:pPr>
                    <w:autoSpaceDE w:val="0"/>
                    <w:autoSpaceDN w:val="0"/>
                    <w:jc w:val="center"/>
                    <w:rPr>
                      <w:rFonts w:hint="default" w:ascii="Times New Roman" w:hAnsi="Times New Roman"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vMerge w:val="continue"/>
                  <w:vAlign w:val="center"/>
                </w:tcPr>
                <w:p>
                  <w:pPr>
                    <w:jc w:val="center"/>
                    <w:rPr>
                      <w:rFonts w:hint="default" w:ascii="Times New Roman" w:hAnsi="Times New Roman" w:cs="Times New Roman"/>
                      <w:bCs/>
                    </w:rPr>
                  </w:pPr>
                </w:p>
              </w:tc>
              <w:tc>
                <w:tcPr>
                  <w:tcW w:w="1529" w:type="dxa"/>
                  <w:vAlign w:val="center"/>
                </w:tcPr>
                <w:p>
                  <w:pPr>
                    <w:jc w:val="center"/>
                    <w:rPr>
                      <w:rFonts w:hint="default" w:ascii="Times New Roman" w:hAnsi="Times New Roman" w:cs="Times New Roman"/>
                      <w:bCs/>
                    </w:rPr>
                  </w:pPr>
                  <w:r>
                    <w:rPr>
                      <w:rFonts w:hint="default" w:ascii="Times New Roman" w:hAnsi="Times New Roman" w:cs="Times New Roman"/>
                      <w:bCs/>
                    </w:rPr>
                    <w:t>氮氧化物</w:t>
                  </w:r>
                </w:p>
              </w:tc>
              <w:tc>
                <w:tcPr>
                  <w:tcW w:w="2703" w:type="dxa"/>
                  <w:vAlign w:val="center"/>
                </w:tcPr>
                <w:p>
                  <w:pPr>
                    <w:autoSpaceDE w:val="0"/>
                    <w:autoSpaceDN w:val="0"/>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150</w:t>
                  </w:r>
                </w:p>
              </w:tc>
              <w:tc>
                <w:tcPr>
                  <w:tcW w:w="2718" w:type="dxa"/>
                  <w:vMerge w:val="continue"/>
                  <w:vAlign w:val="center"/>
                </w:tcPr>
                <w:p>
                  <w:pPr>
                    <w:autoSpaceDE w:val="0"/>
                    <w:autoSpaceDN w:val="0"/>
                    <w:jc w:val="center"/>
                    <w:rPr>
                      <w:rFonts w:hint="default" w:ascii="Times New Roman" w:hAnsi="Times New Roman"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vMerge w:val="continue"/>
                  <w:vAlign w:val="center"/>
                </w:tcPr>
                <w:p>
                  <w:pPr>
                    <w:jc w:val="center"/>
                    <w:rPr>
                      <w:rFonts w:hint="default" w:ascii="Times New Roman" w:hAnsi="Times New Roman" w:cs="Times New Roman"/>
                      <w:bCs/>
                    </w:rPr>
                  </w:pPr>
                </w:p>
              </w:tc>
              <w:tc>
                <w:tcPr>
                  <w:tcW w:w="1529" w:type="dxa"/>
                  <w:vAlign w:val="center"/>
                </w:tcPr>
                <w:p>
                  <w:pPr>
                    <w:jc w:val="center"/>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汞及其化合物</w:t>
                  </w:r>
                </w:p>
              </w:tc>
              <w:tc>
                <w:tcPr>
                  <w:tcW w:w="2703" w:type="dxa"/>
                  <w:vAlign w:val="center"/>
                </w:tcPr>
                <w:p>
                  <w:pPr>
                    <w:autoSpaceDE w:val="0"/>
                    <w:autoSpaceDN w:val="0"/>
                    <w:jc w:val="center"/>
                    <w:rPr>
                      <w:rFonts w:hint="default" w:ascii="Times New Roman" w:hAnsi="Times New Roman" w:eastAsia="宋体" w:cs="Times New Roman"/>
                      <w:bCs/>
                      <w:szCs w:val="21"/>
                      <w:lang w:eastAsia="zh-CN"/>
                    </w:rPr>
                  </w:pPr>
                  <w:r>
                    <w:rPr>
                      <w:rFonts w:hint="default" w:ascii="Times New Roman" w:hAnsi="Times New Roman" w:cs="Times New Roman"/>
                      <w:bCs/>
                      <w:szCs w:val="21"/>
                      <w:lang w:val="en-US" w:eastAsia="zh-CN"/>
                    </w:rPr>
                    <w:t>-</w:t>
                  </w:r>
                </w:p>
              </w:tc>
              <w:tc>
                <w:tcPr>
                  <w:tcW w:w="2718" w:type="dxa"/>
                  <w:vMerge w:val="continue"/>
                  <w:vAlign w:val="center"/>
                </w:tcPr>
                <w:p>
                  <w:pPr>
                    <w:autoSpaceDE w:val="0"/>
                    <w:autoSpaceDN w:val="0"/>
                    <w:jc w:val="center"/>
                    <w:rPr>
                      <w:rFonts w:hint="default" w:ascii="Times New Roman" w:hAnsi="Times New Roman"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vMerge w:val="continue"/>
                  <w:vAlign w:val="center"/>
                </w:tcPr>
                <w:p>
                  <w:pPr>
                    <w:jc w:val="center"/>
                    <w:rPr>
                      <w:rFonts w:hint="default" w:ascii="Times New Roman" w:hAnsi="Times New Roman" w:cs="Times New Roman"/>
                      <w:bCs/>
                    </w:rPr>
                  </w:pPr>
                </w:p>
              </w:tc>
              <w:tc>
                <w:tcPr>
                  <w:tcW w:w="1529" w:type="dxa"/>
                  <w:vAlign w:val="center"/>
                </w:tcPr>
                <w:p>
                  <w:pPr>
                    <w:jc w:val="center"/>
                    <w:rPr>
                      <w:rFonts w:hint="default" w:ascii="Times New Roman" w:hAnsi="Times New Roman" w:cs="Times New Roman"/>
                      <w:bCs/>
                    </w:rPr>
                  </w:pPr>
                  <w:r>
                    <w:rPr>
                      <w:rFonts w:hint="default" w:ascii="Times New Roman" w:hAnsi="Times New Roman" w:cs="Times New Roman"/>
                      <w:bCs/>
                    </w:rPr>
                    <w:t>烟气黑度</w:t>
                  </w:r>
                </w:p>
              </w:tc>
              <w:tc>
                <w:tcPr>
                  <w:tcW w:w="2703" w:type="dxa"/>
                  <w:vAlign w:val="center"/>
                </w:tcPr>
                <w:p>
                  <w:pPr>
                    <w:autoSpaceDE w:val="0"/>
                    <w:autoSpaceDN w:val="0"/>
                    <w:jc w:val="center"/>
                    <w:rPr>
                      <w:rFonts w:hint="default" w:ascii="Times New Roman" w:hAnsi="Times New Roman" w:cs="Times New Roman"/>
                      <w:bCs/>
                      <w:szCs w:val="21"/>
                    </w:rPr>
                  </w:pPr>
                  <w:r>
                    <w:rPr>
                      <w:rFonts w:hint="default" w:ascii="Times New Roman" w:hAnsi="Times New Roman" w:cs="Times New Roman"/>
                      <w:bCs/>
                      <w:szCs w:val="21"/>
                    </w:rPr>
                    <w:t>≤1</w:t>
                  </w:r>
                </w:p>
              </w:tc>
              <w:tc>
                <w:tcPr>
                  <w:tcW w:w="2718" w:type="dxa"/>
                  <w:vAlign w:val="center"/>
                </w:tcPr>
                <w:p>
                  <w:pPr>
                    <w:autoSpaceDE w:val="0"/>
                    <w:autoSpaceDN w:val="0"/>
                    <w:jc w:val="center"/>
                    <w:rPr>
                      <w:rFonts w:hint="default" w:ascii="Times New Roman" w:hAnsi="Times New Roman" w:cs="Times New Roman"/>
                      <w:bCs/>
                      <w:szCs w:val="21"/>
                    </w:rPr>
                  </w:pPr>
                  <w:r>
                    <w:rPr>
                      <w:rFonts w:hint="default" w:ascii="Times New Roman" w:hAnsi="Times New Roman" w:cs="Times New Roman"/>
                      <w:bCs/>
                      <w:szCs w:val="21"/>
                    </w:rPr>
                    <w:t>烟囱排放口</w:t>
                  </w:r>
                </w:p>
              </w:tc>
            </w:tr>
          </w:tbl>
          <w:p>
            <w:pPr>
              <w:pStyle w:val="72"/>
              <w:spacing w:line="360" w:lineRule="auto"/>
              <w:rPr>
                <w:rFonts w:hint="default" w:ascii="Times New Roman" w:hAnsi="Times New Roman" w:eastAsia="宋体" w:cs="Times New Roman"/>
                <w:b/>
                <w:szCs w:val="24"/>
                <w:lang w:val="en-US" w:eastAsia="zh-CN"/>
              </w:rPr>
            </w:pPr>
            <w:r>
              <w:rPr>
                <w:rFonts w:hint="eastAsia" w:cs="Times New Roman"/>
                <w:b/>
                <w:szCs w:val="24"/>
                <w:lang w:val="en-US" w:eastAsia="zh-CN"/>
              </w:rPr>
              <w:t>注：本项目燃烧生物质气，参照燃气锅炉排放标准</w:t>
            </w:r>
          </w:p>
          <w:p>
            <w:pPr>
              <w:pStyle w:val="72"/>
              <w:spacing w:line="360" w:lineRule="auto"/>
              <w:rPr>
                <w:rFonts w:hint="default" w:ascii="Times New Roman" w:hAnsi="Times New Roman" w:cs="Times New Roman"/>
                <w:b/>
                <w:szCs w:val="24"/>
              </w:rPr>
            </w:pPr>
            <w:r>
              <w:rPr>
                <w:rFonts w:hint="default" w:ascii="Times New Roman" w:hAnsi="Times New Roman" w:cs="Times New Roman"/>
                <w:b/>
                <w:szCs w:val="24"/>
              </w:rPr>
              <w:t>三、噪声</w:t>
            </w:r>
          </w:p>
          <w:p>
            <w:pPr>
              <w:pStyle w:val="72"/>
              <w:spacing w:line="360" w:lineRule="auto"/>
              <w:ind w:firstLine="480"/>
              <w:rPr>
                <w:rFonts w:hint="default" w:ascii="Times New Roman" w:hAnsi="Times New Roman" w:cs="Times New Roman"/>
              </w:rPr>
            </w:pPr>
            <w:r>
              <w:rPr>
                <w:rFonts w:hint="default" w:ascii="Times New Roman" w:hAnsi="Times New Roman" w:cs="Times New Roman"/>
              </w:rPr>
              <w:t>施工期噪声执行《建筑施工场界环境噪声排放标准》</w:t>
            </w:r>
            <w:r>
              <w:rPr>
                <w:rFonts w:hint="eastAsia" w:cs="Times New Roman"/>
                <w:lang w:eastAsia="zh-CN"/>
              </w:rPr>
              <w:t>（</w:t>
            </w:r>
            <w:r>
              <w:rPr>
                <w:rFonts w:hint="default" w:ascii="Times New Roman" w:hAnsi="Times New Roman" w:cs="Times New Roman"/>
              </w:rPr>
              <w:t>GB12523-2011</w:t>
            </w:r>
            <w:r>
              <w:rPr>
                <w:rFonts w:hint="eastAsia" w:cs="Times New Roman"/>
                <w:lang w:eastAsia="zh-CN"/>
              </w:rPr>
              <w:t>）</w:t>
            </w:r>
            <w:r>
              <w:rPr>
                <w:rFonts w:hint="default" w:ascii="Times New Roman" w:hAnsi="Times New Roman" w:cs="Times New Roman"/>
              </w:rPr>
              <w:t>限值，</w:t>
            </w:r>
            <w:r>
              <w:rPr>
                <w:rFonts w:hint="default" w:ascii="Times New Roman" w:hAnsi="Times New Roman" w:cs="Times New Roman"/>
                <w:u w:val="single"/>
              </w:rPr>
              <w:t>昼间70</w:t>
            </w:r>
            <w:r>
              <w:rPr>
                <w:rFonts w:hint="default" w:ascii="Times New Roman" w:hAnsi="Times New Roman" w:cs="Times New Roman"/>
                <w:bCs/>
                <w:szCs w:val="21"/>
                <w:u w:val="single"/>
              </w:rPr>
              <w:t>[dB</w:t>
            </w:r>
            <w:r>
              <w:rPr>
                <w:rFonts w:hint="eastAsia" w:cs="Times New Roman"/>
                <w:bCs/>
                <w:szCs w:val="21"/>
                <w:u w:val="single"/>
                <w:lang w:eastAsia="zh-CN"/>
              </w:rPr>
              <w:t>（</w:t>
            </w:r>
            <w:r>
              <w:rPr>
                <w:rFonts w:hint="default" w:ascii="Times New Roman" w:hAnsi="Times New Roman" w:cs="Times New Roman"/>
                <w:bCs/>
                <w:szCs w:val="21"/>
                <w:u w:val="single"/>
              </w:rPr>
              <w:t>A</w:t>
            </w:r>
            <w:r>
              <w:rPr>
                <w:rFonts w:hint="eastAsia" w:cs="Times New Roman"/>
                <w:bCs/>
                <w:szCs w:val="21"/>
                <w:u w:val="single"/>
                <w:lang w:eastAsia="zh-CN"/>
              </w:rPr>
              <w:t>）</w:t>
            </w:r>
            <w:r>
              <w:rPr>
                <w:rFonts w:hint="default" w:ascii="Times New Roman" w:hAnsi="Times New Roman" w:cs="Times New Roman"/>
                <w:bCs/>
                <w:szCs w:val="21"/>
                <w:u w:val="single"/>
              </w:rPr>
              <w:t>]、夜间55[dB</w:t>
            </w:r>
            <w:r>
              <w:rPr>
                <w:rFonts w:hint="eastAsia" w:cs="Times New Roman"/>
                <w:bCs/>
                <w:szCs w:val="21"/>
                <w:u w:val="single"/>
                <w:lang w:eastAsia="zh-CN"/>
              </w:rPr>
              <w:t>（</w:t>
            </w:r>
            <w:r>
              <w:rPr>
                <w:rFonts w:hint="default" w:ascii="Times New Roman" w:hAnsi="Times New Roman" w:cs="Times New Roman"/>
                <w:bCs/>
                <w:szCs w:val="21"/>
                <w:u w:val="single"/>
              </w:rPr>
              <w:t>A</w:t>
            </w:r>
            <w:r>
              <w:rPr>
                <w:rFonts w:hint="eastAsia" w:cs="Times New Roman"/>
                <w:bCs/>
                <w:szCs w:val="21"/>
                <w:u w:val="single"/>
                <w:lang w:eastAsia="zh-CN"/>
              </w:rPr>
              <w:t>）</w:t>
            </w:r>
            <w:r>
              <w:rPr>
                <w:rFonts w:hint="default" w:ascii="Times New Roman" w:hAnsi="Times New Roman" w:cs="Times New Roman"/>
                <w:bCs/>
                <w:szCs w:val="21"/>
                <w:u w:val="single"/>
              </w:rPr>
              <w:t>]</w:t>
            </w:r>
            <w:r>
              <w:rPr>
                <w:rFonts w:hint="default" w:ascii="Times New Roman" w:hAnsi="Times New Roman" w:cs="Times New Roman"/>
              </w:rPr>
              <w:t>。</w:t>
            </w:r>
            <w:r>
              <w:rPr>
                <w:rFonts w:hint="default" w:ascii="Times New Roman" w:hAnsi="Times New Roman" w:cs="Times New Roman"/>
                <w:bCs/>
                <w:szCs w:val="24"/>
              </w:rPr>
              <w:t>营运期执行</w:t>
            </w:r>
            <w:r>
              <w:rPr>
                <w:rFonts w:hint="default" w:ascii="Times New Roman" w:hAnsi="Times New Roman" w:cs="Times New Roman"/>
                <w:szCs w:val="24"/>
              </w:rPr>
              <w:t>《工业企业厂界环境噪声排放标准》（GB12348-2008）</w:t>
            </w:r>
            <w:r>
              <w:rPr>
                <w:rFonts w:hint="default" w:ascii="Times New Roman" w:hAnsi="Times New Roman" w:cs="Times New Roman"/>
                <w:szCs w:val="21"/>
              </w:rPr>
              <w:t>3</w:t>
            </w:r>
            <w:r>
              <w:rPr>
                <w:rFonts w:hint="default" w:ascii="Times New Roman" w:hAnsi="Times New Roman" w:cs="Times New Roman"/>
                <w:szCs w:val="24"/>
              </w:rPr>
              <w:t>类</w:t>
            </w:r>
            <w:r>
              <w:rPr>
                <w:rFonts w:hint="default" w:ascii="Times New Roman" w:hAnsi="Times New Roman" w:cs="Times New Roman"/>
              </w:rPr>
              <w:t>标准。</w:t>
            </w:r>
          </w:p>
          <w:p>
            <w:pPr>
              <w:spacing w:line="324" w:lineRule="auto"/>
              <w:ind w:firstLine="422" w:firstLineChars="200"/>
              <w:jc w:val="center"/>
              <w:rPr>
                <w:rFonts w:hint="default" w:ascii="Times New Roman" w:hAnsi="Times New Roman" w:cs="Times New Roman"/>
                <w:b/>
                <w:bCs/>
                <w:szCs w:val="21"/>
                <w:highlight w:val="darkGreen"/>
              </w:rPr>
            </w:pPr>
            <w:r>
              <w:rPr>
                <w:rFonts w:hint="default" w:ascii="Times New Roman" w:hAnsi="Times New Roman" w:cs="Times New Roman"/>
                <w:b/>
                <w:bCs/>
                <w:szCs w:val="21"/>
              </w:rPr>
              <w:t>表3-</w:t>
            </w:r>
            <w:r>
              <w:rPr>
                <w:rFonts w:hint="eastAsia" w:ascii="Times New Roman" w:hAnsi="Times New Roman" w:cs="Times New Roman"/>
                <w:b/>
                <w:bCs/>
                <w:szCs w:val="21"/>
                <w:lang w:val="en-US" w:eastAsia="zh-CN"/>
              </w:rPr>
              <w:t>9</w:t>
            </w:r>
            <w:r>
              <w:rPr>
                <w:rFonts w:hint="default" w:ascii="Times New Roman" w:hAnsi="Times New Roman" w:cs="Times New Roman"/>
                <w:b/>
                <w:bCs/>
                <w:szCs w:val="21"/>
              </w:rPr>
              <w:t xml:space="preserve"> 工业企业厂界噪声排放标准</w:t>
            </w:r>
          </w:p>
          <w:tbl>
            <w:tblPr>
              <w:tblStyle w:val="2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15"/>
              <w:gridCol w:w="2406"/>
              <w:gridCol w:w="19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7" w:type="dxa"/>
                </w:tcPr>
                <w:p>
                  <w:pPr>
                    <w:jc w:val="center"/>
                    <w:rPr>
                      <w:rFonts w:hint="default" w:ascii="Times New Roman" w:hAnsi="Times New Roman" w:cs="Times New Roman"/>
                      <w:bCs/>
                      <w:szCs w:val="21"/>
                    </w:rPr>
                  </w:pPr>
                  <w:r>
                    <w:rPr>
                      <w:rFonts w:hint="default" w:ascii="Times New Roman" w:hAnsi="Times New Roman" w:cs="Times New Roman"/>
                      <w:bCs/>
                      <w:szCs w:val="21"/>
                    </w:rPr>
                    <w:t>时段</w:t>
                  </w:r>
                </w:p>
              </w:tc>
              <w:tc>
                <w:tcPr>
                  <w:tcW w:w="2502" w:type="dxa"/>
                </w:tcPr>
                <w:p>
                  <w:pPr>
                    <w:jc w:val="center"/>
                    <w:rPr>
                      <w:rFonts w:hint="default" w:ascii="Times New Roman" w:hAnsi="Times New Roman" w:cs="Times New Roman"/>
                      <w:bCs/>
                      <w:szCs w:val="21"/>
                    </w:rPr>
                  </w:pPr>
                  <w:r>
                    <w:rPr>
                      <w:rFonts w:hint="default" w:ascii="Times New Roman" w:hAnsi="Times New Roman" w:cs="Times New Roman"/>
                      <w:bCs/>
                      <w:szCs w:val="21"/>
                    </w:rPr>
                    <w:t>昼间[dBA</w:t>
                  </w:r>
                  <w:r>
                    <w:rPr>
                      <w:rFonts w:hint="eastAsia" w:cs="Times New Roman"/>
                      <w:bCs/>
                      <w:szCs w:val="21"/>
                      <w:lang w:eastAsia="zh-CN"/>
                    </w:rPr>
                    <w:t>）</w:t>
                  </w:r>
                  <w:r>
                    <w:rPr>
                      <w:rFonts w:hint="default" w:ascii="Times New Roman" w:hAnsi="Times New Roman" w:cs="Times New Roman"/>
                      <w:bCs/>
                      <w:szCs w:val="21"/>
                    </w:rPr>
                    <w:t>]</w:t>
                  </w:r>
                </w:p>
              </w:tc>
              <w:tc>
                <w:tcPr>
                  <w:tcW w:w="2051" w:type="dxa"/>
                </w:tcPr>
                <w:p>
                  <w:pPr>
                    <w:jc w:val="center"/>
                    <w:rPr>
                      <w:rFonts w:hint="default" w:ascii="Times New Roman" w:hAnsi="Times New Roman" w:cs="Times New Roman"/>
                      <w:bCs/>
                      <w:szCs w:val="21"/>
                    </w:rPr>
                  </w:pPr>
                  <w:r>
                    <w:rPr>
                      <w:rFonts w:hint="default" w:ascii="Times New Roman" w:hAnsi="Times New Roman" w:cs="Times New Roman"/>
                      <w:bCs/>
                      <w:szCs w:val="21"/>
                    </w:rPr>
                    <w:t>夜间[dBA</w:t>
                  </w:r>
                  <w:r>
                    <w:rPr>
                      <w:rFonts w:hint="eastAsia" w:cs="Times New Roman"/>
                      <w:bCs/>
                      <w:szCs w:val="21"/>
                      <w:lang w:eastAsia="zh-CN"/>
                    </w:rPr>
                    <w:t>）</w:t>
                  </w:r>
                  <w:r>
                    <w:rPr>
                      <w:rFonts w:hint="default"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7" w:type="dxa"/>
                </w:tcPr>
                <w:p>
                  <w:pPr>
                    <w:jc w:val="center"/>
                    <w:rPr>
                      <w:rFonts w:hint="default" w:ascii="Times New Roman" w:hAnsi="Times New Roman" w:cs="Times New Roman"/>
                      <w:szCs w:val="21"/>
                    </w:rPr>
                  </w:pPr>
                  <w:r>
                    <w:rPr>
                      <w:rFonts w:hint="default" w:ascii="Times New Roman" w:hAnsi="Times New Roman" w:cs="Times New Roman"/>
                      <w:szCs w:val="21"/>
                    </w:rPr>
                    <w:t>GB</w:t>
                  </w:r>
                  <w:r>
                    <w:rPr>
                      <w:rFonts w:hint="default" w:ascii="Times New Roman" w:hAnsi="Times New Roman" w:cs="Times New Roman"/>
                    </w:rPr>
                    <w:t>12348</w:t>
                  </w:r>
                  <w:r>
                    <w:rPr>
                      <w:rFonts w:hint="default" w:ascii="Times New Roman" w:hAnsi="Times New Roman" w:cs="Times New Roman"/>
                      <w:szCs w:val="21"/>
                    </w:rPr>
                    <w:t>-2008</w:t>
                  </w:r>
                </w:p>
              </w:tc>
              <w:tc>
                <w:tcPr>
                  <w:tcW w:w="2502" w:type="dxa"/>
                </w:tcPr>
                <w:p>
                  <w:pPr>
                    <w:jc w:val="center"/>
                    <w:rPr>
                      <w:rFonts w:hint="default" w:ascii="Times New Roman" w:hAnsi="Times New Roman" w:cs="Times New Roman"/>
                      <w:szCs w:val="21"/>
                    </w:rPr>
                  </w:pPr>
                  <w:r>
                    <w:rPr>
                      <w:rFonts w:hint="default" w:ascii="Times New Roman" w:hAnsi="Times New Roman" w:cs="Times New Roman"/>
                      <w:szCs w:val="21"/>
                    </w:rPr>
                    <w:t>65</w:t>
                  </w:r>
                </w:p>
              </w:tc>
              <w:tc>
                <w:tcPr>
                  <w:tcW w:w="2051" w:type="dxa"/>
                </w:tcPr>
                <w:p>
                  <w:pPr>
                    <w:jc w:val="center"/>
                    <w:rPr>
                      <w:rFonts w:hint="default" w:ascii="Times New Roman" w:hAnsi="Times New Roman" w:cs="Times New Roman"/>
                      <w:szCs w:val="21"/>
                    </w:rPr>
                  </w:pPr>
                  <w:r>
                    <w:rPr>
                      <w:rFonts w:hint="default" w:ascii="Times New Roman" w:hAnsi="Times New Roman" w:cs="Times New Roman"/>
                      <w:szCs w:val="21"/>
                    </w:rPr>
                    <w:t>55</w:t>
                  </w:r>
                </w:p>
              </w:tc>
            </w:tr>
          </w:tbl>
          <w:p>
            <w:pPr>
              <w:pStyle w:val="72"/>
              <w:adjustRightInd/>
              <w:spacing w:line="360" w:lineRule="auto"/>
              <w:rPr>
                <w:rFonts w:hint="default" w:ascii="Times New Roman" w:hAnsi="Times New Roman" w:cs="Times New Roman"/>
                <w:b/>
                <w:szCs w:val="24"/>
              </w:rPr>
            </w:pPr>
            <w:r>
              <w:rPr>
                <w:rFonts w:hint="default" w:ascii="Times New Roman" w:hAnsi="Times New Roman" w:cs="Times New Roman"/>
                <w:b/>
                <w:szCs w:val="24"/>
              </w:rPr>
              <w:t>四、固体废物</w:t>
            </w:r>
          </w:p>
          <w:p>
            <w:pPr>
              <w:adjustRightInd w:val="0"/>
              <w:snapToGrid w:val="0"/>
              <w:spacing w:line="360" w:lineRule="auto"/>
              <w:ind w:firstLine="480" w:firstLineChars="200"/>
              <w:rPr>
                <w:rFonts w:hint="default" w:ascii="Times New Roman" w:hAnsi="Times New Roman" w:cs="Times New Roman"/>
                <w:kern w:val="0"/>
                <w:szCs w:val="21"/>
              </w:rPr>
            </w:pPr>
            <w:r>
              <w:rPr>
                <w:rFonts w:hint="default" w:ascii="Times New Roman" w:hAnsi="Times New Roman" w:cs="Times New Roman"/>
                <w:color w:val="auto"/>
                <w:sz w:val="24"/>
                <w:u w:val="none"/>
              </w:rPr>
              <w:t>一般固废应该有一个贮存场所，本项目采用库房、包装工具贮存一般固废，贮存过程应满足相应防渗漏、防雨淋、防扬尘等环境保护要求，危险废物管理执行《国家危险废物名录》（2021版）、</w:t>
            </w:r>
            <w:r>
              <w:rPr>
                <w:rFonts w:hint="default" w:ascii="Times New Roman" w:hAnsi="Times New Roman" w:cs="Times New Roman"/>
                <w:color w:val="auto"/>
                <w:sz w:val="24"/>
                <w:u w:val="none"/>
                <w:lang w:eastAsia="zh-CN"/>
              </w:rPr>
              <w:t>《危险废物贮存污染控制标准》（GB18597-2023）</w:t>
            </w:r>
            <w:r>
              <w:rPr>
                <w:rFonts w:hint="default" w:ascii="Times New Roman" w:hAnsi="Times New Roman" w:cs="Times New Roman"/>
                <w:color w:val="auto"/>
                <w:sz w:val="24"/>
                <w:u w:val="none"/>
              </w:rPr>
              <w:t>的有关规定</w:t>
            </w:r>
            <w:r>
              <w:rPr>
                <w:rFonts w:hint="default" w:ascii="Times New Roman" w:hAnsi="Times New Roman" w:cs="Times New Roman"/>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44" w:hRule="atLeast"/>
          <w:jc w:val="center"/>
        </w:trPr>
        <w:tc>
          <w:tcPr>
            <w:tcW w:w="398" w:type="dxa"/>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总量</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控制</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指标</w:t>
            </w:r>
          </w:p>
        </w:tc>
        <w:tc>
          <w:tcPr>
            <w:tcW w:w="8663" w:type="dxa"/>
            <w:vAlign w:val="center"/>
          </w:tcPr>
          <w:p>
            <w:pPr>
              <w:spacing w:line="360" w:lineRule="auto"/>
              <w:ind w:firstLine="482"/>
              <w:rPr>
                <w:rFonts w:hint="default" w:ascii="Times New Roman" w:hAnsi="Times New Roman" w:cs="Times New Roman"/>
                <w:sz w:val="24"/>
              </w:rPr>
            </w:pPr>
            <w:r>
              <w:rPr>
                <w:rFonts w:hint="default" w:ascii="Times New Roman" w:hAnsi="Times New Roman" w:cs="Times New Roman"/>
                <w:sz w:val="24"/>
              </w:rPr>
              <w:t>根据国家对总量控制的有关要求，并结合项目污染物排放及周围环境状况，本项目需进行总量控制的污染物为COD</w:t>
            </w:r>
            <w:r>
              <w:rPr>
                <w:rFonts w:hint="default" w:ascii="Times New Roman" w:hAnsi="Times New Roman" w:cs="Times New Roman"/>
                <w:sz w:val="24"/>
                <w:vertAlign w:val="subscript"/>
              </w:rPr>
              <w:t>Cr</w:t>
            </w:r>
            <w:r>
              <w:rPr>
                <w:rFonts w:hint="default" w:ascii="Times New Roman" w:hAnsi="Times New Roman" w:cs="Times New Roman"/>
                <w:sz w:val="24"/>
              </w:rPr>
              <w:t>、NH</w:t>
            </w:r>
            <w:r>
              <w:rPr>
                <w:rFonts w:hint="default" w:ascii="Times New Roman" w:hAnsi="Times New Roman" w:cs="Times New Roman"/>
                <w:sz w:val="24"/>
                <w:vertAlign w:val="subscript"/>
              </w:rPr>
              <w:t>3</w:t>
            </w:r>
            <w:r>
              <w:rPr>
                <w:rFonts w:hint="default" w:ascii="Times New Roman" w:hAnsi="Times New Roman" w:cs="Times New Roman"/>
                <w:sz w:val="24"/>
              </w:rPr>
              <w:t>-N、总磷。</w:t>
            </w:r>
          </w:p>
          <w:p>
            <w:pPr>
              <w:spacing w:line="360" w:lineRule="auto"/>
              <w:ind w:firstLine="482"/>
              <w:rPr>
                <w:rFonts w:hint="default" w:ascii="Times New Roman" w:hAnsi="Times New Roman" w:cs="Times New Roman"/>
                <w:b/>
                <w:sz w:val="24"/>
              </w:rPr>
            </w:pPr>
            <w:r>
              <w:rPr>
                <w:rFonts w:hint="default" w:ascii="Times New Roman" w:hAnsi="Times New Roman" w:cs="Times New Roman"/>
                <w:b/>
                <w:bCs/>
                <w:sz w:val="24"/>
              </w:rPr>
              <w:t>废水：</w:t>
            </w:r>
            <w:r>
              <w:rPr>
                <w:rFonts w:hint="default" w:ascii="Times New Roman" w:hAnsi="Times New Roman" w:cs="Times New Roman"/>
                <w:sz w:val="24"/>
              </w:rPr>
              <w:t>项目产生的废水经预处理后达到三级标准后排入园区污水管网，最终进入</w:t>
            </w:r>
            <w:r>
              <w:rPr>
                <w:rFonts w:hint="default" w:ascii="Times New Roman" w:hAnsi="Times New Roman" w:cs="Times New Roman"/>
                <w:sz w:val="24"/>
                <w:lang w:eastAsia="zh-CN"/>
              </w:rPr>
              <w:t>大英工业集中区污水处理厂</w:t>
            </w:r>
            <w:r>
              <w:rPr>
                <w:rFonts w:hint="default" w:ascii="Times New Roman" w:hAnsi="Times New Roman" w:cs="Times New Roman"/>
                <w:spacing w:val="-2"/>
                <w:sz w:val="24"/>
                <w:szCs w:val="22"/>
                <w:lang w:bidi="ar"/>
              </w:rPr>
              <w:t>处理达到</w:t>
            </w:r>
            <w:r>
              <w:rPr>
                <w:rFonts w:hint="default" w:ascii="Times New Roman" w:hAnsi="Times New Roman" w:cs="Times New Roman"/>
                <w:sz w:val="24"/>
              </w:rPr>
              <w:t>《四川省岷江、沱江流域水污染物排放标准</w:t>
            </w:r>
            <w:r>
              <w:rPr>
                <w:rFonts w:hint="default" w:ascii="Times New Roman" w:hAnsi="Times New Roman" w:cs="Times New Roman"/>
                <w:spacing w:val="-2"/>
                <w:sz w:val="24"/>
                <w:szCs w:val="22"/>
                <w:lang w:bidi="ar"/>
              </w:rPr>
              <w:t>》（DB51/2311-2016）后</w:t>
            </w:r>
            <w:r>
              <w:rPr>
                <w:rFonts w:hint="default" w:ascii="Times New Roman" w:hAnsi="Times New Roman" w:cs="Times New Roman"/>
                <w:sz w:val="24"/>
              </w:rPr>
              <w:t>排入</w:t>
            </w:r>
            <w:r>
              <w:rPr>
                <w:rFonts w:hint="default" w:ascii="Times New Roman" w:hAnsi="Times New Roman" w:cs="Times New Roman"/>
                <w:sz w:val="24"/>
                <w:lang w:eastAsia="zh-CN"/>
              </w:rPr>
              <w:t>郪江</w:t>
            </w:r>
            <w:r>
              <w:rPr>
                <w:rFonts w:hint="default" w:ascii="Times New Roman" w:hAnsi="Times New Roman" w:cs="Times New Roman"/>
                <w:sz w:val="24"/>
                <w:lang w:bidi="ar"/>
              </w:rPr>
              <w:t>。</w:t>
            </w:r>
          </w:p>
          <w:p>
            <w:pPr>
              <w:spacing w:line="360" w:lineRule="auto"/>
              <w:ind w:firstLine="482"/>
              <w:rPr>
                <w:rFonts w:hint="default" w:ascii="Times New Roman" w:hAnsi="Times New Roman" w:cs="Times New Roman"/>
                <w:bCs/>
                <w:sz w:val="24"/>
              </w:rPr>
            </w:pPr>
            <w:r>
              <w:rPr>
                <w:rFonts w:hint="default" w:ascii="Times New Roman" w:hAnsi="Times New Roman" w:cs="Times New Roman"/>
                <w:bCs/>
                <w:sz w:val="24"/>
              </w:rPr>
              <w:t>项目废水排放量为</w:t>
            </w:r>
            <w:r>
              <w:rPr>
                <w:rFonts w:hint="eastAsia" w:ascii="Times New Roman" w:hAnsi="Times New Roman" w:cs="Times New Roman"/>
                <w:sz w:val="24"/>
                <w:szCs w:val="22"/>
                <w:lang w:eastAsia="zh-CN"/>
              </w:rPr>
              <w:t>5728.8</w:t>
            </w:r>
            <w:r>
              <w:rPr>
                <w:rFonts w:hint="default" w:ascii="Times New Roman" w:hAnsi="Times New Roman" w:cs="Times New Roman"/>
                <w:bCs/>
                <w:sz w:val="24"/>
              </w:rPr>
              <w:t>t/a，则：</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（1）项目污水排入污水管网的总量指标：</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CODcr：</w:t>
            </w:r>
            <w:r>
              <w:rPr>
                <w:rFonts w:hint="eastAsia" w:ascii="Times New Roman" w:hAnsi="Times New Roman" w:cs="Times New Roman"/>
                <w:bCs/>
                <w:sz w:val="24"/>
                <w:lang w:eastAsia="zh-CN"/>
              </w:rPr>
              <w:t>5728.8</w:t>
            </w:r>
            <w:r>
              <w:rPr>
                <w:rFonts w:hint="default" w:ascii="Times New Roman" w:hAnsi="Times New Roman" w:cs="Times New Roman"/>
                <w:bCs/>
                <w:sz w:val="24"/>
              </w:rPr>
              <w:t>t/a×500mg/L×10</w:t>
            </w:r>
            <w:r>
              <w:rPr>
                <w:rFonts w:hint="default" w:ascii="Times New Roman" w:hAnsi="Times New Roman" w:cs="Times New Roman"/>
                <w:bCs/>
                <w:sz w:val="24"/>
                <w:vertAlign w:val="superscript"/>
              </w:rPr>
              <w:t>-6</w:t>
            </w:r>
            <w:r>
              <w:rPr>
                <w:rFonts w:hint="default" w:ascii="Times New Roman" w:hAnsi="Times New Roman" w:cs="Times New Roman"/>
                <w:bCs/>
                <w:sz w:val="24"/>
              </w:rPr>
              <w:t>=</w:t>
            </w:r>
            <w:r>
              <w:rPr>
                <w:rFonts w:hint="eastAsia" w:ascii="Times New Roman" w:hAnsi="Times New Roman" w:cs="Times New Roman"/>
                <w:bCs/>
                <w:sz w:val="24"/>
                <w:lang w:val="en-US" w:eastAsia="zh-CN"/>
              </w:rPr>
              <w:t>2.864</w:t>
            </w:r>
            <w:r>
              <w:rPr>
                <w:rFonts w:hint="default" w:ascii="Times New Roman" w:hAnsi="Times New Roman" w:cs="Times New Roman"/>
                <w:bCs/>
                <w:sz w:val="24"/>
              </w:rPr>
              <w:t>t；</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NH</w:t>
            </w:r>
            <w:r>
              <w:rPr>
                <w:rFonts w:hint="default" w:ascii="Times New Roman" w:hAnsi="Times New Roman" w:cs="Times New Roman"/>
                <w:bCs/>
                <w:sz w:val="24"/>
                <w:vertAlign w:val="subscript"/>
              </w:rPr>
              <w:t>3</w:t>
            </w:r>
            <w:r>
              <w:rPr>
                <w:rFonts w:hint="default" w:ascii="Times New Roman" w:hAnsi="Times New Roman" w:cs="Times New Roman"/>
                <w:bCs/>
                <w:sz w:val="24"/>
              </w:rPr>
              <w:t>-N：</w:t>
            </w:r>
            <w:r>
              <w:rPr>
                <w:rFonts w:hint="eastAsia" w:ascii="Times New Roman" w:hAnsi="Times New Roman" w:cs="Times New Roman"/>
                <w:bCs/>
                <w:sz w:val="24"/>
                <w:lang w:eastAsia="zh-CN"/>
              </w:rPr>
              <w:t>5728.8</w:t>
            </w:r>
            <w:r>
              <w:rPr>
                <w:rFonts w:hint="default" w:ascii="Times New Roman" w:hAnsi="Times New Roman" w:cs="Times New Roman"/>
                <w:bCs/>
                <w:sz w:val="24"/>
              </w:rPr>
              <w:t>t/a×45mg/L×10</w:t>
            </w:r>
            <w:r>
              <w:rPr>
                <w:rFonts w:hint="default" w:ascii="Times New Roman" w:hAnsi="Times New Roman" w:cs="Times New Roman"/>
                <w:bCs/>
                <w:sz w:val="24"/>
                <w:vertAlign w:val="superscript"/>
              </w:rPr>
              <w:t>-6</w:t>
            </w:r>
            <w:r>
              <w:rPr>
                <w:rFonts w:hint="default" w:ascii="Times New Roman" w:hAnsi="Times New Roman" w:cs="Times New Roman"/>
                <w:bCs/>
                <w:sz w:val="24"/>
              </w:rPr>
              <w:t>=</w:t>
            </w:r>
            <w:r>
              <w:rPr>
                <w:rFonts w:hint="eastAsia" w:ascii="Times New Roman" w:hAnsi="Times New Roman" w:cs="Times New Roman"/>
                <w:bCs/>
                <w:sz w:val="24"/>
                <w:lang w:val="en-US" w:eastAsia="zh-CN"/>
              </w:rPr>
              <w:t>0.258</w:t>
            </w:r>
            <w:r>
              <w:rPr>
                <w:rFonts w:hint="default" w:ascii="Times New Roman" w:hAnsi="Times New Roman" w:cs="Times New Roman"/>
                <w:bCs/>
                <w:sz w:val="24"/>
              </w:rPr>
              <w:t>t；</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TP：</w:t>
            </w:r>
            <w:r>
              <w:rPr>
                <w:rFonts w:hint="eastAsia" w:ascii="Times New Roman" w:hAnsi="Times New Roman" w:cs="Times New Roman"/>
                <w:bCs/>
                <w:sz w:val="24"/>
                <w:lang w:eastAsia="zh-CN"/>
              </w:rPr>
              <w:t>5728.8</w:t>
            </w:r>
            <w:r>
              <w:rPr>
                <w:rFonts w:hint="default" w:ascii="Times New Roman" w:hAnsi="Times New Roman" w:cs="Times New Roman"/>
                <w:bCs/>
                <w:sz w:val="24"/>
              </w:rPr>
              <w:t>t/a×8mg/L×10</w:t>
            </w:r>
            <w:r>
              <w:rPr>
                <w:rFonts w:hint="default" w:ascii="Times New Roman" w:hAnsi="Times New Roman" w:cs="Times New Roman"/>
                <w:bCs/>
                <w:sz w:val="24"/>
                <w:vertAlign w:val="superscript"/>
              </w:rPr>
              <w:t>-6</w:t>
            </w:r>
            <w:r>
              <w:rPr>
                <w:rFonts w:hint="default" w:ascii="Times New Roman" w:hAnsi="Times New Roman" w:cs="Times New Roman"/>
                <w:bCs/>
                <w:sz w:val="24"/>
              </w:rPr>
              <w:t>=0.0</w:t>
            </w:r>
            <w:r>
              <w:rPr>
                <w:rFonts w:hint="eastAsia" w:ascii="Times New Roman" w:hAnsi="Times New Roman" w:cs="Times New Roman"/>
                <w:bCs/>
                <w:sz w:val="24"/>
                <w:lang w:val="en-US" w:eastAsia="zh-CN"/>
              </w:rPr>
              <w:t>46</w:t>
            </w:r>
            <w:r>
              <w:rPr>
                <w:rFonts w:hint="default" w:ascii="Times New Roman" w:hAnsi="Times New Roman" w:cs="Times New Roman"/>
                <w:bCs/>
                <w:sz w:val="24"/>
              </w:rPr>
              <w:t>t。</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（2）最终排入</w:t>
            </w:r>
            <w:r>
              <w:rPr>
                <w:rFonts w:hint="default" w:ascii="Times New Roman" w:hAnsi="Times New Roman" w:cs="Times New Roman"/>
                <w:sz w:val="24"/>
                <w:lang w:eastAsia="zh-CN"/>
              </w:rPr>
              <w:t>郪江</w:t>
            </w:r>
            <w:r>
              <w:rPr>
                <w:rFonts w:hint="default" w:ascii="Times New Roman" w:hAnsi="Times New Roman" w:cs="Times New Roman"/>
                <w:bCs/>
                <w:sz w:val="24"/>
              </w:rPr>
              <w:t>的总量指标：</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CODcr：</w:t>
            </w:r>
            <w:r>
              <w:rPr>
                <w:rFonts w:hint="eastAsia" w:ascii="Times New Roman" w:hAnsi="Times New Roman" w:cs="Times New Roman"/>
                <w:bCs/>
                <w:sz w:val="24"/>
                <w:lang w:eastAsia="zh-CN"/>
              </w:rPr>
              <w:t>5728.8</w:t>
            </w:r>
            <w:r>
              <w:rPr>
                <w:rFonts w:hint="default" w:ascii="Times New Roman" w:hAnsi="Times New Roman" w:cs="Times New Roman"/>
                <w:bCs/>
                <w:sz w:val="24"/>
              </w:rPr>
              <w:t>t/a×40mg/L×10</w:t>
            </w:r>
            <w:r>
              <w:rPr>
                <w:rFonts w:hint="default" w:ascii="Times New Roman" w:hAnsi="Times New Roman" w:cs="Times New Roman"/>
                <w:bCs/>
                <w:sz w:val="24"/>
                <w:vertAlign w:val="superscript"/>
              </w:rPr>
              <w:t>-6</w:t>
            </w:r>
            <w:r>
              <w:rPr>
                <w:rFonts w:hint="default" w:ascii="Times New Roman" w:hAnsi="Times New Roman" w:cs="Times New Roman"/>
                <w:bCs/>
                <w:sz w:val="24"/>
              </w:rPr>
              <w:t>=0.</w:t>
            </w:r>
            <w:r>
              <w:rPr>
                <w:rFonts w:hint="eastAsia" w:ascii="Times New Roman" w:hAnsi="Times New Roman" w:cs="Times New Roman"/>
                <w:bCs/>
                <w:sz w:val="24"/>
                <w:lang w:val="en-US" w:eastAsia="zh-CN"/>
              </w:rPr>
              <w:t>115</w:t>
            </w:r>
            <w:r>
              <w:rPr>
                <w:rFonts w:hint="default" w:ascii="Times New Roman" w:hAnsi="Times New Roman" w:cs="Times New Roman"/>
                <w:bCs/>
                <w:sz w:val="24"/>
              </w:rPr>
              <w:t>t；</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NH</w:t>
            </w:r>
            <w:r>
              <w:rPr>
                <w:rFonts w:hint="default" w:ascii="Times New Roman" w:hAnsi="Times New Roman" w:cs="Times New Roman"/>
                <w:bCs/>
                <w:sz w:val="24"/>
                <w:vertAlign w:val="subscript"/>
              </w:rPr>
              <w:t>3</w:t>
            </w:r>
            <w:r>
              <w:rPr>
                <w:rFonts w:hint="default" w:ascii="Times New Roman" w:hAnsi="Times New Roman" w:cs="Times New Roman"/>
                <w:bCs/>
                <w:sz w:val="24"/>
              </w:rPr>
              <w:t>-N：</w:t>
            </w:r>
            <w:r>
              <w:rPr>
                <w:rFonts w:hint="eastAsia" w:ascii="Times New Roman" w:hAnsi="Times New Roman" w:cs="Times New Roman"/>
                <w:bCs/>
                <w:sz w:val="24"/>
                <w:lang w:eastAsia="zh-CN"/>
              </w:rPr>
              <w:t>5728.8</w:t>
            </w:r>
            <w:r>
              <w:rPr>
                <w:rFonts w:hint="default" w:ascii="Times New Roman" w:hAnsi="Times New Roman" w:cs="Times New Roman"/>
                <w:bCs/>
                <w:sz w:val="24"/>
              </w:rPr>
              <w:t>t/a×3mg/L×10</w:t>
            </w:r>
            <w:r>
              <w:rPr>
                <w:rFonts w:hint="default" w:ascii="Times New Roman" w:hAnsi="Times New Roman" w:cs="Times New Roman"/>
                <w:bCs/>
                <w:sz w:val="24"/>
                <w:vertAlign w:val="superscript"/>
              </w:rPr>
              <w:t>-6</w:t>
            </w:r>
            <w:r>
              <w:rPr>
                <w:rFonts w:hint="default" w:ascii="Times New Roman" w:hAnsi="Times New Roman" w:cs="Times New Roman"/>
                <w:bCs/>
                <w:sz w:val="24"/>
              </w:rPr>
              <w:t>=0.0</w:t>
            </w:r>
            <w:r>
              <w:rPr>
                <w:rFonts w:hint="eastAsia" w:ascii="Times New Roman" w:hAnsi="Times New Roman" w:cs="Times New Roman"/>
                <w:bCs/>
                <w:sz w:val="24"/>
                <w:lang w:val="en-US" w:eastAsia="zh-CN"/>
              </w:rPr>
              <w:t>57</w:t>
            </w:r>
            <w:r>
              <w:rPr>
                <w:rFonts w:hint="default" w:ascii="Times New Roman" w:hAnsi="Times New Roman" w:cs="Times New Roman"/>
                <w:bCs/>
                <w:sz w:val="24"/>
              </w:rPr>
              <w:t>t；</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TP：</w:t>
            </w:r>
            <w:r>
              <w:rPr>
                <w:rFonts w:hint="eastAsia" w:ascii="Times New Roman" w:hAnsi="Times New Roman" w:cs="Times New Roman"/>
                <w:bCs/>
                <w:sz w:val="24"/>
                <w:lang w:eastAsia="zh-CN"/>
              </w:rPr>
              <w:t>5728.8</w:t>
            </w:r>
            <w:r>
              <w:rPr>
                <w:rFonts w:hint="default" w:ascii="Times New Roman" w:hAnsi="Times New Roman" w:cs="Times New Roman"/>
                <w:bCs/>
                <w:sz w:val="24"/>
              </w:rPr>
              <w:t>t/a×0.5mg/L×10</w:t>
            </w:r>
            <w:r>
              <w:rPr>
                <w:rFonts w:hint="default" w:ascii="Times New Roman" w:hAnsi="Times New Roman" w:cs="Times New Roman"/>
                <w:bCs/>
                <w:sz w:val="24"/>
                <w:vertAlign w:val="superscript"/>
              </w:rPr>
              <w:t>-6</w:t>
            </w:r>
            <w:r>
              <w:rPr>
                <w:rFonts w:hint="default" w:ascii="Times New Roman" w:hAnsi="Times New Roman" w:cs="Times New Roman"/>
                <w:bCs/>
                <w:sz w:val="24"/>
              </w:rPr>
              <w:t>=0.00</w:t>
            </w:r>
            <w:r>
              <w:rPr>
                <w:rFonts w:hint="eastAsia" w:ascii="Times New Roman" w:hAnsi="Times New Roman" w:cs="Times New Roman"/>
                <w:bCs/>
                <w:sz w:val="24"/>
                <w:lang w:val="en-US" w:eastAsia="zh-CN"/>
              </w:rPr>
              <w:t>3</w:t>
            </w:r>
            <w:r>
              <w:rPr>
                <w:rFonts w:hint="default" w:ascii="Times New Roman" w:hAnsi="Times New Roman" w:cs="Times New Roman"/>
                <w:bCs/>
                <w:sz w:val="24"/>
              </w:rPr>
              <w:t>t。</w:t>
            </w:r>
          </w:p>
          <w:p>
            <w:pPr>
              <w:pStyle w:val="2"/>
              <w:adjustRightInd w:val="0"/>
              <w:spacing w:before="0" w:after="0" w:line="360" w:lineRule="auto"/>
              <w:ind w:right="0" w:firstLine="482" w:firstLineChars="200"/>
              <w:rPr>
                <w:rFonts w:hint="default" w:ascii="Times New Roman" w:hAnsi="Times New Roman" w:eastAsia="宋体" w:cs="Times New Roman"/>
                <w:sz w:val="24"/>
                <w:lang w:val="en-US" w:eastAsia="zh-CN"/>
              </w:rPr>
            </w:pPr>
            <w:r>
              <w:rPr>
                <w:rFonts w:hint="default" w:ascii="Times New Roman" w:hAnsi="Times New Roman" w:cs="Times New Roman"/>
                <w:b/>
                <w:sz w:val="24"/>
              </w:rPr>
              <w:t>废气：</w:t>
            </w:r>
            <w:r>
              <w:rPr>
                <w:rFonts w:hint="default" w:ascii="Times New Roman" w:hAnsi="Times New Roman" w:cs="Times New Roman"/>
                <w:sz w:val="24"/>
              </w:rPr>
              <w:t>本项目废气执行</w:t>
            </w:r>
            <w:r>
              <w:rPr>
                <w:rFonts w:hint="default" w:ascii="Times New Roman" w:hAnsi="Times New Roman" w:cs="Times New Roman"/>
                <w:bCs/>
                <w:sz w:val="24"/>
              </w:rPr>
              <w:t>《锅炉大气污染物排放标准》GB13271-2014</w:t>
            </w:r>
            <w:r>
              <w:rPr>
                <w:rFonts w:hint="default" w:ascii="Times New Roman" w:hAnsi="Times New Roman" w:cs="Times New Roman"/>
                <w:sz w:val="24"/>
              </w:rPr>
              <w:t>表2中</w:t>
            </w:r>
            <w:r>
              <w:rPr>
                <w:rFonts w:hint="eastAsia" w:ascii="Times New Roman" w:hAnsi="Times New Roman" w:cs="Times New Roman"/>
                <w:sz w:val="24"/>
                <w:lang w:val="en-US" w:eastAsia="zh-CN"/>
              </w:rPr>
              <w:t>排</w:t>
            </w:r>
            <w:r>
              <w:rPr>
                <w:rFonts w:hint="default" w:ascii="Times New Roman" w:hAnsi="Times New Roman" w:cs="Times New Roman"/>
                <w:sz w:val="24"/>
              </w:rPr>
              <w:t>放浓度限值（SO</w:t>
            </w:r>
            <w:r>
              <w:rPr>
                <w:rFonts w:hint="default" w:ascii="Times New Roman" w:hAnsi="Times New Roman" w:cs="Times New Roman"/>
                <w:sz w:val="24"/>
                <w:vertAlign w:val="subscript"/>
              </w:rPr>
              <w:t>2</w:t>
            </w:r>
            <w:r>
              <w:rPr>
                <w:rFonts w:hint="default" w:ascii="Times New Roman" w:hAnsi="Times New Roman" w:cs="Times New Roman"/>
                <w:sz w:val="24"/>
              </w:rPr>
              <w:t>：</w:t>
            </w:r>
            <w:r>
              <w:rPr>
                <w:rFonts w:hint="eastAsia" w:ascii="Times New Roman" w:hAnsi="Times New Roman" w:cs="Times New Roman"/>
                <w:sz w:val="24"/>
                <w:lang w:val="en-US" w:eastAsia="zh-CN"/>
              </w:rPr>
              <w:t>5</w:t>
            </w:r>
            <w:r>
              <w:rPr>
                <w:rFonts w:hint="default" w:ascii="Times New Roman" w:hAnsi="Times New Roman" w:cs="Times New Roman"/>
                <w:sz w:val="24"/>
              </w:rPr>
              <w:t>0mg/m</w:t>
            </w:r>
            <w:r>
              <w:rPr>
                <w:rFonts w:hint="default" w:ascii="Times New Roman" w:hAnsi="Times New Roman" w:cs="Times New Roman"/>
                <w:sz w:val="24"/>
                <w:vertAlign w:val="superscript"/>
              </w:rPr>
              <w:t>3</w:t>
            </w:r>
            <w:r>
              <w:rPr>
                <w:rFonts w:hint="default" w:ascii="Times New Roman" w:hAnsi="Times New Roman" w:cs="Times New Roman"/>
                <w:sz w:val="24"/>
              </w:rPr>
              <w:t>、NO</w:t>
            </w:r>
            <w:r>
              <w:rPr>
                <w:rFonts w:hint="default" w:ascii="Times New Roman" w:hAnsi="Times New Roman" w:cs="Times New Roman"/>
                <w:sz w:val="24"/>
                <w:vertAlign w:val="subscript"/>
              </w:rPr>
              <w:t>X</w:t>
            </w:r>
            <w:r>
              <w:rPr>
                <w:rFonts w:hint="default" w:ascii="Times New Roman" w:hAnsi="Times New Roman" w:cs="Times New Roman"/>
                <w:sz w:val="24"/>
              </w:rPr>
              <w:t>：</w:t>
            </w:r>
            <w:r>
              <w:rPr>
                <w:rFonts w:hint="eastAsia" w:cs="Times New Roman"/>
                <w:sz w:val="24"/>
                <w:lang w:val="en-US" w:eastAsia="zh-CN"/>
              </w:rPr>
              <w:t>150</w:t>
            </w:r>
            <w:r>
              <w:rPr>
                <w:rFonts w:hint="default" w:ascii="Times New Roman" w:hAnsi="Times New Roman" w:cs="Times New Roman"/>
                <w:sz w:val="24"/>
              </w:rPr>
              <w:t>mg/m</w:t>
            </w:r>
            <w:r>
              <w:rPr>
                <w:rFonts w:hint="default" w:ascii="Times New Roman" w:hAnsi="Times New Roman" w:cs="Times New Roman"/>
                <w:sz w:val="24"/>
                <w:vertAlign w:val="superscript"/>
              </w:rPr>
              <w:t>3</w:t>
            </w:r>
            <w:r>
              <w:rPr>
                <w:rFonts w:hint="default" w:ascii="Times New Roman" w:hAnsi="Times New Roman" w:cs="Times New Roman"/>
                <w:sz w:val="24"/>
              </w:rPr>
              <w:t>、颗粒物：</w:t>
            </w:r>
            <w:r>
              <w:rPr>
                <w:rFonts w:hint="eastAsia" w:ascii="Times New Roman" w:hAnsi="Times New Roman" w:cs="Times New Roman"/>
                <w:sz w:val="24"/>
                <w:lang w:val="en-US" w:eastAsia="zh-CN"/>
              </w:rPr>
              <w:t>2</w:t>
            </w:r>
            <w:r>
              <w:rPr>
                <w:rFonts w:hint="default" w:ascii="Times New Roman" w:hAnsi="Times New Roman" w:cs="Times New Roman"/>
                <w:sz w:val="24"/>
              </w:rPr>
              <w:t>0mg/m</w:t>
            </w:r>
            <w:r>
              <w:rPr>
                <w:rFonts w:hint="default" w:ascii="Times New Roman" w:hAnsi="Times New Roman" w:cs="Times New Roman"/>
                <w:sz w:val="24"/>
                <w:vertAlign w:val="superscript"/>
              </w:rPr>
              <w:t>3</w:t>
            </w:r>
            <w:r>
              <w:rPr>
                <w:rFonts w:hint="default" w:ascii="Times New Roman" w:hAnsi="Times New Roman" w:cs="Times New Roman"/>
                <w:sz w:val="24"/>
              </w:rPr>
              <w:t>）主要二氧化硫、氮氧化物、颗粒物。</w:t>
            </w:r>
            <w:r>
              <w:rPr>
                <w:rFonts w:hint="eastAsia" w:ascii="Times New Roman" w:hAnsi="Times New Roman" w:cs="Times New Roman"/>
                <w:sz w:val="24"/>
                <w:lang w:val="en-US" w:eastAsia="zh-CN"/>
              </w:rPr>
              <w:t>总量指标见下表：</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SO</w:t>
            </w:r>
            <w:r>
              <w:rPr>
                <w:rFonts w:hint="default" w:ascii="Times New Roman" w:hAnsi="Times New Roman" w:cs="Times New Roman"/>
                <w:sz w:val="24"/>
                <w:vertAlign w:val="subscript"/>
              </w:rPr>
              <w:t>2</w:t>
            </w:r>
            <w:r>
              <w:rPr>
                <w:rFonts w:hint="default" w:ascii="Times New Roman" w:hAnsi="Times New Roman" w:cs="Times New Roman"/>
                <w:sz w:val="24"/>
              </w:rPr>
              <w:t>：</w:t>
            </w:r>
            <w:r>
              <w:rPr>
                <w:rFonts w:hint="eastAsia" w:cs="Times New Roman"/>
                <w:sz w:val="24"/>
                <w:lang w:eastAsia="zh-CN"/>
              </w:rPr>
              <w:t>0.37</w:t>
            </w:r>
            <w:r>
              <w:rPr>
                <w:rFonts w:hint="default" w:ascii="Times New Roman" w:hAnsi="Times New Roman" w:cs="Times New Roman"/>
              </w:rPr>
              <w:t>t/a</w:t>
            </w:r>
          </w:p>
          <w:p>
            <w:pPr>
              <w:spacing w:line="360" w:lineRule="auto"/>
              <w:ind w:firstLine="480" w:firstLineChars="200"/>
              <w:rPr>
                <w:rFonts w:hint="default" w:ascii="Times New Roman" w:hAnsi="Times New Roman" w:cs="Times New Roman"/>
                <w:sz w:val="24"/>
              </w:rPr>
            </w:pPr>
            <w:r>
              <w:rPr>
                <w:rFonts w:hint="eastAsia" w:cs="Times New Roman"/>
                <w:sz w:val="24"/>
                <w:lang w:val="en-US" w:eastAsia="zh-CN"/>
              </w:rPr>
              <w:t>氮氧化物</w:t>
            </w:r>
            <w:r>
              <w:rPr>
                <w:rFonts w:hint="default" w:ascii="Times New Roman" w:hAnsi="Times New Roman" w:cs="Times New Roman"/>
                <w:sz w:val="24"/>
              </w:rPr>
              <w:t>：</w:t>
            </w:r>
            <w:r>
              <w:rPr>
                <w:rFonts w:hint="eastAsia" w:cs="Times New Roman"/>
                <w:sz w:val="24"/>
                <w:lang w:val="en-US" w:eastAsia="zh-CN"/>
              </w:rPr>
              <w:t>1.013</w:t>
            </w:r>
            <w:r>
              <w:rPr>
                <w:rFonts w:hint="default" w:ascii="Times New Roman" w:hAnsi="Times New Roman" w:cs="Times New Roman"/>
              </w:rPr>
              <w:t>t/a</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颗粒物：</w:t>
            </w:r>
            <w:r>
              <w:rPr>
                <w:rFonts w:hint="eastAsia" w:cs="Times New Roman"/>
                <w:sz w:val="24"/>
                <w:lang w:eastAsia="zh-CN"/>
              </w:rPr>
              <w:t>2.117t</w:t>
            </w:r>
            <w:r>
              <w:rPr>
                <w:rFonts w:hint="default" w:ascii="Times New Roman" w:hAnsi="Times New Roman" w:cs="Times New Roman"/>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color w:val="auto"/>
                <w:sz w:val="24"/>
                <w:lang w:val="en-US" w:eastAsia="zh-CN"/>
              </w:rPr>
            </w:pPr>
            <w:r>
              <w:rPr>
                <w:rFonts w:hint="eastAsia" w:cs="Times New Roman"/>
                <w:color w:val="auto"/>
                <w:sz w:val="24"/>
                <w:lang w:val="en-US" w:eastAsia="zh-CN"/>
              </w:rPr>
              <w:t>本项目实施后，锅炉污染物总量见下表：</w:t>
            </w:r>
          </w:p>
          <w:p>
            <w:pPr>
              <w:adjustRightInd w:val="0"/>
              <w:snapToGrid w:val="0"/>
              <w:jc w:val="center"/>
              <w:rPr>
                <w:rFonts w:hint="default" w:ascii="Times New Roman" w:hAnsi="Times New Roman" w:eastAsia="宋体"/>
                <w:b/>
                <w:color w:val="auto"/>
                <w:sz w:val="21"/>
                <w:szCs w:val="21"/>
                <w:lang w:val="en-US" w:eastAsia="zh-CN"/>
              </w:rPr>
            </w:pPr>
            <w:r>
              <w:rPr>
                <w:rFonts w:ascii="Times New Roman" w:hAnsi="Times New Roman"/>
                <w:b/>
                <w:color w:val="auto"/>
                <w:sz w:val="21"/>
                <w:szCs w:val="21"/>
              </w:rPr>
              <w:t>表</w:t>
            </w:r>
            <w:r>
              <w:rPr>
                <w:rFonts w:hint="eastAsia" w:ascii="Times New Roman" w:hAnsi="Times New Roman"/>
                <w:b/>
                <w:color w:val="auto"/>
                <w:sz w:val="21"/>
                <w:szCs w:val="21"/>
                <w:lang w:val="en-US" w:eastAsia="zh-CN"/>
              </w:rPr>
              <w:t>3</w:t>
            </w:r>
            <w:r>
              <w:rPr>
                <w:rFonts w:ascii="Times New Roman" w:hAnsi="Times New Roman"/>
                <w:b/>
                <w:color w:val="auto"/>
                <w:sz w:val="21"/>
                <w:szCs w:val="21"/>
              </w:rPr>
              <w:t>-</w:t>
            </w:r>
            <w:r>
              <w:rPr>
                <w:rFonts w:hint="eastAsia" w:ascii="Times New Roman" w:hAnsi="Times New Roman"/>
                <w:b/>
                <w:color w:val="auto"/>
                <w:sz w:val="21"/>
                <w:szCs w:val="21"/>
              </w:rPr>
              <w:t>1</w:t>
            </w:r>
            <w:r>
              <w:rPr>
                <w:rFonts w:hint="eastAsia" w:ascii="Times New Roman" w:hAnsi="Times New Roman"/>
                <w:b/>
                <w:color w:val="auto"/>
                <w:sz w:val="21"/>
                <w:szCs w:val="21"/>
                <w:lang w:val="en-US" w:eastAsia="zh-CN"/>
              </w:rPr>
              <w:t>0</w:t>
            </w:r>
            <w:r>
              <w:rPr>
                <w:rFonts w:ascii="Times New Roman" w:hAnsi="Times New Roman"/>
                <w:b/>
                <w:color w:val="auto"/>
                <w:sz w:val="21"/>
                <w:szCs w:val="21"/>
              </w:rPr>
              <w:t xml:space="preserve"> </w:t>
            </w:r>
            <w:r>
              <w:rPr>
                <w:rFonts w:hint="eastAsia" w:ascii="Times New Roman" w:hAnsi="Times New Roman"/>
                <w:b/>
                <w:color w:val="auto"/>
                <w:sz w:val="21"/>
                <w:szCs w:val="21"/>
              </w:rPr>
              <w:t>锅炉污染物总量</w:t>
            </w:r>
            <w:r>
              <w:rPr>
                <w:rFonts w:hint="eastAsia"/>
                <w:b/>
                <w:color w:val="auto"/>
                <w:sz w:val="21"/>
                <w:szCs w:val="21"/>
                <w:lang w:val="en-US" w:eastAsia="zh-CN"/>
              </w:rPr>
              <w:t>变化情况表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265"/>
              <w:gridCol w:w="2423"/>
              <w:gridCol w:w="1555"/>
              <w:gridCol w:w="1748"/>
              <w:gridCol w:w="139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754"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类别</w:t>
                  </w:r>
                </w:p>
              </w:tc>
              <w:tc>
                <w:tcPr>
                  <w:tcW w:w="1443"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污染物</w:t>
                  </w:r>
                </w:p>
              </w:tc>
              <w:tc>
                <w:tcPr>
                  <w:tcW w:w="926"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原有</w:t>
                  </w:r>
                  <w:r>
                    <w:rPr>
                      <w:rFonts w:hint="eastAsia" w:ascii="Times New Roman" w:hAnsi="Times New Roman" w:cs="Times New Roman"/>
                      <w:b/>
                      <w:bCs/>
                      <w:color w:val="auto"/>
                      <w:kern w:val="0"/>
                      <w:sz w:val="21"/>
                      <w:szCs w:val="21"/>
                      <w:lang w:val="en-US" w:eastAsia="zh-CN"/>
                    </w:rPr>
                    <w:t>锅炉</w:t>
                  </w:r>
                  <w:r>
                    <w:rPr>
                      <w:rFonts w:hint="default" w:ascii="Times New Roman" w:hAnsi="Times New Roman" w:cs="Times New Roman"/>
                      <w:b/>
                      <w:bCs/>
                      <w:color w:val="auto"/>
                      <w:kern w:val="0"/>
                      <w:sz w:val="21"/>
                      <w:szCs w:val="21"/>
                    </w:rPr>
                    <w:t>排放量（t/a）</w:t>
                  </w:r>
                </w:p>
              </w:tc>
              <w:tc>
                <w:tcPr>
                  <w:tcW w:w="1041"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r>
                    <w:rPr>
                      <w:rFonts w:hint="eastAsia" w:cs="Times New Roman"/>
                      <w:b/>
                      <w:bCs/>
                      <w:color w:val="auto"/>
                      <w:kern w:val="0"/>
                      <w:sz w:val="21"/>
                      <w:szCs w:val="21"/>
                      <w:lang w:val="en-US" w:eastAsia="zh-CN"/>
                    </w:rPr>
                    <w:t>本项目锅炉</w:t>
                  </w:r>
                  <w:r>
                    <w:rPr>
                      <w:rFonts w:hint="default" w:ascii="Times New Roman" w:hAnsi="Times New Roman" w:cs="Times New Roman"/>
                      <w:b/>
                      <w:bCs/>
                      <w:color w:val="auto"/>
                      <w:kern w:val="0"/>
                      <w:sz w:val="21"/>
                      <w:szCs w:val="21"/>
                    </w:rPr>
                    <w:t>排放量（t/a）</w:t>
                  </w:r>
                </w:p>
              </w:tc>
              <w:tc>
                <w:tcPr>
                  <w:tcW w:w="833"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增减变化量（t/a）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754" w:type="pct"/>
                  <w:vMerge w:val="continue"/>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cs="Times New Roman"/>
                      <w:b/>
                      <w:bCs/>
                      <w:color w:val="auto"/>
                      <w:kern w:val="0"/>
                      <w:sz w:val="21"/>
                      <w:szCs w:val="21"/>
                    </w:rPr>
                  </w:pPr>
                </w:p>
              </w:tc>
              <w:tc>
                <w:tcPr>
                  <w:tcW w:w="1443"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p>
              </w:tc>
              <w:tc>
                <w:tcPr>
                  <w:tcW w:w="926"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p>
              </w:tc>
              <w:tc>
                <w:tcPr>
                  <w:tcW w:w="1041"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p>
              </w:tc>
              <w:tc>
                <w:tcPr>
                  <w:tcW w:w="833"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754" w:type="pct"/>
                  <w:vMerge w:val="continue"/>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cs="Times New Roman"/>
                      <w:b/>
                      <w:bCs/>
                      <w:color w:val="auto"/>
                      <w:kern w:val="0"/>
                      <w:sz w:val="21"/>
                      <w:szCs w:val="21"/>
                    </w:rPr>
                  </w:pPr>
                </w:p>
              </w:tc>
              <w:tc>
                <w:tcPr>
                  <w:tcW w:w="1443"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p>
              </w:tc>
              <w:tc>
                <w:tcPr>
                  <w:tcW w:w="926"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p>
              </w:tc>
              <w:tc>
                <w:tcPr>
                  <w:tcW w:w="1041"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p>
              </w:tc>
              <w:tc>
                <w:tcPr>
                  <w:tcW w:w="833"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754"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废气污染物</w:t>
                  </w:r>
                </w:p>
              </w:tc>
              <w:tc>
                <w:tcPr>
                  <w:tcW w:w="1443"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vertAlign w:val="subscript"/>
                      <w:lang w:val="en-US" w:eastAsia="zh-CN"/>
                    </w:rPr>
                  </w:pPr>
                  <w:r>
                    <w:rPr>
                      <w:rFonts w:hint="eastAsia" w:ascii="Times New Roman" w:hAnsi="Times New Roman" w:cs="Times New Roman"/>
                      <w:color w:val="auto"/>
                      <w:kern w:val="0"/>
                      <w:sz w:val="21"/>
                      <w:szCs w:val="21"/>
                      <w:lang w:val="en-US" w:eastAsia="zh-CN"/>
                    </w:rPr>
                    <w:t>SO</w:t>
                  </w:r>
                  <w:r>
                    <w:rPr>
                      <w:rFonts w:hint="eastAsia" w:ascii="Times New Roman" w:hAnsi="Times New Roman" w:cs="Times New Roman"/>
                      <w:color w:val="auto"/>
                      <w:kern w:val="0"/>
                      <w:sz w:val="21"/>
                      <w:szCs w:val="21"/>
                      <w:vertAlign w:val="subscript"/>
                      <w:lang w:val="en-US" w:eastAsia="zh-CN"/>
                    </w:rPr>
                    <w:t>2</w:t>
                  </w:r>
                </w:p>
              </w:tc>
              <w:tc>
                <w:tcPr>
                  <w:tcW w:w="926"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0.064</w:t>
                  </w:r>
                </w:p>
              </w:tc>
              <w:tc>
                <w:tcPr>
                  <w:tcW w:w="1041"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0.37</w:t>
                  </w:r>
                </w:p>
              </w:tc>
              <w:tc>
                <w:tcPr>
                  <w:tcW w:w="833"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+0.306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754"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rPr>
                  </w:pPr>
                </w:p>
              </w:tc>
              <w:tc>
                <w:tcPr>
                  <w:tcW w:w="1443"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vertAlign w:val="subscript"/>
                      <w:lang w:val="en-US" w:eastAsia="zh-CN"/>
                    </w:rPr>
                  </w:pPr>
                  <w:r>
                    <w:rPr>
                      <w:rFonts w:hint="eastAsia" w:ascii="Times New Roman" w:hAnsi="Times New Roman" w:cs="Times New Roman"/>
                      <w:color w:val="auto"/>
                      <w:kern w:val="0"/>
                      <w:sz w:val="21"/>
                      <w:szCs w:val="21"/>
                      <w:lang w:val="en-US" w:eastAsia="zh-CN"/>
                    </w:rPr>
                    <w:t>NO</w:t>
                  </w:r>
                  <w:r>
                    <w:rPr>
                      <w:rFonts w:hint="eastAsia" w:ascii="Times New Roman" w:hAnsi="Times New Roman" w:cs="Times New Roman"/>
                      <w:color w:val="auto"/>
                      <w:kern w:val="0"/>
                      <w:sz w:val="21"/>
                      <w:szCs w:val="21"/>
                      <w:vertAlign w:val="subscript"/>
                      <w:lang w:val="en-US" w:eastAsia="zh-CN"/>
                    </w:rPr>
                    <w:t>x</w:t>
                  </w:r>
                </w:p>
              </w:tc>
              <w:tc>
                <w:tcPr>
                  <w:tcW w:w="926"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1.298</w:t>
                  </w:r>
                </w:p>
              </w:tc>
              <w:tc>
                <w:tcPr>
                  <w:tcW w:w="1041"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1.013</w:t>
                  </w:r>
                </w:p>
              </w:tc>
              <w:tc>
                <w:tcPr>
                  <w:tcW w:w="833"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-0.285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754" w:type="pct"/>
                  <w:vMerge w:val="continue"/>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cs="Times New Roman"/>
                      <w:color w:val="auto"/>
                      <w:kern w:val="0"/>
                      <w:sz w:val="21"/>
                      <w:szCs w:val="21"/>
                    </w:rPr>
                  </w:pPr>
                </w:p>
              </w:tc>
              <w:tc>
                <w:tcPr>
                  <w:tcW w:w="1443"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颗粒物</w:t>
                  </w:r>
                </w:p>
              </w:tc>
              <w:tc>
                <w:tcPr>
                  <w:tcW w:w="926"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0.21</w:t>
                  </w:r>
                </w:p>
              </w:tc>
              <w:tc>
                <w:tcPr>
                  <w:tcW w:w="1041"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2.117</w:t>
                  </w:r>
                </w:p>
              </w:tc>
              <w:tc>
                <w:tcPr>
                  <w:tcW w:w="833"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+1.907</w:t>
                  </w:r>
                </w:p>
              </w:tc>
            </w:tr>
          </w:tbl>
          <w:p>
            <w:pPr>
              <w:adjustRightInd w:val="0"/>
              <w:snapToGrid w:val="0"/>
              <w:rPr>
                <w:rFonts w:hint="default" w:ascii="Times New Roman" w:hAnsi="Times New Roman" w:cs="Times New Roman"/>
                <w:kern w:val="0"/>
                <w:szCs w:val="21"/>
              </w:rPr>
            </w:pPr>
          </w:p>
        </w:tc>
      </w:tr>
    </w:tbl>
    <w:p>
      <w:pPr>
        <w:pStyle w:val="21"/>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6"/>
          <w:szCs w:val="36"/>
        </w:rPr>
        <w:br w:type="page"/>
      </w:r>
      <w:r>
        <w:rPr>
          <w:rFonts w:hint="default" w:ascii="Times New Roman" w:hAnsi="Times New Roman" w:eastAsia="黑体" w:cs="Times New Roman"/>
          <w:snapToGrid w:val="0"/>
          <w:sz w:val="30"/>
          <w:szCs w:val="30"/>
        </w:rPr>
        <w:t>四、主要环境影响和保护措施</w:t>
      </w:r>
    </w:p>
    <w:tbl>
      <w:tblPr>
        <w:tblStyle w:val="25"/>
        <w:tblW w:w="89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tcMar>
              <w:left w:w="28" w:type="dxa"/>
              <w:right w:w="28" w:type="dxa"/>
            </w:tcMar>
            <w:vAlign w:val="center"/>
          </w:tcPr>
          <w:p>
            <w:pPr>
              <w:pStyle w:val="21"/>
              <w:adjustRightInd w:val="0"/>
              <w:snapToGrid w:val="0"/>
              <w:spacing w:before="0" w:beforeAutospacing="0" w:after="0" w:afterAutospacing="0"/>
              <w:jc w:val="center"/>
              <w:rPr>
                <w:rFonts w:hint="default" w:ascii="Times New Roman" w:hAnsi="Times New Roman" w:cs="Times New Roman"/>
                <w:kern w:val="2"/>
                <w:szCs w:val="24"/>
              </w:rPr>
            </w:pPr>
            <w:r>
              <w:rPr>
                <w:rFonts w:hint="default" w:ascii="Times New Roman" w:hAnsi="Times New Roman" w:cs="Times New Roman"/>
                <w:kern w:val="2"/>
                <w:szCs w:val="24"/>
              </w:rPr>
              <w:t>施工</w:t>
            </w:r>
          </w:p>
          <w:p>
            <w:pPr>
              <w:pStyle w:val="21"/>
              <w:adjustRightInd w:val="0"/>
              <w:snapToGrid w:val="0"/>
              <w:spacing w:before="0" w:beforeAutospacing="0" w:after="0" w:afterAutospacing="0"/>
              <w:jc w:val="center"/>
              <w:rPr>
                <w:rFonts w:hint="default" w:ascii="Times New Roman" w:hAnsi="Times New Roman" w:cs="Times New Roman"/>
                <w:kern w:val="2"/>
                <w:szCs w:val="24"/>
              </w:rPr>
            </w:pPr>
            <w:r>
              <w:rPr>
                <w:rFonts w:hint="default" w:ascii="Times New Roman" w:hAnsi="Times New Roman" w:cs="Times New Roman"/>
                <w:kern w:val="2"/>
                <w:szCs w:val="24"/>
              </w:rPr>
              <w:t>期环</w:t>
            </w:r>
          </w:p>
          <w:p>
            <w:pPr>
              <w:pStyle w:val="21"/>
              <w:adjustRightInd w:val="0"/>
              <w:snapToGrid w:val="0"/>
              <w:spacing w:before="0" w:beforeAutospacing="0" w:after="0" w:afterAutospacing="0"/>
              <w:jc w:val="center"/>
              <w:rPr>
                <w:rFonts w:hint="default" w:ascii="Times New Roman" w:hAnsi="Times New Roman" w:cs="Times New Roman"/>
                <w:kern w:val="2"/>
                <w:szCs w:val="24"/>
              </w:rPr>
            </w:pPr>
            <w:r>
              <w:rPr>
                <w:rFonts w:hint="default" w:ascii="Times New Roman" w:hAnsi="Times New Roman" w:cs="Times New Roman"/>
                <w:kern w:val="2"/>
                <w:szCs w:val="24"/>
              </w:rPr>
              <w:t>境保</w:t>
            </w:r>
          </w:p>
          <w:p>
            <w:pPr>
              <w:pStyle w:val="21"/>
              <w:adjustRightInd w:val="0"/>
              <w:snapToGrid w:val="0"/>
              <w:spacing w:before="0" w:beforeAutospacing="0" w:after="0" w:afterAutospacing="0"/>
              <w:jc w:val="center"/>
              <w:rPr>
                <w:rFonts w:hint="default" w:ascii="Times New Roman" w:hAnsi="Times New Roman" w:cs="Times New Roman"/>
                <w:kern w:val="2"/>
                <w:szCs w:val="24"/>
              </w:rPr>
            </w:pPr>
            <w:r>
              <w:rPr>
                <w:rFonts w:hint="default" w:ascii="Times New Roman" w:hAnsi="Times New Roman" w:cs="Times New Roman"/>
                <w:kern w:val="2"/>
                <w:szCs w:val="24"/>
              </w:rPr>
              <w:t>护措</w:t>
            </w:r>
          </w:p>
          <w:p>
            <w:pPr>
              <w:pStyle w:val="21"/>
              <w:adjustRightInd w:val="0"/>
              <w:snapToGrid w:val="0"/>
              <w:spacing w:before="0" w:beforeAutospacing="0" w:after="0" w:afterAutospacing="0"/>
              <w:jc w:val="center"/>
              <w:rPr>
                <w:rFonts w:hint="default" w:ascii="Times New Roman" w:hAnsi="Times New Roman" w:cs="Times New Roman"/>
                <w:bCs/>
                <w:kern w:val="2"/>
                <w:sz w:val="21"/>
                <w:szCs w:val="21"/>
              </w:rPr>
            </w:pPr>
            <w:r>
              <w:rPr>
                <w:rFonts w:hint="default" w:ascii="Times New Roman" w:hAnsi="Times New Roman" w:cs="Times New Roman"/>
                <w:kern w:val="2"/>
                <w:szCs w:val="24"/>
              </w:rPr>
              <w:t>施</w:t>
            </w:r>
          </w:p>
        </w:tc>
        <w:tc>
          <w:tcPr>
            <w:tcW w:w="8179" w:type="dxa"/>
            <w:vAlign w:val="center"/>
          </w:tcPr>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1、大气污染源</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施工过程中的大气污染物主要为施工扬尘和施工废气，主要来自三方面：一是土石方堆放、回填、运输等过程中产生的扬尘；二是车辆运输过程中产生的二次扬尘；三是机械燃油废气和装饰工程中的有机废气。</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（1）施工扬尘：</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施工扬尘起尘量与许多因素有关。本项目起尘原因主要是建筑材料（钢材等）运输进场装卸及堆放过程产生的扬尘、建筑材料运输产生的道路扬尘等。此类扬尘属无组织面源排放，经类比分析，施工场地扬尘浓度平均值约为3.5mg/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。其属低矮排放源，且施工区域大多在室内，影响范围小，时间较短，随施工结束后消除。</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为减少施工扬尘的产生和排放，在施工过程中，施工单位必须严格按照国家环保部和建设部《关于有效控制城市扬尘污染物的通知》、《关于印发&lt;四川省灰霾污染防治实施方案&gt;的通知》（川环发[2013]78 号）等相关要求，严格按照《四川省人民政府办公厅关于印发四川省大气污染防治行动计划实施细则 2015年度实施计划的通知》（川办函〔2015〕59 号）中有关施工工地和道路扬尘污染防治规定，积极推行绿色施工，施工现场必须全封闭设置围墙，严禁敞开式作业，施工现场道路、作业区、生活区必须进行地面硬化；制定、完善和严格执行建设施工管理制度，全面推行现场标准化管理，城市主城区工地做到“六必须”（必须围挡作业，必须硬化道路，必须设置冲洗设施，必须及时洒水作业，必须配齐保洁人员，必须及时清扫施工现场）、“六不准”（不准车辆带泥出门，不准运渣车辆冒载，不准高空抛洒建筑垃圾，不准现场搅拌混凝土，不准场地积水，不准现场焚烧废弃物），加强建设工地监督检查，督促责任单位落实降尘、压尘和抑尘措施。为此，施工单位应根据本项目分阶段建设的特殊性采取以下扬尘治理措施：</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①要求施工单位文明施工，定期对地面洒水，对撒落在路面的渣土及时清除，避免扬尘对周边住户及学校正常工作或生活造成不良影响；</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②自卸车、垃圾运输车等运输车辆不允许超载、冒载，出场前一律清洗轮胎，用毡布覆盖，并且在施工区出口设置防尘飞扬垫；</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③施工过程中，楼上施工产生的建筑渣土，不许在楼上直接向下倾倒、抛洒，必须运送到地面；</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④建材堆放地点要相对集中，临时废弃土石堆场及时清运，并对堆场以毡布覆盖，裸露地面进行硬化和绿化，减少建材的露天堆放时间；开挖出的土石方应加强围栏，表面用毡布覆盖，并及时将多余弃土外运。风速大于 3m/s 时应停止施工。</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同时，项目应执行川办函〔2018〕10号《四川省重污染天气应急预案（2018年修订）》及川重污染天气应急办〔2018〕34号《四川省重污染天气应急指挥部办公室关于印发&lt;四川省重污染天气应急预案（2018年修订）&gt;修订单的函》中的应急措施要求，做好施工管理及施工现场污染防治工作。</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环评要求施工单位在日常施工过程中严格采取上述施工扬尘污染防治措施，切实有效降低施工工地扬尘产生量及其浓度，确保达到《四川省施工场地扬尘排放标准》（DB512682-2020）的排放要求。</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（2）施工燃油废气</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施工期间，使用机动车运送原材料、设备，会排放定量的CO、NO</w:t>
            </w:r>
            <w:r>
              <w:rPr>
                <w:rFonts w:hint="default" w:ascii="Times New Roman" w:hAnsi="Times New Roman" w:cs="Times New Roman"/>
                <w:color w:val="000000"/>
                <w:sz w:val="24"/>
                <w:highlight w:val="none"/>
                <w:vertAlign w:val="subscript"/>
              </w:rPr>
              <w:t>x</w:t>
            </w:r>
            <w:r>
              <w:rPr>
                <w:rFonts w:hint="default" w:ascii="Times New Roman" w:hAnsi="Times New Roman" w:cs="Times New Roman"/>
                <w:color w:val="000000"/>
                <w:sz w:val="24"/>
                <w:highlight w:val="none"/>
              </w:rPr>
              <w:t>以及未完全燃烧的HC等，其特点是排放量小，且属间断性无组织排放，由于其这一特点，加之施工场地开阔，扩散条件良好，因此对其不加处理也可达到相应的排放标准。在施工期内应多加注意施工设备的维护，使其能够</w:t>
            </w:r>
            <w:r>
              <w:rPr>
                <w:rFonts w:hint="eastAsia" w:cs="Times New Roman"/>
                <w:color w:val="000000"/>
                <w:sz w:val="24"/>
                <w:highlight w:val="none"/>
                <w:lang w:eastAsia="zh-CN"/>
              </w:rPr>
              <w:t>正常地运行</w:t>
            </w:r>
            <w:r>
              <w:rPr>
                <w:rFonts w:hint="default" w:ascii="Times New Roman" w:hAnsi="Times New Roman" w:cs="Times New Roman"/>
                <w:color w:val="000000"/>
                <w:sz w:val="24"/>
                <w:highlight w:val="none"/>
              </w:rPr>
              <w:t>，提高设备原料的利用率。</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2、水污染源</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本项目施工期采取雨污分流，施工场地外雨水设置截洪沟截排，防止上游雨水冲刷项目区形成面源污染和水土流失，施工场地雨水应设置雨水收集沟收集至临时雨水收集池（50m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，土质结构，内衬土工膜）沉淀后回用于施工过程或</w:t>
            </w:r>
            <w:r>
              <w:rPr>
                <w:rFonts w:hint="default" w:ascii="Times New Roman" w:hAnsi="Times New Roman" w:cs="Times New Roman"/>
                <w:color w:val="000000"/>
                <w:sz w:val="24"/>
                <w:highlight w:val="none"/>
                <w:lang w:eastAsia="zh-CN"/>
              </w:rPr>
              <w:t>洒水</w:t>
            </w:r>
            <w:r>
              <w:rPr>
                <w:rFonts w:hint="default" w:ascii="Times New Roman" w:hAnsi="Times New Roman" w:cs="Times New Roman"/>
                <w:color w:val="000000"/>
                <w:sz w:val="24"/>
                <w:highlight w:val="none"/>
              </w:rPr>
              <w:t>降尘。</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施工期废水主要包括施工废水和生活污水。</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（1）施工废水：主要来源于混凝土搅拌系统砂石材料和施工机械的冲洗废水，该废水含泥砂，悬浮物浓度较高，pH值呈弱碱性，并带有少量的油污。类比相似项目，施工废水中主要污染物浓度为COD</w:t>
            </w:r>
            <w:r>
              <w:rPr>
                <w:rFonts w:hint="default" w:ascii="Times New Roman" w:hAnsi="Times New Roman" w:cs="Times New Roman"/>
                <w:color w:val="000000"/>
                <w:sz w:val="24"/>
                <w:highlight w:val="none"/>
                <w:vertAlign w:val="subscript"/>
              </w:rPr>
              <w:t>Cr</w:t>
            </w:r>
            <w:r>
              <w:rPr>
                <w:rFonts w:hint="default" w:ascii="Times New Roman" w:hAnsi="Times New Roman" w:cs="Times New Roman"/>
                <w:color w:val="000000"/>
                <w:sz w:val="24"/>
                <w:highlight w:val="none"/>
              </w:rPr>
              <w:t>：150mg/L、SS：1200mg/L、石油类：12mg/L，废水经</w:t>
            </w:r>
            <w:r>
              <w:rPr>
                <w:rFonts w:hint="default" w:ascii="Times New Roman" w:hAnsi="Times New Roman" w:cs="Times New Roman"/>
                <w:color w:val="000000"/>
                <w:sz w:val="24"/>
                <w:highlight w:val="none"/>
                <w:lang w:val="en-US" w:eastAsia="zh-CN"/>
              </w:rPr>
              <w:t>三级沉淀池（总容积为300m</w:t>
            </w:r>
            <w:r>
              <w:rPr>
                <w:rFonts w:hint="default" w:ascii="Times New Roman" w:hAnsi="Times New Roman" w:cs="Times New Roman"/>
                <w:color w:val="000000"/>
                <w:sz w:val="24"/>
                <w:highlight w:val="none"/>
                <w:vertAlign w:val="superscript"/>
                <w:lang w:val="en-US" w:eastAsia="zh-CN"/>
              </w:rPr>
              <w:t>3</w:t>
            </w:r>
            <w:r>
              <w:rPr>
                <w:rFonts w:hint="default" w:ascii="Times New Roman" w:hAnsi="Times New Roman" w:cs="Times New Roman"/>
                <w:color w:val="000000"/>
                <w:sz w:val="24"/>
                <w:highlight w:val="none"/>
                <w:lang w:val="en-US" w:eastAsia="zh-CN"/>
              </w:rPr>
              <w:t>）</w:t>
            </w:r>
            <w:r>
              <w:rPr>
                <w:rFonts w:hint="default" w:ascii="Times New Roman" w:hAnsi="Times New Roman" w:cs="Times New Roman"/>
                <w:color w:val="000000"/>
                <w:sz w:val="24"/>
                <w:highlight w:val="none"/>
              </w:rPr>
              <w:t>沉淀后回用施工，不外排。</w:t>
            </w:r>
            <w:r>
              <w:rPr>
                <w:rFonts w:hint="default" w:ascii="Times New Roman" w:hAnsi="Times New Roman" w:cs="Times New Roman"/>
                <w:color w:val="000000"/>
                <w:sz w:val="24"/>
                <w:highlight w:val="none"/>
                <w:lang w:val="en-US" w:eastAsia="zh-CN"/>
              </w:rPr>
              <w:t>待施工结束，将沉淀池拆除。</w:t>
            </w:r>
          </w:p>
          <w:p>
            <w:pPr>
              <w:adjustRightInd w:val="0"/>
              <w:snapToGrid w:val="0"/>
              <w:spacing w:line="360" w:lineRule="auto"/>
              <w:ind w:firstLine="480" w:firstLineChars="200"/>
              <w:jc w:val="left"/>
              <w:rPr>
                <w:rFonts w:hint="default" w:ascii="Times New Roman" w:hAnsi="Times New Roman" w:eastAsia="宋体" w:cs="Times New Roman"/>
                <w:color w:val="000000"/>
                <w:sz w:val="24"/>
                <w:highlight w:val="none"/>
                <w:lang w:val="en-US" w:eastAsia="zh-CN"/>
              </w:rPr>
            </w:pPr>
            <w:r>
              <w:rPr>
                <w:rFonts w:hint="default" w:ascii="Times New Roman" w:hAnsi="Times New Roman" w:cs="Times New Roman"/>
                <w:color w:val="000000"/>
                <w:sz w:val="24"/>
                <w:highlight w:val="none"/>
              </w:rPr>
              <w:t>（2）生活污水：施工高峰期作业人员及管理人员按100人计，生活用水量按50L/人·d计，则生活日用水量为5m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/d；排放系数按0.8计，则项目施工期生活污水排放量为4m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/d；主要污染物为COD、BOD、氨氮、SS以及少量动植物油等。项目</w:t>
            </w:r>
            <w:r>
              <w:rPr>
                <w:rFonts w:hint="default" w:ascii="Times New Roman" w:hAnsi="Times New Roman" w:cs="Times New Roman"/>
                <w:color w:val="000000"/>
                <w:sz w:val="24"/>
                <w:highlight w:val="none"/>
                <w:lang w:val="en-US" w:eastAsia="zh-CN"/>
              </w:rPr>
              <w:t>依托厂区已建</w:t>
            </w:r>
            <w:r>
              <w:rPr>
                <w:rFonts w:hint="default" w:ascii="Times New Roman" w:hAnsi="Times New Roman" w:cs="Times New Roman"/>
                <w:color w:val="000000"/>
                <w:sz w:val="24"/>
                <w:highlight w:val="none"/>
              </w:rPr>
              <w:t>一座预处理池（容积为</w:t>
            </w:r>
            <w:r>
              <w:rPr>
                <w:rFonts w:hint="default" w:ascii="Times New Roman" w:hAnsi="Times New Roman" w:cs="Times New Roman"/>
                <w:color w:val="000000"/>
                <w:sz w:val="24"/>
                <w:highlight w:val="none"/>
                <w:lang w:val="en-US" w:eastAsia="zh-CN"/>
              </w:rPr>
              <w:t>1</w:t>
            </w:r>
            <w:r>
              <w:rPr>
                <w:rFonts w:hint="default" w:ascii="Times New Roman" w:hAnsi="Times New Roman" w:cs="Times New Roman"/>
                <w:color w:val="000000"/>
                <w:sz w:val="24"/>
                <w:highlight w:val="none"/>
              </w:rPr>
              <w:t>00m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），生活污水排入预处理池处理，处理后</w:t>
            </w:r>
            <w:r>
              <w:rPr>
                <w:rFonts w:hint="default" w:ascii="Times New Roman" w:hAnsi="Times New Roman" w:cs="Times New Roman"/>
                <w:color w:val="000000"/>
                <w:sz w:val="24"/>
                <w:highlight w:val="none"/>
                <w:lang w:val="en-US" w:eastAsia="zh-CN"/>
              </w:rPr>
              <w:t>通过园区管网排至大英工业集中区</w:t>
            </w:r>
            <w:r>
              <w:rPr>
                <w:rFonts w:hint="default" w:ascii="Times New Roman" w:hAnsi="Times New Roman" w:cs="Times New Roman"/>
                <w:color w:val="000000"/>
                <w:sz w:val="24"/>
                <w:highlight w:val="none"/>
              </w:rPr>
              <w:t>污水处理厂。</w:t>
            </w:r>
            <w:r>
              <w:rPr>
                <w:rFonts w:hint="default" w:ascii="Times New Roman" w:hAnsi="Times New Roman" w:cs="Times New Roman"/>
                <w:color w:val="000000"/>
                <w:sz w:val="24"/>
                <w:highlight w:val="none"/>
                <w:lang w:val="en-US" w:eastAsia="zh-CN"/>
              </w:rPr>
              <w:t>待施工结束，将预处理池回填。</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3、噪声源</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施工期噪声主要包括施工机械噪声和运输车辆交通噪声，具体如下：</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①土石方挖掘机、基础施工工序使用的塔吊，钢筋加工时使用的卷扬机、压缩机等机械设备及运输车辆产生的噪声，声级值数75~105dB（A）。</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②板、梁、柱浇铸时，使用的混凝土输送泵、振捣碾，钢筋加工使用的电锯、电焊机、空压机等设备产生的噪声，声级值约75～105dB（A）。</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③电钻、电锤、手工钻、无齿锯、多功能木工刨、云石机、切割机、角向磨光机等设备噪声，声级值90～115dB（A）。</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④运输建筑材料及土石方的车辆交通噪声，声级值约75～90dB（A）。</w:t>
            </w:r>
          </w:p>
          <w:p>
            <w:pPr>
              <w:adjustRightInd w:val="0"/>
              <w:snapToGrid w:val="0"/>
              <w:spacing w:line="360" w:lineRule="auto"/>
              <w:ind w:firstLine="482" w:firstLineChars="200"/>
              <w:jc w:val="left"/>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拟采取的防治措施有：</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①选用低噪设备，并采取有效的隔声减振措施。</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②合理安排作业时间，将打桩、倾倒卵石料等强噪声作业尽量安排在白天进行，杜绝夜间（22：00~6：00），午休期间（12:00-14:00）施工噪声扰民；如果工艺要求必须连续作业的强噪声施工，应首先征得当地建委、城管等主管部门的同意，并及时向周边各住宅区居民公告，以免发生噪声扰民纠纷。</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③严格进行施工人员管理，文明施工。装卸、搬运钢管、模板等严禁抛掷，木工房使用前应完全封闭。</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④施工范围严格设置围挡，对钢筋加工区设置加工棚。</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⑤选用低噪设备、做好施工机械消声、减震工作，定期对机械设备进行维修维护。</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⑥合理布局，将主要噪声设备源（钢筋加工棚、设备加工区）置于施工范围中部。</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在采取上述措施的基础上，施工期场界噪声能达到《建筑施工场界环境噪声排放标准》（GB12523-2011）标准要求。</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4、固体废物</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项目土方基本能挖填平衡，固体废物主要为建筑垃圾和施工人员的生活垃圾。</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（1）建渣</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在项目施工过程中，产生的建筑垃圾（废木块、混凝土渣、废铁、废钢板废料等、废包装材料等），评价对产生的建渣按照10kg/m</w:t>
            </w:r>
            <w:r>
              <w:rPr>
                <w:rFonts w:hint="default" w:ascii="Times New Roman" w:hAnsi="Times New Roman" w:cs="Times New Roman"/>
                <w:color w:val="000000"/>
                <w:sz w:val="24"/>
                <w:highlight w:val="none"/>
                <w:vertAlign w:val="superscript"/>
              </w:rPr>
              <w:t>2</w:t>
            </w:r>
            <w:r>
              <w:rPr>
                <w:rFonts w:hint="default" w:ascii="Times New Roman" w:hAnsi="Times New Roman" w:cs="Times New Roman"/>
                <w:color w:val="000000"/>
                <w:sz w:val="24"/>
                <w:highlight w:val="none"/>
              </w:rPr>
              <w:t>的计算，本项目建筑面积为</w:t>
            </w:r>
            <w:r>
              <w:rPr>
                <w:rFonts w:hint="default" w:ascii="Times New Roman" w:hAnsi="Times New Roman" w:cs="Times New Roman"/>
                <w:color w:val="000000"/>
                <w:sz w:val="24"/>
                <w:highlight w:val="none"/>
                <w:lang w:val="en-US" w:eastAsia="zh-CN"/>
              </w:rPr>
              <w:t>6988.56</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2</w:t>
            </w:r>
            <w:r>
              <w:rPr>
                <w:rFonts w:hint="default" w:ascii="Times New Roman" w:hAnsi="Times New Roman" w:cs="Times New Roman"/>
                <w:color w:val="000000"/>
                <w:sz w:val="24"/>
                <w:highlight w:val="none"/>
              </w:rPr>
              <w:t>，则推算本项目施工期产生的施工建渣为</w:t>
            </w:r>
            <w:r>
              <w:rPr>
                <w:rFonts w:hint="default" w:ascii="Times New Roman" w:hAnsi="Times New Roman" w:cs="Times New Roman"/>
                <w:color w:val="000000"/>
                <w:sz w:val="24"/>
                <w:highlight w:val="none"/>
                <w:lang w:val="en-US" w:eastAsia="zh-CN"/>
              </w:rPr>
              <w:t>69.89</w:t>
            </w:r>
            <w:r>
              <w:rPr>
                <w:rFonts w:hint="default" w:ascii="Times New Roman" w:hAnsi="Times New Roman" w:cs="Times New Roman"/>
                <w:color w:val="000000"/>
                <w:sz w:val="24"/>
                <w:highlight w:val="none"/>
              </w:rPr>
              <w:t>吨。施工现场应设置建筑废弃物临时堆场并进行防雨、防泄漏处理。施工产生的废料应首先考虑回收利用，对钢筋、钢板、木材等下角料可分类回收，交废物收购站处理；对不能回收的建筑垃圾，如混凝土废料、含砖、石、砂的杂土等应集中堆放，定时清运到指定垃圾场。</w:t>
            </w:r>
          </w:p>
          <w:p>
            <w:pPr>
              <w:autoSpaceDE/>
              <w:autoSpaceDN/>
              <w:adjustRightInd w:val="0"/>
              <w:snapToGrid w:val="0"/>
              <w:spacing w:line="360" w:lineRule="auto"/>
              <w:ind w:firstLine="480" w:firstLineChars="200"/>
              <w:jc w:val="left"/>
              <w:rPr>
                <w:rFonts w:hint="default" w:ascii="Times New Roman" w:hAnsi="Times New Roman" w:cs="Times New Roman"/>
                <w:color w:val="000000"/>
                <w:sz w:val="24"/>
                <w:szCs w:val="24"/>
                <w:highlight w:val="none"/>
              </w:rPr>
            </w:pPr>
            <w:r>
              <w:rPr>
                <w:rStyle w:val="30"/>
                <w:rFonts w:hint="default" w:ascii="Times New Roman" w:hAnsi="Times New Roman" w:cs="Times New Roman"/>
                <w:color w:val="000000"/>
                <w:kern w:val="0"/>
                <w:sz w:val="24"/>
                <w:szCs w:val="24"/>
                <w:highlight w:val="none"/>
              </w:rPr>
              <w:t>（2）</w:t>
            </w:r>
            <w:r>
              <w:rPr>
                <w:rStyle w:val="30"/>
                <w:rFonts w:hint="default" w:ascii="Times New Roman" w:hAnsi="Times New Roman" w:cs="Times New Roman"/>
                <w:color w:val="000000"/>
                <w:kern w:val="0"/>
                <w:sz w:val="24"/>
                <w:szCs w:val="24"/>
                <w:highlight w:val="none"/>
                <w:lang w:val="en-US" w:eastAsia="zh-CN"/>
              </w:rPr>
              <w:t>施工期</w:t>
            </w:r>
            <w:r>
              <w:rPr>
                <w:rStyle w:val="30"/>
                <w:rFonts w:hint="default" w:ascii="Times New Roman" w:hAnsi="Times New Roman" w:cs="Times New Roman"/>
                <w:color w:val="000000"/>
                <w:kern w:val="0"/>
                <w:sz w:val="24"/>
                <w:szCs w:val="24"/>
                <w:highlight w:val="none"/>
              </w:rPr>
              <w:t>生活垃圾</w:t>
            </w:r>
          </w:p>
          <w:p>
            <w:pPr>
              <w:autoSpaceDE/>
              <w:autoSpaceDN/>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按高峰时施工人员100人，施工期生活垃圾按0.5kg/人·d计，产生量为50kg/d。环评要求设专人打扫卫生，设置垃圾箱、垃圾桶，每天收集施工区域的生活垃圾，交由环卫部门</w:t>
            </w:r>
            <w:r>
              <w:rPr>
                <w:rFonts w:hint="eastAsia" w:cs="Times New Roman"/>
                <w:color w:val="000000"/>
                <w:sz w:val="24"/>
                <w:highlight w:val="none"/>
                <w:lang w:val="en-US" w:eastAsia="zh-CN"/>
              </w:rPr>
              <w:t xml:space="preserve">                           </w:t>
            </w:r>
            <w:r>
              <w:rPr>
                <w:rFonts w:hint="default" w:ascii="Times New Roman" w:hAnsi="Times New Roman" w:cs="Times New Roman"/>
                <w:color w:val="000000"/>
                <w:sz w:val="24"/>
                <w:highlight w:val="none"/>
              </w:rPr>
              <w:t>统一清运、处理。</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5、水土流失</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（1）污染源分析</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建筑物施工过程中基础开挖将不可避免产生水土流失。水土流失的成因主要有：</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①施工过程中开挖造成地表裸露，表层土抗蚀能力减弱，将加剧水土流失。</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②施工区的土石渣料堆放遇下雨时受雨水冲刷，将</w:t>
            </w:r>
            <w:r>
              <w:rPr>
                <w:rFonts w:hint="eastAsia" w:cs="Times New Roman"/>
                <w:color w:val="000000"/>
                <w:sz w:val="24"/>
                <w:highlight w:val="none"/>
                <w:lang w:eastAsia="zh-CN"/>
              </w:rPr>
              <w:t>不可避免地产生</w:t>
            </w:r>
            <w:r>
              <w:rPr>
                <w:rFonts w:hint="default" w:ascii="Times New Roman" w:hAnsi="Times New Roman" w:cs="Times New Roman"/>
                <w:color w:val="000000"/>
                <w:sz w:val="24"/>
                <w:highlight w:val="none"/>
              </w:rPr>
              <w:t>部分水土流失。</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③取土回填也易产生水土流失。</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（2）防治措施</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①在施工过程中必须做到对施工区土壤的分层剥离、分层开挖、分层堆放和循序分层回填。应注意表层土壤的堆放及防护问题，避免雨天施工，施工时采取修建挡土墙、排水沟、覆盖塑料布等措施，可有效防止水土流失。施工设置杂货区、垃圾箱，明确卫生责任区，确定责任人，并定期打扫清除。</w:t>
            </w:r>
          </w:p>
          <w:p>
            <w:pPr>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②尽量减少施工人员及施工机械对作业场外的植被破坏。施工便道尽量利用现有道路。</w:t>
            </w:r>
          </w:p>
          <w:p>
            <w:pPr>
              <w:spacing w:line="360" w:lineRule="auto"/>
              <w:ind w:firstLine="480" w:firstLineChars="200"/>
              <w:rPr>
                <w:rFonts w:hint="default" w:ascii="Times New Roman" w:hAnsi="Times New Roman" w:cs="Times New Roman"/>
                <w:bCs/>
                <w:spacing w:val="-10"/>
                <w:szCs w:val="21"/>
              </w:rPr>
            </w:pPr>
            <w:r>
              <w:rPr>
                <w:rFonts w:hint="default" w:ascii="Times New Roman" w:hAnsi="Times New Roman" w:cs="Times New Roman"/>
                <w:color w:val="000000"/>
                <w:sz w:val="24"/>
                <w:highlight w:val="none"/>
              </w:rPr>
              <w:t>综上所述，本项目施工期施工作业影响是暂时的，在施工结束后，影响区域的各环境要素基本都可以得到恢复。只要建设单位认真制定和严格落实工程施工期应该采取的环保对策措施，则施工建设活动对外环境的不利影响可得到消除或有效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tcMar>
              <w:left w:w="28" w:type="dxa"/>
              <w:right w:w="28" w:type="dxa"/>
            </w:tcMar>
            <w:vAlign w:val="center"/>
          </w:tcPr>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运营</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期环</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境影</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响和</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保护</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措施</w:t>
            </w:r>
          </w:p>
        </w:tc>
        <w:tc>
          <w:tcPr>
            <w:tcW w:w="8179" w:type="dxa"/>
            <w:vAlign w:val="center"/>
          </w:tcPr>
          <w:p>
            <w:pPr>
              <w:spacing w:line="360" w:lineRule="auto"/>
              <w:rPr>
                <w:rFonts w:hint="default" w:ascii="Times New Roman" w:hAnsi="Times New Roman" w:cs="Times New Roman"/>
                <w:b/>
                <w:sz w:val="24"/>
              </w:rPr>
            </w:pPr>
            <w:r>
              <w:rPr>
                <w:rFonts w:hint="default" w:ascii="Times New Roman" w:hAnsi="Times New Roman" w:cs="Times New Roman"/>
                <w:b/>
                <w:sz w:val="24"/>
              </w:rPr>
              <w:t>二、营运期环境影响分析</w:t>
            </w:r>
          </w:p>
          <w:p>
            <w:pPr>
              <w:adjustRightInd w:val="0"/>
              <w:snapToGrid w:val="0"/>
              <w:spacing w:line="360" w:lineRule="auto"/>
              <w:ind w:firstLine="482" w:firstLineChars="200"/>
              <w:rPr>
                <w:rFonts w:hint="default" w:ascii="Times New Roman" w:hAnsi="Times New Roman" w:cs="Times New Roman"/>
                <w:b/>
                <w:sz w:val="24"/>
                <w:szCs w:val="28"/>
              </w:rPr>
            </w:pPr>
            <w:r>
              <w:rPr>
                <w:rFonts w:hint="default" w:ascii="Times New Roman" w:hAnsi="Times New Roman" w:cs="Times New Roman"/>
                <w:b/>
                <w:sz w:val="24"/>
                <w:szCs w:val="28"/>
              </w:rPr>
              <w:t>1.1</w:t>
            </w:r>
            <w:r>
              <w:rPr>
                <w:rFonts w:hint="default" w:ascii="Times New Roman" w:hAnsi="Times New Roman" w:cs="Times New Roman"/>
                <w:b/>
                <w:sz w:val="24"/>
              </w:rPr>
              <w:t>营运</w:t>
            </w:r>
            <w:r>
              <w:rPr>
                <w:rFonts w:hint="default" w:ascii="Times New Roman" w:hAnsi="Times New Roman" w:cs="Times New Roman"/>
                <w:b/>
                <w:sz w:val="24"/>
                <w:szCs w:val="28"/>
              </w:rPr>
              <w:t>期大气环境影响分析</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本项目运营期产生的废气产生节点主要为锅炉废气；</w:t>
            </w:r>
          </w:p>
          <w:p>
            <w:pPr>
              <w:pStyle w:val="2"/>
              <w:adjustRightInd w:val="0"/>
              <w:spacing w:before="0" w:after="0" w:line="360" w:lineRule="auto"/>
              <w:ind w:right="0"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（1）</w:t>
            </w:r>
            <w:r>
              <w:rPr>
                <w:rFonts w:hint="default" w:ascii="Times New Roman" w:hAnsi="Times New Roman" w:cs="Times New Roman"/>
                <w:b/>
                <w:sz w:val="24"/>
                <w:szCs w:val="24"/>
                <w:lang w:val="en-US" w:eastAsia="zh-CN"/>
              </w:rPr>
              <w:t>生物质燃烧</w:t>
            </w:r>
            <w:r>
              <w:rPr>
                <w:rFonts w:hint="default" w:ascii="Times New Roman" w:hAnsi="Times New Roman" w:cs="Times New Roman"/>
                <w:b/>
                <w:sz w:val="24"/>
                <w:szCs w:val="24"/>
              </w:rPr>
              <w:t>废气及治理</w:t>
            </w:r>
          </w:p>
          <w:p>
            <w:pPr>
              <w:pStyle w:val="2"/>
              <w:adjustRightInd w:val="0"/>
              <w:spacing w:before="0" w:after="0" w:line="360" w:lineRule="auto"/>
              <w:ind w:right="0"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本项目新建</w:t>
            </w:r>
            <w:r>
              <w:rPr>
                <w:rFonts w:hint="default" w:ascii="Times New Roman" w:hAnsi="Times New Roman" w:cs="Times New Roman"/>
                <w:bCs/>
                <w:sz w:val="24"/>
                <w:szCs w:val="24"/>
                <w:lang w:val="en-US" w:eastAsia="zh-CN"/>
              </w:rPr>
              <w:t>1</w:t>
            </w:r>
            <w:r>
              <w:rPr>
                <w:rFonts w:hint="default" w:ascii="Times New Roman" w:hAnsi="Times New Roman" w:cs="Times New Roman"/>
                <w:bCs/>
                <w:sz w:val="24"/>
                <w:szCs w:val="24"/>
              </w:rPr>
              <w:t>台</w:t>
            </w:r>
            <w:r>
              <w:rPr>
                <w:rFonts w:hint="default" w:ascii="Times New Roman" w:hAnsi="Times New Roman" w:cs="Times New Roman"/>
                <w:bCs/>
                <w:sz w:val="24"/>
                <w:szCs w:val="24"/>
                <w:lang w:val="en-US" w:eastAsia="zh-CN"/>
              </w:rPr>
              <w:t>生物质</w:t>
            </w:r>
            <w:r>
              <w:rPr>
                <w:rFonts w:hint="default" w:ascii="Times New Roman" w:hAnsi="Times New Roman" w:cs="Times New Roman"/>
                <w:bCs/>
                <w:sz w:val="24"/>
                <w:szCs w:val="24"/>
              </w:rPr>
              <w:t>锅炉，锅炉燃料为</w:t>
            </w:r>
            <w:r>
              <w:rPr>
                <w:rFonts w:hint="default" w:ascii="Times New Roman" w:hAnsi="Times New Roman" w:cs="Times New Roman"/>
                <w:bCs/>
                <w:sz w:val="24"/>
                <w:szCs w:val="24"/>
                <w:lang w:val="en-US" w:eastAsia="zh-CN"/>
              </w:rPr>
              <w:t>气化炉分解生物质原料产生的</w:t>
            </w:r>
            <w:r>
              <w:rPr>
                <w:rFonts w:hint="eastAsia" w:cs="Times New Roman"/>
                <w:bCs/>
                <w:sz w:val="24"/>
                <w:szCs w:val="24"/>
                <w:lang w:val="en-US" w:eastAsia="zh-CN"/>
              </w:rPr>
              <w:t>气体，气体</w:t>
            </w:r>
            <w:r>
              <w:rPr>
                <w:rFonts w:hint="default" w:ascii="Times New Roman" w:hAnsi="Times New Roman" w:cs="Times New Roman"/>
                <w:bCs/>
                <w:sz w:val="24"/>
                <w:szCs w:val="24"/>
              </w:rPr>
              <w:t>燃烧将产生锅炉烟气，其主要污染物为SO</w:t>
            </w:r>
            <w:r>
              <w:rPr>
                <w:rFonts w:hint="default" w:ascii="Times New Roman" w:hAnsi="Times New Roman" w:cs="Times New Roman"/>
                <w:bCs/>
                <w:sz w:val="24"/>
                <w:szCs w:val="24"/>
                <w:vertAlign w:val="subscript"/>
              </w:rPr>
              <w:t>2</w:t>
            </w:r>
            <w:r>
              <w:rPr>
                <w:rFonts w:hint="default" w:ascii="Times New Roman" w:hAnsi="Times New Roman" w:cs="Times New Roman"/>
                <w:bCs/>
                <w:sz w:val="24"/>
                <w:szCs w:val="24"/>
              </w:rPr>
              <w:t>、NOx、颗粒物以及CO。</w:t>
            </w:r>
          </w:p>
          <w:p>
            <w:pPr>
              <w:pStyle w:val="2"/>
              <w:adjustRightInd w:val="0"/>
              <w:spacing w:before="0" w:after="0" w:line="360" w:lineRule="auto"/>
              <w:ind w:right="0" w:firstLine="482" w:firstLineChars="200"/>
              <w:rPr>
                <w:rFonts w:hint="default" w:ascii="Times New Roman" w:hAnsi="Times New Roman" w:cs="Times New Roman"/>
                <w:b/>
                <w:bCs/>
                <w:sz w:val="24"/>
                <w:szCs w:val="24"/>
                <w:vertAlign w:val="baseline"/>
                <w:lang w:val="en-US" w:eastAsia="zh-CN"/>
              </w:rPr>
            </w:pPr>
            <w:r>
              <w:rPr>
                <w:rFonts w:hint="default" w:ascii="Times New Roman" w:hAnsi="Times New Roman" w:cs="Times New Roman"/>
                <w:b/>
                <w:bCs/>
                <w:sz w:val="24"/>
                <w:szCs w:val="24"/>
                <w:vertAlign w:val="baseline"/>
                <w:lang w:val="en-US" w:eastAsia="zh-CN"/>
              </w:rPr>
              <w:t>锅炉烟气量：</w:t>
            </w:r>
          </w:p>
          <w:p>
            <w:pPr>
              <w:pStyle w:val="2"/>
              <w:adjustRightInd w:val="0"/>
              <w:spacing w:before="0" w:after="0" w:line="360" w:lineRule="auto"/>
              <w:ind w:right="0" w:firstLine="480" w:firstLineChars="200"/>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参考《生物质热解气化原理与技术》（孙立、张晓东编著），生物质气化炉的气体产率为2.0-2.5m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/kg本项目按 2.</w:t>
            </w:r>
            <w:r>
              <w:rPr>
                <w:rFonts w:hint="eastAsia" w:cs="Times New Roman"/>
                <w:sz w:val="24"/>
                <w:szCs w:val="24"/>
                <w:vertAlign w:val="baseline"/>
                <w:lang w:val="en-US" w:eastAsia="zh-CN"/>
              </w:rPr>
              <w:t>4</w:t>
            </w:r>
            <w:r>
              <w:rPr>
                <w:rFonts w:hint="default" w:ascii="Times New Roman" w:hAnsi="Times New Roman" w:cs="Times New Roman"/>
                <w:sz w:val="24"/>
                <w:szCs w:val="24"/>
                <w:vertAlign w:val="baseline"/>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/kg计，本项目生物质燃料年消耗量为22000t，则项目生物质气化炉的燃气气体量为</w:t>
            </w:r>
            <w:r>
              <w:rPr>
                <w:rFonts w:hint="eastAsia" w:cs="Times New Roman"/>
                <w:sz w:val="24"/>
                <w:szCs w:val="24"/>
                <w:vertAlign w:val="baseline"/>
                <w:lang w:val="en-US" w:eastAsia="zh-CN"/>
              </w:rPr>
              <w:t>5280</w:t>
            </w:r>
            <w:r>
              <w:rPr>
                <w:rFonts w:hint="default" w:ascii="Times New Roman" w:hAnsi="Times New Roman" w:cs="Times New Roman"/>
                <w:sz w:val="24"/>
                <w:szCs w:val="24"/>
                <w:vertAlign w:val="baseline"/>
                <w:lang w:val="en-US" w:eastAsia="zh-CN"/>
              </w:rPr>
              <w:t>万m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/a。</w:t>
            </w:r>
          </w:p>
          <w:p>
            <w:pPr>
              <w:pStyle w:val="2"/>
              <w:adjustRightInd w:val="0"/>
              <w:spacing w:before="0" w:after="0" w:line="360" w:lineRule="auto"/>
              <w:ind w:right="0" w:firstLine="480" w:firstLineChars="200"/>
              <w:rPr>
                <w:rFonts w:hint="default" w:ascii="Times New Roman" w:hAnsi="Times New Roman" w:eastAsia="宋体" w:cs="Times New Roman"/>
                <w:bCs/>
                <w:sz w:val="24"/>
                <w:szCs w:val="24"/>
                <w:lang w:eastAsia="zh-CN"/>
              </w:rPr>
            </w:pPr>
            <w:r>
              <w:rPr>
                <w:rFonts w:hint="default" w:ascii="Times New Roman" w:hAnsi="Times New Roman" w:cs="Times New Roman"/>
                <w:bCs/>
                <w:sz w:val="24"/>
                <w:szCs w:val="24"/>
              </w:rPr>
              <w:t>根据《污染源源强核算技术指南--锅炉》（HJ991-2018）</w:t>
            </w:r>
            <w:r>
              <w:rPr>
                <w:rFonts w:hint="default" w:ascii="Times New Roman" w:hAnsi="Times New Roman" w:cs="Times New Roman"/>
                <w:bCs/>
                <w:sz w:val="24"/>
                <w:szCs w:val="24"/>
                <w:lang w:val="en-US" w:eastAsia="zh-CN"/>
              </w:rPr>
              <w:t>中气体燃料烟气经验</w:t>
            </w:r>
            <w:r>
              <w:rPr>
                <w:rFonts w:hint="eastAsia" w:cs="Times New Roman"/>
                <w:bCs/>
                <w:sz w:val="24"/>
                <w:szCs w:val="24"/>
                <w:lang w:val="en-US" w:eastAsia="zh-CN"/>
              </w:rPr>
              <w:t>公式</w:t>
            </w:r>
            <w:r>
              <w:rPr>
                <w:rFonts w:hint="default" w:ascii="Times New Roman" w:hAnsi="Times New Roman" w:cs="Times New Roman"/>
                <w:bCs/>
                <w:sz w:val="24"/>
                <w:szCs w:val="24"/>
                <w:lang w:val="en-US" w:eastAsia="zh-CN"/>
              </w:rPr>
              <w:t>计算如下</w:t>
            </w:r>
            <w:r>
              <w:rPr>
                <w:rFonts w:hint="default" w:ascii="Times New Roman" w:hAnsi="Times New Roman" w:cs="Times New Roman"/>
                <w:bCs/>
                <w:sz w:val="24"/>
                <w:szCs w:val="24"/>
                <w:lang w:eastAsia="zh-CN"/>
              </w:rPr>
              <w:t>：</w:t>
            </w:r>
          </w:p>
          <w:p>
            <w:pPr>
              <w:pStyle w:val="2"/>
              <w:adjustRightInd w:val="0"/>
              <w:spacing w:before="0" w:after="0" w:line="360" w:lineRule="auto"/>
              <w:ind w:right="0"/>
              <w:jc w:val="center"/>
              <w:rPr>
                <w:rFonts w:hint="default" w:ascii="Times New Roman" w:hAnsi="Times New Roman" w:cs="Times New Roman"/>
                <w:bCs/>
                <w:sz w:val="24"/>
                <w:szCs w:val="24"/>
                <w:lang w:val="en-US" w:eastAsia="zh-CN"/>
              </w:rPr>
            </w:pPr>
            <w:r>
              <w:rPr>
                <w:rFonts w:hint="default" w:ascii="Times New Roman" w:hAnsi="Times New Roman" w:cs="Times New Roman"/>
              </w:rPr>
              <w:drawing>
                <wp:inline distT="0" distB="0" distL="114300" distR="114300">
                  <wp:extent cx="2879725" cy="1024890"/>
                  <wp:effectExtent l="0" t="0" r="635"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4"/>
                          <a:stretch>
                            <a:fillRect/>
                          </a:stretch>
                        </pic:blipFill>
                        <pic:spPr>
                          <a:xfrm>
                            <a:off x="0" y="0"/>
                            <a:ext cx="2879725" cy="1024890"/>
                          </a:xfrm>
                          <a:prstGeom prst="rect">
                            <a:avLst/>
                          </a:prstGeom>
                          <a:noFill/>
                          <a:ln>
                            <a:noFill/>
                          </a:ln>
                        </pic:spPr>
                      </pic:pic>
                    </a:graphicData>
                  </a:graphic>
                </wp:inline>
              </w:drawing>
            </w:r>
          </w:p>
          <w:p>
            <w:pPr>
              <w:pStyle w:val="2"/>
              <w:adjustRightInd w:val="0"/>
              <w:spacing w:before="0" w:after="0" w:line="360" w:lineRule="auto"/>
              <w:ind w:right="0"/>
              <w:rPr>
                <w:rFonts w:hint="default" w:ascii="Times New Roman" w:hAnsi="Times New Roman" w:cs="Times New Roman"/>
                <w:vertAlign w:val="baseline"/>
                <w:lang w:val="en-US" w:eastAsia="zh-CN"/>
              </w:rPr>
            </w:pPr>
            <w:r>
              <w:rPr>
                <w:rFonts w:hint="default" w:ascii="Times New Roman" w:hAnsi="Times New Roman" w:cs="Times New Roman"/>
                <w:bCs/>
                <w:sz w:val="24"/>
                <w:szCs w:val="24"/>
                <w:lang w:val="en-US" w:eastAsia="zh-CN"/>
              </w:rPr>
              <w:t>其中：V</w:t>
            </w:r>
            <w:r>
              <w:rPr>
                <w:rFonts w:hint="default" w:ascii="Times New Roman" w:hAnsi="Times New Roman" w:cs="Times New Roman"/>
                <w:bCs/>
                <w:sz w:val="24"/>
                <w:szCs w:val="24"/>
                <w:vertAlign w:val="subscript"/>
                <w:lang w:val="en-US" w:eastAsia="zh-CN"/>
              </w:rPr>
              <w:t>0</w:t>
            </w:r>
            <w:r>
              <w:rPr>
                <w:rFonts w:hint="default" w:ascii="Times New Roman" w:hAnsi="Times New Roman" w:cs="Times New Roman"/>
                <w:bCs/>
                <w:sz w:val="24"/>
                <w:szCs w:val="24"/>
                <w:vertAlign w:val="baseline"/>
                <w:lang w:val="en-US" w:eastAsia="zh-CN"/>
              </w:rPr>
              <w:t>——理论空气量：（Nm</w:t>
            </w:r>
            <w:r>
              <w:rPr>
                <w:rFonts w:hint="default" w:ascii="Times New Roman" w:hAnsi="Times New Roman" w:cs="Times New Roman"/>
                <w:bCs/>
                <w:sz w:val="24"/>
                <w:szCs w:val="24"/>
                <w:vertAlign w:val="superscript"/>
                <w:lang w:val="en-US" w:eastAsia="zh-CN"/>
              </w:rPr>
              <w:t>3</w:t>
            </w:r>
            <w:r>
              <w:rPr>
                <w:rFonts w:hint="default" w:ascii="Times New Roman" w:hAnsi="Times New Roman" w:cs="Times New Roman"/>
                <w:bCs/>
                <w:sz w:val="24"/>
                <w:szCs w:val="24"/>
                <w:vertAlign w:val="baseline"/>
                <w:lang w:val="en-US" w:eastAsia="zh-CN"/>
              </w:rPr>
              <w:t>/m</w:t>
            </w:r>
            <w:r>
              <w:rPr>
                <w:rFonts w:hint="default" w:ascii="Times New Roman" w:hAnsi="Times New Roman" w:cs="Times New Roman"/>
                <w:bCs/>
                <w:sz w:val="24"/>
                <w:szCs w:val="24"/>
                <w:vertAlign w:val="superscript"/>
                <w:lang w:val="en-US" w:eastAsia="zh-CN"/>
              </w:rPr>
              <w:t>3</w:t>
            </w:r>
            <w:r>
              <w:rPr>
                <w:rFonts w:hint="default" w:ascii="Times New Roman" w:hAnsi="Times New Roman" w:cs="Times New Roman"/>
                <w:bCs/>
                <w:sz w:val="24"/>
                <w:szCs w:val="24"/>
                <w:vertAlign w:val="baseline"/>
                <w:lang w:val="en-US" w:eastAsia="zh-CN"/>
              </w:rPr>
              <w:t>）</w:t>
            </w:r>
            <w:r>
              <w:rPr>
                <w:rFonts w:hint="eastAsia" w:cs="Times New Roman"/>
                <w:bCs/>
                <w:sz w:val="24"/>
                <w:szCs w:val="24"/>
                <w:vertAlign w:val="baseline"/>
                <w:lang w:val="en-US" w:eastAsia="zh-CN"/>
              </w:rPr>
              <w:t>本项目V</w:t>
            </w:r>
            <w:r>
              <w:rPr>
                <w:rFonts w:hint="eastAsia" w:cs="Times New Roman"/>
                <w:bCs/>
                <w:sz w:val="24"/>
                <w:szCs w:val="24"/>
                <w:vertAlign w:val="subscript"/>
                <w:lang w:val="en-US" w:eastAsia="zh-CN"/>
              </w:rPr>
              <w:t>0</w:t>
            </w:r>
            <w:r>
              <w:rPr>
                <w:rFonts w:hint="eastAsia" w:cs="Times New Roman"/>
                <w:bCs/>
                <w:sz w:val="24"/>
                <w:szCs w:val="24"/>
                <w:vertAlign w:val="baseline"/>
                <w:lang w:val="en-US" w:eastAsia="zh-CN"/>
              </w:rPr>
              <w:t>=1.03455</w:t>
            </w:r>
            <w:r>
              <w:rPr>
                <w:rFonts w:hint="default" w:ascii="Times New Roman" w:hAnsi="Times New Roman" w:cs="Times New Roman"/>
                <w:bCs/>
                <w:sz w:val="24"/>
                <w:szCs w:val="24"/>
                <w:vertAlign w:val="baseline"/>
                <w:lang w:val="en-US" w:eastAsia="zh-CN"/>
              </w:rPr>
              <w:t>（Nm</w:t>
            </w:r>
            <w:r>
              <w:rPr>
                <w:rFonts w:hint="default" w:ascii="Times New Roman" w:hAnsi="Times New Roman" w:cs="Times New Roman"/>
                <w:bCs/>
                <w:sz w:val="24"/>
                <w:szCs w:val="24"/>
                <w:vertAlign w:val="superscript"/>
                <w:lang w:val="en-US" w:eastAsia="zh-CN"/>
              </w:rPr>
              <w:t>3</w:t>
            </w:r>
            <w:r>
              <w:rPr>
                <w:rFonts w:hint="default" w:ascii="Times New Roman" w:hAnsi="Times New Roman" w:cs="Times New Roman"/>
                <w:bCs/>
                <w:sz w:val="24"/>
                <w:szCs w:val="24"/>
                <w:vertAlign w:val="baseline"/>
                <w:lang w:val="en-US" w:eastAsia="zh-CN"/>
              </w:rPr>
              <w:t>/m</w:t>
            </w:r>
            <w:r>
              <w:rPr>
                <w:rFonts w:hint="default" w:ascii="Times New Roman" w:hAnsi="Times New Roman" w:cs="Times New Roman"/>
                <w:bCs/>
                <w:sz w:val="24"/>
                <w:szCs w:val="24"/>
                <w:vertAlign w:val="superscript"/>
                <w:lang w:val="en-US" w:eastAsia="zh-CN"/>
              </w:rPr>
              <w:t>3</w:t>
            </w:r>
            <w:r>
              <w:rPr>
                <w:rFonts w:hint="default" w:ascii="Times New Roman" w:hAnsi="Times New Roman" w:cs="Times New Roman"/>
                <w:bCs/>
                <w:sz w:val="24"/>
                <w:szCs w:val="24"/>
                <w:vertAlign w:val="baseline"/>
                <w:lang w:val="en-US" w:eastAsia="zh-CN"/>
              </w:rPr>
              <w:t>）</w:t>
            </w:r>
          </w:p>
          <w:p>
            <w:pPr>
              <w:pStyle w:val="2"/>
              <w:adjustRightInd w:val="0"/>
              <w:spacing w:before="0" w:after="0" w:line="360" w:lineRule="auto"/>
              <w:ind w:right="0" w:firstLine="480" w:firstLineChars="200"/>
              <w:rPr>
                <w:rFonts w:hint="default" w:ascii="Times New Roman" w:hAnsi="Times New Roman" w:cs="Times New Roman"/>
                <w:vertAlign w:val="baseline"/>
                <w:lang w:val="en-US" w:eastAsia="zh-CN"/>
              </w:rPr>
            </w:pPr>
            <w:r>
              <w:rPr>
                <w:rFonts w:hint="default" w:ascii="Times New Roman" w:hAnsi="Times New Roman" w:cs="Times New Roman"/>
                <w:bCs/>
                <w:sz w:val="24"/>
                <w:szCs w:val="24"/>
                <w:lang w:val="en-US" w:eastAsia="zh-CN"/>
              </w:rPr>
              <w:t>Q</w:t>
            </w:r>
            <w:r>
              <w:rPr>
                <w:rFonts w:hint="default" w:ascii="Times New Roman" w:hAnsi="Times New Roman" w:cs="Times New Roman"/>
                <w:bCs/>
                <w:sz w:val="24"/>
                <w:szCs w:val="24"/>
                <w:vertAlign w:val="subscript"/>
                <w:lang w:val="en-US" w:eastAsia="zh-CN"/>
              </w:rPr>
              <w:t>net，ar</w:t>
            </w:r>
            <w:r>
              <w:rPr>
                <w:rFonts w:hint="default" w:ascii="Times New Roman" w:hAnsi="Times New Roman" w:cs="Times New Roman"/>
                <w:bCs/>
                <w:sz w:val="24"/>
                <w:szCs w:val="24"/>
                <w:vertAlign w:val="baseline"/>
                <w:lang w:val="en-US" w:eastAsia="zh-CN"/>
              </w:rPr>
              <w:t>——</w:t>
            </w:r>
            <w:r>
              <w:rPr>
                <w:rFonts w:hint="default" w:ascii="Times New Roman" w:hAnsi="Times New Roman" w:cs="Times New Roman"/>
                <w:bCs/>
                <w:sz w:val="24"/>
                <w:szCs w:val="24"/>
                <w:lang w:val="en-US" w:eastAsia="zh-CN"/>
              </w:rPr>
              <w:t>生物质燃料基准低位发热量</w:t>
            </w:r>
            <w:r>
              <w:rPr>
                <w:rFonts w:hint="default" w:ascii="Times New Roman" w:hAnsi="Times New Roman" w:cs="Times New Roman"/>
                <w:bCs/>
                <w:sz w:val="24"/>
                <w:szCs w:val="24"/>
                <w:vertAlign w:val="baseline"/>
                <w:lang w:val="en-US" w:eastAsia="zh-CN"/>
              </w:rPr>
              <w:t>：（kj/m</w:t>
            </w:r>
            <w:r>
              <w:rPr>
                <w:rFonts w:hint="default" w:ascii="Times New Roman" w:hAnsi="Times New Roman" w:cs="Times New Roman"/>
                <w:bCs/>
                <w:sz w:val="24"/>
                <w:szCs w:val="24"/>
                <w:vertAlign w:val="superscript"/>
                <w:lang w:val="en-US" w:eastAsia="zh-CN"/>
              </w:rPr>
              <w:t>3</w:t>
            </w:r>
            <w:r>
              <w:rPr>
                <w:rFonts w:hint="default" w:ascii="Times New Roman" w:hAnsi="Times New Roman" w:cs="Times New Roman"/>
                <w:bCs/>
                <w:sz w:val="24"/>
                <w:szCs w:val="24"/>
                <w:vertAlign w:val="baseline"/>
                <w:lang w:val="en-US" w:eastAsia="zh-CN"/>
              </w:rPr>
              <w:t>）</w:t>
            </w:r>
          </w:p>
          <w:p>
            <w:pPr>
              <w:pStyle w:val="2"/>
              <w:adjustRightInd w:val="0"/>
              <w:spacing w:before="0" w:after="0" w:line="360" w:lineRule="auto"/>
              <w:ind w:right="0" w:firstLine="480" w:firstLineChars="200"/>
              <w:rPr>
                <w:rFonts w:hint="default" w:ascii="Times New Roman" w:hAnsi="Times New Roman" w:cs="Times New Roman"/>
                <w:vertAlign w:val="baseline"/>
                <w:lang w:val="en-US" w:eastAsia="zh-CN"/>
              </w:rPr>
            </w:pPr>
            <w:r>
              <w:rPr>
                <w:rFonts w:hint="default" w:ascii="Times New Roman" w:hAnsi="Times New Roman" w:cs="Times New Roman"/>
                <w:bCs/>
                <w:sz w:val="24"/>
                <w:szCs w:val="24"/>
                <w:lang w:val="en-US" w:eastAsia="zh-CN"/>
              </w:rPr>
              <w:t>V</w:t>
            </w:r>
            <w:r>
              <w:rPr>
                <w:rFonts w:hint="default" w:ascii="Times New Roman" w:hAnsi="Times New Roman" w:cs="Times New Roman"/>
                <w:bCs/>
                <w:sz w:val="24"/>
                <w:szCs w:val="24"/>
                <w:vertAlign w:val="subscript"/>
                <w:lang w:val="en-US" w:eastAsia="zh-CN"/>
              </w:rPr>
              <w:t>s</w:t>
            </w:r>
            <w:r>
              <w:rPr>
                <w:rFonts w:hint="default" w:ascii="Times New Roman" w:hAnsi="Times New Roman" w:cs="Times New Roman"/>
                <w:bCs/>
                <w:sz w:val="24"/>
                <w:szCs w:val="24"/>
                <w:vertAlign w:val="baseline"/>
                <w:lang w:val="en-US" w:eastAsia="zh-CN"/>
              </w:rPr>
              <w:t>——湿烟气排气量：（Nm</w:t>
            </w:r>
            <w:r>
              <w:rPr>
                <w:rFonts w:hint="default" w:ascii="Times New Roman" w:hAnsi="Times New Roman" w:cs="Times New Roman"/>
                <w:bCs/>
                <w:sz w:val="24"/>
                <w:szCs w:val="24"/>
                <w:vertAlign w:val="superscript"/>
                <w:lang w:val="en-US" w:eastAsia="zh-CN"/>
              </w:rPr>
              <w:t>3</w:t>
            </w:r>
            <w:r>
              <w:rPr>
                <w:rFonts w:hint="default" w:ascii="Times New Roman" w:hAnsi="Times New Roman" w:cs="Times New Roman"/>
                <w:bCs/>
                <w:sz w:val="24"/>
                <w:szCs w:val="24"/>
                <w:vertAlign w:val="baseline"/>
                <w:lang w:val="en-US" w:eastAsia="zh-CN"/>
              </w:rPr>
              <w:t>/m</w:t>
            </w:r>
            <w:r>
              <w:rPr>
                <w:rFonts w:hint="default" w:ascii="Times New Roman" w:hAnsi="Times New Roman" w:cs="Times New Roman"/>
                <w:bCs/>
                <w:sz w:val="24"/>
                <w:szCs w:val="24"/>
                <w:vertAlign w:val="superscript"/>
                <w:lang w:val="en-US" w:eastAsia="zh-CN"/>
              </w:rPr>
              <w:t>3</w:t>
            </w:r>
            <w:r>
              <w:rPr>
                <w:rFonts w:hint="default" w:ascii="Times New Roman" w:hAnsi="Times New Roman" w:cs="Times New Roman"/>
                <w:bCs/>
                <w:sz w:val="24"/>
                <w:szCs w:val="24"/>
                <w:vertAlign w:val="baseline"/>
                <w:lang w:val="en-US" w:eastAsia="zh-CN"/>
              </w:rPr>
              <w:t>）</w:t>
            </w:r>
          </w:p>
          <w:p>
            <w:pPr>
              <w:pStyle w:val="2"/>
              <w:adjustRightInd w:val="0"/>
              <w:spacing w:before="0" w:after="0" w:line="360" w:lineRule="auto"/>
              <w:ind w:right="0" w:firstLine="480" w:firstLineChars="200"/>
              <w:rPr>
                <w:rFonts w:hint="default" w:ascii="Times New Roman" w:hAnsi="Times New Roman" w:cs="Times New Roman"/>
                <w:vertAlign w:val="baseline"/>
                <w:lang w:val="en-US" w:eastAsia="zh-CN"/>
              </w:rPr>
            </w:pPr>
            <w:r>
              <w:rPr>
                <w:rFonts w:hint="default" w:ascii="Times New Roman" w:hAnsi="Times New Roman" w:cs="Times New Roman"/>
                <w:bCs/>
                <w:sz w:val="24"/>
                <w:szCs w:val="24"/>
                <w:vertAlign w:val="baseline"/>
                <w:lang w:val="en-US" w:eastAsia="zh-CN"/>
              </w:rPr>
              <w:t>ａ——过量空气系数。本项目取1.</w:t>
            </w:r>
            <w:r>
              <w:rPr>
                <w:rFonts w:hint="eastAsia" w:cs="Times New Roman"/>
                <w:bCs/>
                <w:sz w:val="24"/>
                <w:szCs w:val="24"/>
                <w:vertAlign w:val="baseline"/>
                <w:lang w:val="en-US" w:eastAsia="zh-CN"/>
              </w:rPr>
              <w:t>2</w:t>
            </w:r>
          </w:p>
          <w:p>
            <w:pPr>
              <w:pStyle w:val="2"/>
              <w:adjustRightInd w:val="0"/>
              <w:spacing w:before="0" w:after="0" w:line="360" w:lineRule="auto"/>
              <w:ind w:right="0" w:firstLine="480" w:firstLineChars="200"/>
              <w:rPr>
                <w:rFonts w:hint="default" w:ascii="Times New Roman" w:hAnsi="Times New Roman" w:cs="Times New Roman" w:eastAsiaTheme="minorEastAsia"/>
                <w:b/>
                <w:color w:val="auto"/>
                <w:sz w:val="24"/>
                <w:szCs w:val="24"/>
              </w:rPr>
            </w:pPr>
            <w:r>
              <w:rPr>
                <w:rFonts w:hint="default" w:ascii="Times New Roman" w:hAnsi="Times New Roman" w:cs="Times New Roman"/>
                <w:bCs/>
                <w:color w:val="auto"/>
                <w:sz w:val="24"/>
                <w:szCs w:val="24"/>
                <w:lang w:val="en-US" w:eastAsia="zh-CN"/>
              </w:rPr>
              <w:t>本项目燃料</w:t>
            </w:r>
            <w:r>
              <w:rPr>
                <w:rFonts w:hint="default" w:ascii="Times New Roman" w:hAnsi="Times New Roman" w:cs="Times New Roman"/>
                <w:color w:val="auto"/>
                <w:sz w:val="24"/>
                <w:szCs w:val="32"/>
                <w:lang w:val="en-US" w:eastAsia="zh-CN"/>
              </w:rPr>
              <w:t>基准低位发热量</w:t>
            </w:r>
            <w:r>
              <w:rPr>
                <w:rFonts w:hint="default" w:ascii="Times New Roman" w:hAnsi="Times New Roman" w:cs="Times New Roman"/>
                <w:bCs/>
                <w:color w:val="auto"/>
                <w:sz w:val="24"/>
                <w:szCs w:val="24"/>
                <w:lang w:val="en-US" w:eastAsia="zh-CN"/>
              </w:rPr>
              <w:t>Q</w:t>
            </w:r>
            <w:r>
              <w:rPr>
                <w:rFonts w:hint="default" w:ascii="Times New Roman" w:hAnsi="Times New Roman" w:cs="Times New Roman"/>
                <w:bCs/>
                <w:color w:val="auto"/>
                <w:sz w:val="24"/>
                <w:szCs w:val="24"/>
                <w:vertAlign w:val="subscript"/>
                <w:lang w:val="en-US" w:eastAsia="zh-CN"/>
              </w:rPr>
              <w:t>net，ar</w:t>
            </w:r>
            <w:r>
              <w:rPr>
                <w:rFonts w:hint="default" w:ascii="Times New Roman" w:hAnsi="Times New Roman" w:cs="Times New Roman"/>
                <w:bCs/>
                <w:color w:val="auto"/>
                <w:sz w:val="24"/>
                <w:szCs w:val="24"/>
                <w:vertAlign w:val="baseline"/>
                <w:lang w:val="en-US" w:eastAsia="zh-CN"/>
              </w:rPr>
              <w:t>=</w:t>
            </w:r>
            <w:r>
              <w:rPr>
                <w:rFonts w:hint="default" w:ascii="Times New Roman" w:hAnsi="Times New Roman" w:cs="Times New Roman"/>
                <w:color w:val="auto"/>
                <w:sz w:val="24"/>
                <w:szCs w:val="32"/>
                <w:lang w:val="en-US" w:eastAsia="zh-CN"/>
              </w:rPr>
              <w:t>4950</w:t>
            </w:r>
            <w:r>
              <w:rPr>
                <w:rFonts w:hint="default" w:ascii="Times New Roman" w:hAnsi="Times New Roman" w:cs="Times New Roman"/>
                <w:color w:val="auto"/>
                <w:sz w:val="24"/>
                <w:szCs w:val="24"/>
              </w:rPr>
              <w:t>kJ/m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bCs/>
                <w:color w:val="auto"/>
                <w:sz w:val="24"/>
                <w:szCs w:val="24"/>
                <w:lang w:val="en-US" w:eastAsia="zh-CN"/>
              </w:rPr>
              <w:t>经计算，本项目生物质燃料燃烧所产生的实际烟气量为</w:t>
            </w:r>
            <w:r>
              <w:rPr>
                <w:rFonts w:hint="eastAsia" w:cs="Times New Roman"/>
                <w:bCs/>
                <w:color w:val="auto"/>
                <w:sz w:val="24"/>
                <w:szCs w:val="24"/>
                <w:lang w:val="en-US" w:eastAsia="zh-CN"/>
              </w:rPr>
              <w:t>2.0666</w:t>
            </w:r>
            <w:r>
              <w:rPr>
                <w:rFonts w:hint="default" w:ascii="Times New Roman" w:hAnsi="Times New Roman" w:cs="Times New Roman"/>
                <w:bCs/>
                <w:color w:val="auto"/>
                <w:sz w:val="24"/>
                <w:szCs w:val="24"/>
                <w:lang w:val="en-US" w:eastAsia="zh-CN"/>
              </w:rPr>
              <w:t>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生物质气化燃气，项目生物质气化燃气年产生量为</w:t>
            </w:r>
            <w:r>
              <w:rPr>
                <w:rFonts w:hint="eastAsia" w:cs="Times New Roman"/>
                <w:color w:val="auto"/>
                <w:sz w:val="24"/>
                <w:szCs w:val="24"/>
                <w:vertAlign w:val="baseline"/>
                <w:lang w:val="en-US" w:eastAsia="zh-CN"/>
              </w:rPr>
              <w:t>5280</w:t>
            </w:r>
            <w:r>
              <w:rPr>
                <w:rFonts w:hint="default" w:ascii="Times New Roman" w:hAnsi="Times New Roman" w:cs="Times New Roman"/>
                <w:color w:val="auto"/>
                <w:sz w:val="24"/>
                <w:szCs w:val="24"/>
                <w:vertAlign w:val="baseline"/>
                <w:lang w:val="en-US" w:eastAsia="zh-CN"/>
              </w:rPr>
              <w:t>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/a，则项目烟气排放量为</w:t>
            </w:r>
            <w:r>
              <w:rPr>
                <w:rFonts w:hint="eastAsia" w:cs="Times New Roman"/>
                <w:color w:val="auto"/>
                <w:sz w:val="24"/>
                <w:szCs w:val="24"/>
                <w:vertAlign w:val="baseline"/>
                <w:lang w:val="en-US" w:eastAsia="zh-CN"/>
              </w:rPr>
              <w:t>10911.648</w:t>
            </w:r>
            <w:r>
              <w:rPr>
                <w:rFonts w:hint="default" w:ascii="Times New Roman" w:hAnsi="Times New Roman" w:cs="Times New Roman"/>
                <w:color w:val="auto"/>
                <w:sz w:val="24"/>
                <w:szCs w:val="24"/>
                <w:vertAlign w:val="baseline"/>
                <w:lang w:val="en-US" w:eastAsia="zh-CN"/>
              </w:rPr>
              <w:t>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/a，</w:t>
            </w:r>
            <w:r>
              <w:rPr>
                <w:rFonts w:hint="eastAsia" w:cs="Times New Roman"/>
                <w:color w:val="auto"/>
                <w:sz w:val="24"/>
                <w:szCs w:val="24"/>
                <w:vertAlign w:val="baseline"/>
                <w:lang w:val="en-US" w:eastAsia="zh-CN"/>
              </w:rPr>
              <w:t>13777.33</w:t>
            </w:r>
            <w:r>
              <w:rPr>
                <w:rFonts w:hint="default" w:ascii="Times New Roman" w:hAnsi="Times New Roman" w:cs="Times New Roman" w:eastAsiaTheme="minorEastAsia"/>
                <w:bCs/>
                <w:color w:val="auto"/>
                <w:sz w:val="24"/>
                <w:szCs w:val="24"/>
              </w:rPr>
              <w:t>m</w:t>
            </w:r>
            <w:r>
              <w:rPr>
                <w:rFonts w:hint="default" w:ascii="Times New Roman" w:hAnsi="Times New Roman" w:cs="Times New Roman" w:eastAsiaTheme="minorEastAsia"/>
                <w:bCs/>
                <w:color w:val="auto"/>
                <w:sz w:val="24"/>
                <w:szCs w:val="24"/>
                <w:vertAlign w:val="superscript"/>
              </w:rPr>
              <w:t>3</w:t>
            </w:r>
            <w:r>
              <w:rPr>
                <w:rFonts w:hint="default" w:ascii="Times New Roman" w:hAnsi="Times New Roman" w:cs="Times New Roman" w:eastAsiaTheme="minorEastAsia"/>
                <w:bCs/>
                <w:color w:val="auto"/>
                <w:sz w:val="24"/>
                <w:szCs w:val="24"/>
              </w:rPr>
              <w:t>/h。</w:t>
            </w:r>
          </w:p>
          <w:p>
            <w:pPr>
              <w:pStyle w:val="56"/>
              <w:kinsoku w:val="0"/>
              <w:overflowPunct w:val="0"/>
              <w:ind w:firstLine="482"/>
              <w:rPr>
                <w:rFonts w:hint="default" w:ascii="Times New Roman" w:hAnsi="Times New Roman" w:cs="Times New Roman"/>
                <w:b/>
                <w:sz w:val="24"/>
                <w:szCs w:val="24"/>
                <w:lang w:eastAsia="zh-CN"/>
              </w:rPr>
            </w:pPr>
            <w:r>
              <w:rPr>
                <w:rFonts w:hint="default" w:ascii="Times New Roman" w:hAnsi="Times New Roman" w:cs="Times New Roman"/>
                <w:b/>
                <w:sz w:val="24"/>
                <w:szCs w:val="24"/>
                <w:lang w:eastAsia="zh-CN"/>
              </w:rPr>
              <w:t>氮氧化物：</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锅炉以生物质气化燃气为燃料，生物质气化燃气成分包括氮气、碳氢化合物气体、一氧化碳、氢气等，在燃烧过程中主要是碳氢化合物气体、一氧化碳、氢气等发生反应，燃烧放热，燃烧产物主要为二氧化碳和水。生物质气化燃气中氮气与空气中的氮气一样，为惰性气体，但在高温过程中容易与氧发生反应形成热力型氮氧化物，热力型氮氧化物的形成与温度密切相关。</w:t>
            </w:r>
          </w:p>
          <w:p>
            <w:pPr>
              <w:spacing w:line="360" w:lineRule="auto"/>
              <w:ind w:firstLine="480" w:firstLineChars="200"/>
              <w:rPr>
                <w:rFonts w:hint="eastAsia" w:ascii="Times New Roman" w:hAnsi="Times New Roman" w:eastAsia="宋体" w:cs="Times New Roman"/>
                <w:sz w:val="24"/>
                <w:lang w:val="en-US" w:eastAsia="zh-CN"/>
              </w:rPr>
            </w:pPr>
            <w:r>
              <w:rPr>
                <w:rFonts w:hint="default"/>
                <w:sz w:val="24"/>
              </w:rPr>
              <w:t>因为没有生物气</w:t>
            </w:r>
            <w:r>
              <w:rPr>
                <w:rFonts w:hint="eastAsia"/>
                <w:sz w:val="24"/>
                <w:lang w:val="en-US" w:eastAsia="zh-CN"/>
              </w:rPr>
              <w:t>气化炉</w:t>
            </w:r>
            <w:r>
              <w:rPr>
                <w:rFonts w:hint="default"/>
                <w:sz w:val="24"/>
              </w:rPr>
              <w:t>氮氧化物的源强，</w:t>
            </w:r>
            <w:r>
              <w:rPr>
                <w:rFonts w:hint="eastAsia"/>
                <w:sz w:val="24"/>
                <w:lang w:val="en-US" w:eastAsia="zh-CN"/>
              </w:rPr>
              <w:t>本项目参照发生炉煤气</w:t>
            </w:r>
            <w:r>
              <w:rPr>
                <w:rFonts w:hint="default"/>
                <w:sz w:val="24"/>
              </w:rPr>
              <w:t>锅炉的氮氧化物的源强排污系数</w:t>
            </w:r>
            <w:r>
              <w:rPr>
                <w:rFonts w:hint="eastAsia"/>
                <w:sz w:val="24"/>
                <w:lang w:eastAsia="zh-CN"/>
              </w:rPr>
              <w:t>，</w:t>
            </w:r>
            <w:r>
              <w:rPr>
                <w:rFonts w:hint="eastAsia"/>
                <w:sz w:val="24"/>
                <w:lang w:val="en-US" w:eastAsia="zh-CN"/>
              </w:rPr>
              <w:t>为0.64kg/</w:t>
            </w:r>
            <w:r>
              <w:rPr>
                <w:rFonts w:hint="eastAsia"/>
                <w:sz w:val="24"/>
              </w:rPr>
              <w:t>千克/万立方米-原料</w:t>
            </w:r>
            <w:r>
              <w:rPr>
                <w:rFonts w:hint="eastAsia"/>
                <w:sz w:val="24"/>
                <w:lang w:eastAsia="zh-CN"/>
              </w:rPr>
              <w:t>（</w:t>
            </w:r>
            <w:r>
              <w:rPr>
                <w:rFonts w:hint="eastAsia"/>
                <w:sz w:val="24"/>
                <w:lang w:val="en-US" w:eastAsia="zh-CN"/>
              </w:rPr>
              <w:t>发生炉煤气</w:t>
            </w:r>
            <w:r>
              <w:rPr>
                <w:rFonts w:hint="default"/>
                <w:sz w:val="24"/>
              </w:rPr>
              <w:t>的</w:t>
            </w:r>
            <w:r>
              <w:rPr>
                <w:rFonts w:hint="eastAsia"/>
                <w:sz w:val="24"/>
                <w:lang w:val="en-US" w:eastAsia="zh-CN"/>
              </w:rPr>
              <w:t>燃料热值为5234</w:t>
            </w:r>
            <w:r>
              <w:rPr>
                <w:rFonts w:hint="default" w:ascii="Times New Roman" w:hAnsi="Times New Roman" w:cs="Times New Roman"/>
                <w:color w:val="auto"/>
                <w:sz w:val="24"/>
                <w:szCs w:val="24"/>
              </w:rPr>
              <w:t>kJ/m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val="en-US" w:eastAsia="zh-CN"/>
              </w:rPr>
              <w:t>，</w:t>
            </w:r>
            <w:r>
              <w:rPr>
                <w:rFonts w:hint="eastAsia" w:cs="Times New Roman"/>
                <w:color w:val="auto"/>
                <w:sz w:val="24"/>
                <w:szCs w:val="24"/>
                <w:vertAlign w:val="baseline"/>
                <w:lang w:val="en-US" w:eastAsia="zh-CN"/>
              </w:rPr>
              <w:t>与本项目低位发热量相差较小</w:t>
            </w:r>
            <w:r>
              <w:rPr>
                <w:rFonts w:hint="eastAsia"/>
                <w:sz w:val="24"/>
                <w:lang w:eastAsia="zh-CN"/>
              </w:rPr>
              <w:t>），</w:t>
            </w:r>
            <w:r>
              <w:rPr>
                <w:rFonts w:hint="eastAsia"/>
                <w:sz w:val="24"/>
                <w:lang w:val="en-US" w:eastAsia="zh-CN"/>
              </w:rPr>
              <w:t>项目</w:t>
            </w:r>
            <w:r>
              <w:rPr>
                <w:rFonts w:hint="default" w:ascii="Times New Roman" w:hAnsi="Times New Roman" w:cs="Times New Roman"/>
                <w:bCs/>
                <w:color w:val="auto"/>
                <w:sz w:val="24"/>
                <w:szCs w:val="24"/>
                <w:lang w:val="en-US" w:eastAsia="zh-CN"/>
              </w:rPr>
              <w:t>燃气年产生量为</w:t>
            </w:r>
            <w:r>
              <w:rPr>
                <w:rFonts w:hint="eastAsia" w:cs="Times New Roman"/>
                <w:color w:val="auto"/>
                <w:sz w:val="24"/>
                <w:szCs w:val="24"/>
                <w:vertAlign w:val="baseline"/>
                <w:lang w:val="en-US" w:eastAsia="zh-CN"/>
              </w:rPr>
              <w:t>5280</w:t>
            </w:r>
            <w:r>
              <w:rPr>
                <w:rFonts w:hint="default" w:ascii="Times New Roman" w:hAnsi="Times New Roman" w:cs="Times New Roman"/>
                <w:color w:val="auto"/>
                <w:sz w:val="24"/>
                <w:szCs w:val="24"/>
                <w:vertAlign w:val="baseline"/>
                <w:lang w:val="en-US" w:eastAsia="zh-CN"/>
              </w:rPr>
              <w:t>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/a</w:t>
            </w:r>
            <w:r>
              <w:rPr>
                <w:rFonts w:hint="eastAsia" w:cs="Times New Roman"/>
                <w:color w:val="auto"/>
                <w:sz w:val="24"/>
                <w:szCs w:val="24"/>
                <w:vertAlign w:val="baseline"/>
                <w:lang w:val="en-US" w:eastAsia="zh-CN"/>
              </w:rPr>
              <w:t>，则氮氧化物排放量为3.379t/a，0.427kg/h。排放浓度为30.99</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eastAsia" w:cs="Times New Roman"/>
                <w:sz w:val="24"/>
                <w:szCs w:val="24"/>
                <w:vertAlign w:val="baseline"/>
                <w:lang w:eastAsia="zh-CN"/>
              </w:rPr>
              <w:t>。</w:t>
            </w:r>
          </w:p>
          <w:p>
            <w:pPr>
              <w:pStyle w:val="2"/>
              <w:spacing w:before="0" w:after="0" w:line="360" w:lineRule="auto"/>
              <w:ind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二氧化硫：</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684780" cy="539750"/>
                  <wp:effectExtent l="0" t="0" r="12700" b="889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2684780" cy="539750"/>
                          </a:xfrm>
                          <a:prstGeom prst="rect">
                            <a:avLst/>
                          </a:prstGeom>
                          <a:noFill/>
                          <a:ln>
                            <a:noFill/>
                          </a:ln>
                        </pic:spPr>
                      </pic:pic>
                    </a:graphicData>
                  </a:graphic>
                </wp:inline>
              </w:drawing>
            </w:r>
          </w:p>
          <w:p>
            <w:pPr>
              <w:pStyle w:val="2"/>
              <w:rPr>
                <w:rFonts w:hint="default" w:ascii="Times New Roman" w:hAnsi="Times New Roman" w:cs="Times New Roman"/>
                <w:sz w:val="24"/>
                <w:szCs w:val="24"/>
              </w:rPr>
            </w:pPr>
            <w:r>
              <w:rPr>
                <w:rFonts w:hint="default" w:ascii="Times New Roman" w:hAnsi="Times New Roman" w:cs="Times New Roman"/>
                <w:sz w:val="24"/>
                <w:szCs w:val="24"/>
              </w:rPr>
              <w:t>式中：</w:t>
            </w:r>
          </w:p>
          <w:p>
            <w:pPr>
              <w:pStyle w:val="2"/>
              <w:adjustRightInd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Eso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一-核算时段内二氧化硫排放量，t；</w:t>
            </w:r>
          </w:p>
          <w:p>
            <w:pPr>
              <w:pStyle w:val="2"/>
              <w:adjustRightInd w:val="0"/>
              <w:spacing w:before="0" w:after="0" w:line="360" w:lineRule="auto"/>
              <w:ind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R一-核算时段内锅炉燃料耗量，万m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pStyle w:val="2"/>
              <w:adjustRightInd w:val="0"/>
              <w:spacing w:before="0" w:after="0" w:line="360" w:lineRule="auto"/>
              <w:ind w:right="0" w:firstLine="480" w:firstLineChars="200"/>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rPr>
              <w:t>S</w:t>
            </w:r>
            <w:r>
              <w:rPr>
                <w:rFonts w:hint="default" w:ascii="Times New Roman" w:hAnsi="Times New Roman" w:cs="Times New Roman"/>
                <w:sz w:val="24"/>
                <w:szCs w:val="24"/>
                <w:vertAlign w:val="subscript"/>
              </w:rPr>
              <w:t>t</w:t>
            </w:r>
            <w:r>
              <w:rPr>
                <w:rFonts w:hint="default" w:ascii="Times New Roman" w:hAnsi="Times New Roman" w:cs="Times New Roman"/>
                <w:sz w:val="24"/>
                <w:szCs w:val="24"/>
              </w:rPr>
              <w:t>一燃料总硫的质量浓度，mg/m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；参考生物质气化燃气成分报告</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本项目取11.7</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vertAlign w:val="baseline"/>
                <w:lang w:eastAsia="zh-CN"/>
              </w:rPr>
              <w:t>。</w:t>
            </w:r>
          </w:p>
          <w:p>
            <w:pPr>
              <w:pStyle w:val="2"/>
              <w:adjustRightInd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η</w:t>
            </w:r>
            <w:r>
              <w:rPr>
                <w:rFonts w:hint="default" w:ascii="Times New Roman" w:hAnsi="Times New Roman" w:cs="Times New Roman"/>
                <w:sz w:val="24"/>
                <w:szCs w:val="24"/>
                <w:vertAlign w:val="subscript"/>
              </w:rPr>
              <w:t>s</w:t>
            </w:r>
            <w:r>
              <w:rPr>
                <w:rFonts w:hint="default" w:ascii="Times New Roman" w:hAnsi="Times New Roman" w:cs="Times New Roman"/>
                <w:sz w:val="24"/>
                <w:szCs w:val="24"/>
              </w:rPr>
              <w:t>--脱硫效率，%，本项目取0；</w:t>
            </w:r>
          </w:p>
          <w:p>
            <w:pPr>
              <w:pStyle w:val="2"/>
              <w:adjustRightInd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K-- 燃料中的硫燃烧后氧化成二氧化硫的份额，量纲的量，</w:t>
            </w:r>
            <w:r>
              <w:rPr>
                <w:rFonts w:hint="default" w:ascii="Times New Roman" w:hAnsi="Times New Roman" w:cs="Times New Roman"/>
                <w:sz w:val="24"/>
                <w:szCs w:val="24"/>
                <w:lang w:val="en-US" w:eastAsia="zh-CN"/>
              </w:rPr>
              <w:t>本</w:t>
            </w:r>
            <w:r>
              <w:rPr>
                <w:rFonts w:hint="eastAsia" w:cs="Times New Roman"/>
                <w:sz w:val="24"/>
                <w:szCs w:val="24"/>
                <w:lang w:val="en-US" w:eastAsia="zh-CN"/>
              </w:rPr>
              <w:t>项目取</w:t>
            </w:r>
            <w:r>
              <w:rPr>
                <w:rFonts w:hint="default" w:ascii="Times New Roman" w:hAnsi="Times New Roman" w:cs="Times New Roman"/>
                <w:sz w:val="24"/>
                <w:szCs w:val="24"/>
              </w:rPr>
              <w:t>1.0。</w:t>
            </w:r>
          </w:p>
          <w:p>
            <w:pPr>
              <w:pStyle w:val="2"/>
              <w:adjustRightInd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参考生物质气化燃气成分报告</w:t>
            </w:r>
            <w:r>
              <w:rPr>
                <w:rFonts w:hint="default" w:ascii="Times New Roman" w:hAnsi="Times New Roman" w:cs="Times New Roman"/>
                <w:sz w:val="24"/>
                <w:szCs w:val="24"/>
                <w:lang w:eastAsia="zh-CN"/>
              </w:rPr>
              <w:t>，</w:t>
            </w:r>
            <w:r>
              <w:rPr>
                <w:rFonts w:hint="default" w:ascii="Times New Roman" w:hAnsi="Times New Roman" w:cs="Times New Roman"/>
                <w:sz w:val="24"/>
                <w:szCs w:val="24"/>
              </w:rPr>
              <w:t>则本项目二氧化硫排放量为</w:t>
            </w:r>
            <w:r>
              <w:rPr>
                <w:rFonts w:hint="default" w:ascii="Times New Roman" w:hAnsi="Times New Roman" w:cs="Times New Roman"/>
                <w:sz w:val="24"/>
                <w:szCs w:val="24"/>
                <w:lang w:val="en-US" w:eastAsia="zh-CN"/>
              </w:rPr>
              <w:t>1.</w:t>
            </w:r>
            <w:r>
              <w:rPr>
                <w:rFonts w:hint="eastAsia" w:cs="Times New Roman"/>
                <w:sz w:val="24"/>
                <w:szCs w:val="24"/>
                <w:lang w:val="en-US" w:eastAsia="zh-CN"/>
              </w:rPr>
              <w:t>236</w:t>
            </w:r>
            <w:r>
              <w:rPr>
                <w:rFonts w:hint="default" w:ascii="Times New Roman" w:hAnsi="Times New Roman" w:cs="Times New Roman"/>
                <w:sz w:val="24"/>
                <w:szCs w:val="24"/>
              </w:rPr>
              <w:t>t/a，0.</w:t>
            </w:r>
            <w:r>
              <w:rPr>
                <w:rFonts w:hint="default" w:ascii="Times New Roman" w:hAnsi="Times New Roman" w:cs="Times New Roman"/>
                <w:sz w:val="24"/>
                <w:szCs w:val="24"/>
                <w:lang w:val="en-US" w:eastAsia="zh-CN"/>
              </w:rPr>
              <w:t>1</w:t>
            </w:r>
            <w:r>
              <w:rPr>
                <w:rFonts w:hint="eastAsia" w:cs="Times New Roman"/>
                <w:sz w:val="24"/>
                <w:szCs w:val="24"/>
                <w:lang w:val="en-US" w:eastAsia="zh-CN"/>
              </w:rPr>
              <w:t>56</w:t>
            </w:r>
            <w:r>
              <w:rPr>
                <w:rFonts w:hint="default" w:ascii="Times New Roman" w:hAnsi="Times New Roman" w:cs="Times New Roman"/>
                <w:sz w:val="24"/>
                <w:szCs w:val="24"/>
              </w:rPr>
              <w:t>kg/h，排放浓度为</w:t>
            </w:r>
            <w:r>
              <w:rPr>
                <w:rFonts w:hint="default" w:ascii="Times New Roman" w:hAnsi="Times New Roman" w:cs="Times New Roman"/>
                <w:sz w:val="24"/>
                <w:szCs w:val="24"/>
                <w:lang w:val="en-US" w:eastAsia="zh-CN"/>
              </w:rPr>
              <w:t>11.</w:t>
            </w:r>
            <w:r>
              <w:rPr>
                <w:rFonts w:hint="eastAsia" w:cs="Times New Roman"/>
                <w:sz w:val="24"/>
                <w:szCs w:val="24"/>
                <w:lang w:val="en-US" w:eastAsia="zh-CN"/>
              </w:rPr>
              <w:t>323</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pStyle w:val="2"/>
              <w:adjustRightInd w:val="0"/>
              <w:spacing w:before="0" w:after="0" w:line="360" w:lineRule="auto"/>
              <w:ind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颗粒物：</w:t>
            </w:r>
          </w:p>
          <w:p>
            <w:pPr>
              <w:pStyle w:val="2"/>
              <w:adjustRightInd w:val="0"/>
              <w:spacing w:before="0" w:after="0" w:line="360" w:lineRule="auto"/>
              <w:ind w:right="0"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参考“清远双汇食品锅炉改建项目”检测报告</w:t>
            </w:r>
            <w:r>
              <w:rPr>
                <w:rFonts w:hint="eastAsia" w:cs="Times New Roman"/>
                <w:sz w:val="24"/>
                <w:szCs w:val="24"/>
                <w:lang w:eastAsia="zh-CN"/>
              </w:rPr>
              <w:t>（</w:t>
            </w:r>
            <w:r>
              <w:rPr>
                <w:rFonts w:hint="default" w:ascii="Times New Roman" w:hAnsi="Times New Roman" w:cs="Times New Roman"/>
                <w:sz w:val="24"/>
                <w:szCs w:val="24"/>
              </w:rPr>
              <w:t>报告编号:</w:t>
            </w:r>
            <w:r>
              <w:rPr>
                <w:rFonts w:hint="default" w:ascii="Times New Roman" w:hAnsi="Times New Roman" w:cs="Times New Roman"/>
                <w:color w:val="auto"/>
                <w:sz w:val="24"/>
                <w:lang w:val="en-US" w:eastAsia="zh-CN"/>
              </w:rPr>
              <w:t>ZML21010193</w:t>
            </w:r>
            <w:r>
              <w:rPr>
                <w:rFonts w:hint="eastAsia" w:cs="Times New Roman"/>
                <w:sz w:val="24"/>
                <w:szCs w:val="24"/>
                <w:lang w:eastAsia="zh-CN"/>
              </w:rPr>
              <w:t>）</w:t>
            </w:r>
            <w:r>
              <w:rPr>
                <w:rFonts w:hint="default" w:ascii="Times New Roman" w:hAnsi="Times New Roman" w:cs="Times New Roman"/>
                <w:sz w:val="24"/>
                <w:szCs w:val="24"/>
              </w:rPr>
              <w:t>，该锅炉</w:t>
            </w:r>
            <w:r>
              <w:rPr>
                <w:rFonts w:hint="default" w:ascii="Times New Roman" w:hAnsi="Times New Roman" w:cs="Times New Roman"/>
                <w:color w:val="auto"/>
                <w:sz w:val="24"/>
              </w:rPr>
              <w:t>类别及功率，燃料类型与本项目</w:t>
            </w:r>
            <w:r>
              <w:rPr>
                <w:rFonts w:hint="default" w:ascii="Times New Roman" w:hAnsi="Times New Roman" w:cs="Times New Roman"/>
                <w:color w:val="auto"/>
                <w:sz w:val="24"/>
                <w:lang w:val="en-US" w:eastAsia="zh-CN"/>
              </w:rPr>
              <w:t>差异不超过20%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燃气锅炉经旋风除尘净化后排放，与本项目污染控制措施相同具有可类比性。根据监测报告，锅炉颗粒物</w:t>
            </w:r>
            <w:r>
              <w:rPr>
                <w:rFonts w:hint="default" w:ascii="Times New Roman" w:hAnsi="Times New Roman" w:cs="Times New Roman"/>
                <w:sz w:val="24"/>
                <w:szCs w:val="24"/>
                <w:lang w:val="en-US" w:eastAsia="zh-CN"/>
              </w:rPr>
              <w:t>排放</w:t>
            </w:r>
            <w:r>
              <w:rPr>
                <w:rFonts w:hint="default" w:ascii="Times New Roman" w:hAnsi="Times New Roman" w:cs="Times New Roman"/>
                <w:sz w:val="24"/>
                <w:szCs w:val="24"/>
              </w:rPr>
              <w:t>浓度</w:t>
            </w:r>
            <w:r>
              <w:rPr>
                <w:rFonts w:hint="eastAsia" w:cs="Times New Roman"/>
                <w:sz w:val="24"/>
                <w:szCs w:val="24"/>
                <w:lang w:val="en-US" w:eastAsia="zh-CN"/>
              </w:rPr>
              <w:t>均值</w:t>
            </w:r>
            <w:r>
              <w:rPr>
                <w:rFonts w:hint="default" w:ascii="Times New Roman" w:hAnsi="Times New Roman" w:cs="Times New Roman"/>
                <w:sz w:val="24"/>
                <w:szCs w:val="24"/>
                <w:lang w:val="en-US" w:eastAsia="zh-CN"/>
              </w:rPr>
              <w:t>为</w:t>
            </w:r>
            <w:r>
              <w:rPr>
                <w:rFonts w:hint="eastAsia" w:cs="Times New Roman"/>
                <w:sz w:val="24"/>
                <w:szCs w:val="24"/>
                <w:lang w:val="en-US" w:eastAsia="zh-CN"/>
              </w:rPr>
              <w:t>19.6</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rPr>
              <w:t>，本项目按</w:t>
            </w:r>
            <w:r>
              <w:rPr>
                <w:rFonts w:hint="eastAsia" w:cs="Times New Roman"/>
                <w:sz w:val="24"/>
                <w:szCs w:val="24"/>
                <w:lang w:val="en-US" w:eastAsia="zh-CN"/>
              </w:rPr>
              <w:t>19.6</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计，则颗粒物排放量为</w:t>
            </w:r>
            <w:r>
              <w:rPr>
                <w:rFonts w:hint="eastAsia" w:cs="Times New Roman"/>
                <w:sz w:val="24"/>
                <w:szCs w:val="24"/>
                <w:lang w:val="en-US" w:eastAsia="zh-CN"/>
              </w:rPr>
              <w:t>2.117</w:t>
            </w:r>
            <w:r>
              <w:rPr>
                <w:rFonts w:hint="default" w:ascii="Times New Roman" w:hAnsi="Times New Roman" w:cs="Times New Roman"/>
                <w:sz w:val="24"/>
                <w:szCs w:val="24"/>
              </w:rPr>
              <w:t>t/a</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0.</w:t>
            </w:r>
            <w:r>
              <w:rPr>
                <w:rFonts w:hint="eastAsia" w:cs="Times New Roman"/>
                <w:sz w:val="24"/>
                <w:szCs w:val="24"/>
                <w:lang w:val="en-US" w:eastAsia="zh-CN"/>
              </w:rPr>
              <w:t>267</w:t>
            </w:r>
            <w:r>
              <w:rPr>
                <w:rFonts w:hint="default" w:ascii="Times New Roman" w:hAnsi="Times New Roman" w:cs="Times New Roman"/>
                <w:sz w:val="24"/>
                <w:szCs w:val="24"/>
                <w:lang w:val="en-US" w:eastAsia="zh-CN"/>
              </w:rPr>
              <w:t>kg/h</w:t>
            </w:r>
            <w:r>
              <w:rPr>
                <w:rFonts w:hint="default" w:ascii="Times New Roman" w:hAnsi="Times New Roman" w:cs="Times New Roman"/>
                <w:sz w:val="24"/>
                <w:szCs w:val="24"/>
                <w:lang w:eastAsia="zh-CN"/>
              </w:rPr>
              <w:t>。</w:t>
            </w:r>
            <w:r>
              <w:rPr>
                <w:rFonts w:hint="eastAsia" w:cs="Times New Roman"/>
                <w:sz w:val="24"/>
                <w:szCs w:val="24"/>
                <w:lang w:val="en-US" w:eastAsia="zh-CN"/>
              </w:rPr>
              <w:t>项目采用</w:t>
            </w:r>
            <w:r>
              <w:rPr>
                <w:rFonts w:hint="eastAsia"/>
                <w:sz w:val="24"/>
                <w:szCs w:val="24"/>
              </w:rPr>
              <w:t>布袋除尘器</w:t>
            </w:r>
            <w:r>
              <w:rPr>
                <w:rFonts w:hint="eastAsia"/>
                <w:sz w:val="24"/>
                <w:szCs w:val="24"/>
                <w:lang w:eastAsia="zh-CN"/>
              </w:rPr>
              <w:t>，</w:t>
            </w:r>
            <w:r>
              <w:rPr>
                <w:rFonts w:hint="eastAsia"/>
                <w:sz w:val="24"/>
                <w:szCs w:val="24"/>
              </w:rPr>
              <w:t>根据《4430工业锅炉（热力生产和供应行业）行业系数手册》提供的布袋除尘器的</w:t>
            </w:r>
            <w:r>
              <w:rPr>
                <w:rFonts w:hint="eastAsia"/>
                <w:sz w:val="24"/>
                <w:szCs w:val="24"/>
                <w:lang w:val="en-US" w:eastAsia="zh-CN"/>
              </w:rPr>
              <w:t>颗粒物</w:t>
            </w:r>
            <w:r>
              <w:rPr>
                <w:rFonts w:hint="eastAsia"/>
                <w:sz w:val="24"/>
                <w:szCs w:val="24"/>
              </w:rPr>
              <w:t>处理效率为</w:t>
            </w:r>
            <w:r>
              <w:rPr>
                <w:rFonts w:hint="eastAsia"/>
                <w:sz w:val="24"/>
                <w:szCs w:val="24"/>
                <w:lang w:val="en-US" w:eastAsia="zh-CN"/>
              </w:rPr>
              <w:t>98.4</w:t>
            </w:r>
            <w:r>
              <w:rPr>
                <w:rFonts w:hint="eastAsia"/>
                <w:sz w:val="24"/>
                <w:szCs w:val="24"/>
              </w:rPr>
              <w:t>%</w:t>
            </w:r>
            <w:r>
              <w:rPr>
                <w:rFonts w:hint="eastAsia"/>
                <w:sz w:val="24"/>
                <w:szCs w:val="24"/>
                <w:lang w:eastAsia="zh-CN"/>
              </w:rPr>
              <w:t>，</w:t>
            </w:r>
            <w:r>
              <w:rPr>
                <w:rFonts w:hint="eastAsia"/>
                <w:sz w:val="24"/>
                <w:szCs w:val="24"/>
                <w:lang w:val="en-US" w:eastAsia="zh-CN"/>
              </w:rPr>
              <w:t>则反算项目</w:t>
            </w:r>
            <w:r>
              <w:rPr>
                <w:rFonts w:hint="default" w:ascii="Times New Roman" w:hAnsi="Times New Roman" w:cs="Times New Roman"/>
                <w:bCs/>
                <w:sz w:val="24"/>
              </w:rPr>
              <w:t>锅炉</w:t>
            </w:r>
            <w:r>
              <w:rPr>
                <w:rFonts w:hint="default" w:ascii="Times New Roman" w:hAnsi="Times New Roman" w:cs="Times New Roman"/>
                <w:bCs/>
                <w:sz w:val="24"/>
                <w:lang w:val="en-US" w:eastAsia="zh-CN"/>
              </w:rPr>
              <w:t>尾气</w:t>
            </w:r>
            <w:r>
              <w:rPr>
                <w:rFonts w:hint="default" w:ascii="Times New Roman" w:hAnsi="Times New Roman" w:cs="Times New Roman"/>
                <w:bCs/>
                <w:sz w:val="24"/>
              </w:rPr>
              <w:t>颗粒物</w:t>
            </w:r>
            <w:r>
              <w:rPr>
                <w:rFonts w:hint="default" w:ascii="Times New Roman" w:hAnsi="Times New Roman" w:cs="Times New Roman"/>
                <w:bCs/>
                <w:sz w:val="24"/>
                <w:lang w:val="en-US" w:eastAsia="zh-CN"/>
              </w:rPr>
              <w:t>产生</w:t>
            </w:r>
            <w:r>
              <w:rPr>
                <w:rFonts w:hint="default" w:ascii="Times New Roman" w:hAnsi="Times New Roman" w:cs="Times New Roman"/>
                <w:bCs/>
                <w:sz w:val="24"/>
              </w:rPr>
              <w:t>量</w:t>
            </w:r>
            <w:r>
              <w:rPr>
                <w:rFonts w:hint="default" w:ascii="Times New Roman" w:hAnsi="Times New Roman" w:cs="Times New Roman"/>
                <w:bCs/>
                <w:sz w:val="24"/>
                <w:lang w:val="en-US" w:eastAsia="zh-CN"/>
              </w:rPr>
              <w:t>为</w:t>
            </w:r>
            <w:r>
              <w:rPr>
                <w:rFonts w:hint="eastAsia" w:cs="Times New Roman"/>
                <w:bCs/>
                <w:sz w:val="24"/>
                <w:lang w:val="en-US" w:eastAsia="zh-CN"/>
              </w:rPr>
              <w:t>132.31</w:t>
            </w:r>
            <w:r>
              <w:rPr>
                <w:rFonts w:hint="default" w:ascii="Times New Roman" w:hAnsi="Times New Roman" w:cs="Times New Roman"/>
                <w:bCs/>
                <w:sz w:val="24"/>
              </w:rPr>
              <w:t>t/a，</w:t>
            </w:r>
            <w:r>
              <w:rPr>
                <w:rFonts w:hint="eastAsia" w:cs="Times New Roman"/>
                <w:bCs/>
                <w:sz w:val="24"/>
                <w:lang w:val="en-US" w:eastAsia="zh-CN"/>
              </w:rPr>
              <w:t>16.7</w:t>
            </w:r>
            <w:r>
              <w:rPr>
                <w:rFonts w:hint="default" w:ascii="Times New Roman" w:hAnsi="Times New Roman" w:cs="Times New Roman"/>
                <w:bCs/>
                <w:sz w:val="24"/>
              </w:rPr>
              <w:t>kg/h</w:t>
            </w:r>
            <w:r>
              <w:rPr>
                <w:rFonts w:hint="eastAsia" w:cs="Times New Roman"/>
                <w:bCs/>
                <w:sz w:val="24"/>
                <w:lang w:eastAsia="zh-CN"/>
              </w:rPr>
              <w:t>。</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（2）</w:t>
            </w:r>
            <w:r>
              <w:rPr>
                <w:rFonts w:hint="eastAsia" w:cs="Times New Roman"/>
                <w:b/>
                <w:bCs/>
                <w:sz w:val="24"/>
                <w:lang w:val="en-US" w:eastAsia="zh-CN"/>
              </w:rPr>
              <w:t>处理措施及</w:t>
            </w:r>
            <w:r>
              <w:rPr>
                <w:rFonts w:hint="default" w:ascii="Times New Roman" w:hAnsi="Times New Roman" w:cs="Times New Roman"/>
                <w:b/>
                <w:bCs/>
                <w:sz w:val="24"/>
              </w:rPr>
              <w:t>达标情况</w:t>
            </w:r>
          </w:p>
          <w:p>
            <w:pPr>
              <w:adjustRightInd w:val="0"/>
              <w:snapToGrid w:val="0"/>
              <w:spacing w:line="360" w:lineRule="auto"/>
              <w:ind w:firstLine="480" w:firstLineChars="200"/>
              <w:rPr>
                <w:rFonts w:hint="default" w:ascii="Times New Roman" w:hAnsi="Times New Roman" w:cs="Times New Roman"/>
                <w:bCs/>
                <w:sz w:val="24"/>
                <w:lang w:val="en-US"/>
              </w:rPr>
            </w:pPr>
            <w:r>
              <w:rPr>
                <w:rFonts w:hint="default" w:ascii="Times New Roman" w:hAnsi="Times New Roman" w:cs="Times New Roman"/>
                <w:bCs/>
                <w:sz w:val="24"/>
                <w:lang w:val="en-US" w:eastAsia="zh-CN"/>
              </w:rPr>
              <w:t>综上，</w:t>
            </w:r>
            <w:r>
              <w:rPr>
                <w:rFonts w:hint="default" w:ascii="Times New Roman" w:hAnsi="Times New Roman" w:cs="Times New Roman"/>
                <w:bCs/>
                <w:sz w:val="24"/>
              </w:rPr>
              <w:t>本项目锅炉</w:t>
            </w:r>
            <w:r>
              <w:rPr>
                <w:rFonts w:hint="default" w:ascii="Times New Roman" w:hAnsi="Times New Roman" w:cs="Times New Roman"/>
                <w:bCs/>
                <w:sz w:val="24"/>
                <w:lang w:val="en-US" w:eastAsia="zh-CN"/>
              </w:rPr>
              <w:t>尾气</w:t>
            </w:r>
            <w:r>
              <w:rPr>
                <w:rFonts w:hint="default" w:ascii="Times New Roman" w:hAnsi="Times New Roman" w:cs="Times New Roman"/>
                <w:bCs/>
                <w:sz w:val="24"/>
              </w:rPr>
              <w:t>颗粒物</w:t>
            </w:r>
            <w:r>
              <w:rPr>
                <w:rFonts w:hint="default" w:ascii="Times New Roman" w:hAnsi="Times New Roman" w:cs="Times New Roman"/>
                <w:bCs/>
                <w:sz w:val="24"/>
                <w:lang w:val="en-US" w:eastAsia="zh-CN"/>
              </w:rPr>
              <w:t>产生</w:t>
            </w:r>
            <w:r>
              <w:rPr>
                <w:rFonts w:hint="default" w:ascii="Times New Roman" w:hAnsi="Times New Roman" w:cs="Times New Roman"/>
                <w:bCs/>
                <w:sz w:val="24"/>
              </w:rPr>
              <w:t>量</w:t>
            </w:r>
            <w:r>
              <w:rPr>
                <w:rFonts w:hint="default" w:ascii="Times New Roman" w:hAnsi="Times New Roman" w:cs="Times New Roman"/>
                <w:bCs/>
                <w:sz w:val="24"/>
                <w:lang w:val="en-US" w:eastAsia="zh-CN"/>
              </w:rPr>
              <w:t>为</w:t>
            </w:r>
            <w:r>
              <w:rPr>
                <w:rFonts w:hint="eastAsia" w:cs="Times New Roman"/>
                <w:bCs/>
                <w:sz w:val="24"/>
                <w:lang w:val="en-US" w:eastAsia="zh-CN"/>
              </w:rPr>
              <w:t>132.31</w:t>
            </w:r>
            <w:r>
              <w:rPr>
                <w:rFonts w:hint="default" w:ascii="Times New Roman" w:hAnsi="Times New Roman" w:cs="Times New Roman"/>
                <w:bCs/>
                <w:sz w:val="24"/>
              </w:rPr>
              <w:t>t/a，</w:t>
            </w:r>
            <w:r>
              <w:rPr>
                <w:rFonts w:hint="eastAsia" w:cs="Times New Roman"/>
                <w:bCs/>
                <w:sz w:val="24"/>
                <w:lang w:val="en-US" w:eastAsia="zh-CN"/>
              </w:rPr>
              <w:t>16.7</w:t>
            </w:r>
            <w:r>
              <w:rPr>
                <w:rFonts w:hint="default" w:ascii="Times New Roman" w:hAnsi="Times New Roman" w:cs="Times New Roman"/>
                <w:bCs/>
                <w:sz w:val="24"/>
              </w:rPr>
              <w:t>kg/h，排放浓度为，</w:t>
            </w:r>
            <w:r>
              <w:rPr>
                <w:rFonts w:hint="eastAsia" w:cs="Times New Roman"/>
                <w:bCs/>
                <w:sz w:val="24"/>
                <w:lang w:val="en-US" w:eastAsia="zh-CN"/>
              </w:rPr>
              <w:t>1212.58</w:t>
            </w:r>
            <w:r>
              <w:rPr>
                <w:rFonts w:hint="default" w:ascii="Times New Roman" w:hAnsi="Times New Roman" w:cs="Times New Roman"/>
                <w:bCs/>
                <w:sz w:val="24"/>
              </w:rPr>
              <w:t>mg/m</w:t>
            </w:r>
            <w:r>
              <w:rPr>
                <w:rFonts w:hint="default" w:ascii="Times New Roman" w:hAnsi="Times New Roman" w:cs="Times New Roman"/>
                <w:bCs/>
                <w:sz w:val="24"/>
                <w:vertAlign w:val="superscript"/>
              </w:rPr>
              <w:t>3</w:t>
            </w:r>
            <w:r>
              <w:rPr>
                <w:rFonts w:hint="default" w:ascii="Times New Roman" w:hAnsi="Times New Roman" w:cs="Times New Roman"/>
                <w:bCs/>
                <w:sz w:val="24"/>
              </w:rPr>
              <w:t>；二氧化硫排放量为</w:t>
            </w:r>
            <w:r>
              <w:rPr>
                <w:rFonts w:hint="default" w:ascii="Times New Roman" w:hAnsi="Times New Roman" w:cs="Times New Roman"/>
                <w:sz w:val="24"/>
                <w:szCs w:val="24"/>
                <w:lang w:val="en-US" w:eastAsia="zh-CN"/>
              </w:rPr>
              <w:t>1.</w:t>
            </w:r>
            <w:r>
              <w:rPr>
                <w:rFonts w:hint="eastAsia" w:cs="Times New Roman"/>
                <w:sz w:val="24"/>
                <w:szCs w:val="24"/>
                <w:lang w:val="en-US" w:eastAsia="zh-CN"/>
              </w:rPr>
              <w:t>236</w:t>
            </w:r>
            <w:r>
              <w:rPr>
                <w:rFonts w:hint="default" w:ascii="Times New Roman" w:hAnsi="Times New Roman" w:cs="Times New Roman"/>
                <w:sz w:val="24"/>
                <w:szCs w:val="24"/>
              </w:rPr>
              <w:t>t/a，0.</w:t>
            </w:r>
            <w:r>
              <w:rPr>
                <w:rFonts w:hint="default" w:ascii="Times New Roman" w:hAnsi="Times New Roman" w:cs="Times New Roman"/>
                <w:sz w:val="24"/>
                <w:szCs w:val="24"/>
                <w:lang w:val="en-US" w:eastAsia="zh-CN"/>
              </w:rPr>
              <w:t>1</w:t>
            </w:r>
            <w:r>
              <w:rPr>
                <w:rFonts w:hint="eastAsia" w:cs="Times New Roman"/>
                <w:sz w:val="24"/>
                <w:szCs w:val="24"/>
                <w:lang w:val="en-US" w:eastAsia="zh-CN"/>
              </w:rPr>
              <w:t>56</w:t>
            </w:r>
            <w:r>
              <w:rPr>
                <w:rFonts w:hint="default" w:ascii="Times New Roman" w:hAnsi="Times New Roman" w:cs="Times New Roman"/>
                <w:sz w:val="24"/>
                <w:szCs w:val="24"/>
              </w:rPr>
              <w:t>kg/h，排放浓度为</w:t>
            </w:r>
            <w:r>
              <w:rPr>
                <w:rFonts w:hint="default" w:ascii="Times New Roman" w:hAnsi="Times New Roman" w:cs="Times New Roman"/>
                <w:sz w:val="24"/>
                <w:szCs w:val="24"/>
                <w:lang w:val="en-US" w:eastAsia="zh-CN"/>
              </w:rPr>
              <w:t>11.</w:t>
            </w:r>
            <w:r>
              <w:rPr>
                <w:rFonts w:hint="eastAsia" w:cs="Times New Roman"/>
                <w:sz w:val="24"/>
                <w:szCs w:val="24"/>
                <w:lang w:val="en-US" w:eastAsia="zh-CN"/>
              </w:rPr>
              <w:t>323</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bCs/>
                <w:sz w:val="24"/>
              </w:rPr>
              <w:t>；</w:t>
            </w:r>
            <w:r>
              <w:rPr>
                <w:rFonts w:hint="eastAsia" w:cs="Times New Roman"/>
                <w:color w:val="auto"/>
                <w:sz w:val="24"/>
                <w:szCs w:val="24"/>
                <w:vertAlign w:val="baseline"/>
                <w:lang w:val="en-US" w:eastAsia="zh-CN"/>
              </w:rPr>
              <w:t>氮氧化物排放量为3.379t/a，0.427kg/h。排放浓度为30.99</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bCs/>
                <w:sz w:val="24"/>
                <w:lang w:eastAsia="zh-CN"/>
              </w:rPr>
              <w:t>。</w:t>
            </w:r>
            <w:r>
              <w:rPr>
                <w:rFonts w:hint="default" w:ascii="Times New Roman" w:hAnsi="Times New Roman" w:cs="Times New Roman"/>
                <w:bCs/>
                <w:sz w:val="24"/>
              </w:rPr>
              <w:t>锅炉</w:t>
            </w:r>
            <w:r>
              <w:rPr>
                <w:rFonts w:hint="default" w:ascii="Times New Roman" w:hAnsi="Times New Roman" w:cs="Times New Roman"/>
                <w:bCs/>
                <w:sz w:val="24"/>
                <w:lang w:val="en-US" w:eastAsia="zh-CN"/>
              </w:rPr>
              <w:t>烟气除尘措施为</w:t>
            </w:r>
            <w:r>
              <w:rPr>
                <w:rFonts w:hint="default" w:ascii="Times New Roman" w:hAnsi="Times New Roman" w:cs="Times New Roman"/>
                <w:bCs/>
                <w:sz w:val="24"/>
              </w:rPr>
              <w:t>采用</w:t>
            </w: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SCR+烟道喷射消石灰干法脱硫+布袋除尘器</w:t>
            </w:r>
            <w:r>
              <w:rPr>
                <w:rFonts w:hint="default" w:ascii="Times New Roman" w:hAnsi="Times New Roman" w:cs="Times New Roman"/>
                <w:bCs/>
                <w:sz w:val="24"/>
                <w:lang w:eastAsia="zh-CN"/>
              </w:rPr>
              <w:t>”</w:t>
            </w:r>
            <w:r>
              <w:rPr>
                <w:rFonts w:hint="default" w:ascii="Times New Roman" w:hAnsi="Times New Roman" w:cs="Times New Roman"/>
                <w:bCs/>
                <w:sz w:val="24"/>
              </w:rPr>
              <w:t>，</w:t>
            </w:r>
            <w:r>
              <w:rPr>
                <w:rFonts w:hint="default" w:ascii="Times New Roman" w:hAnsi="Times New Roman" w:cs="Times New Roman"/>
                <w:bCs/>
                <w:sz w:val="24"/>
                <w:lang w:val="en-US" w:eastAsia="zh-CN"/>
              </w:rPr>
              <w:t>处理后烟道尾气</w:t>
            </w:r>
            <w:r>
              <w:rPr>
                <w:rFonts w:hint="eastAsia" w:cs="Times New Roman"/>
                <w:bCs/>
                <w:sz w:val="24"/>
                <w:lang w:val="en-US" w:eastAsia="zh-CN"/>
              </w:rPr>
              <w:t>由40m排气筒排放。</w:t>
            </w:r>
          </w:p>
          <w:p>
            <w:pPr>
              <w:adjustRightInd w:val="0"/>
              <w:snapToGrid w:val="0"/>
              <w:spacing w:line="360" w:lineRule="auto"/>
              <w:ind w:firstLine="482" w:firstLineChars="200"/>
              <w:rPr>
                <w:rFonts w:hint="eastAsia" w:cs="Times New Roman"/>
                <w:b/>
                <w:bCs w:val="0"/>
                <w:color w:val="auto"/>
                <w:sz w:val="24"/>
                <w:lang w:val="en-US" w:eastAsia="zh-CN"/>
              </w:rPr>
            </w:pPr>
            <w:r>
              <w:rPr>
                <w:rFonts w:hint="eastAsia" w:cs="Times New Roman"/>
                <w:b/>
                <w:bCs w:val="0"/>
                <w:color w:val="auto"/>
                <w:sz w:val="24"/>
                <w:lang w:val="en-US" w:eastAsia="zh-CN"/>
              </w:rPr>
              <w:t>项目尾气处理装置工艺简介：</w:t>
            </w:r>
          </w:p>
          <w:p>
            <w:pPr>
              <w:adjustRightInd w:val="0"/>
              <w:snapToGrid w:val="0"/>
              <w:spacing w:line="360" w:lineRule="auto"/>
              <w:ind w:firstLine="480" w:firstLineChars="200"/>
              <w:rPr>
                <w:rFonts w:hint="default" w:ascii="Times New Roman" w:hAnsi="Times New Roman" w:cs="Times New Roman"/>
                <w:bCs/>
                <w:sz w:val="24"/>
                <w:lang w:val="en-US" w:eastAsia="zh-CN"/>
              </w:rPr>
            </w:pPr>
            <w:r>
              <w:rPr>
                <w:rFonts w:hint="eastAsia" w:cs="Times New Roman"/>
                <w:bCs/>
                <w:sz w:val="24"/>
                <w:lang w:val="en-US" w:eastAsia="zh-CN"/>
              </w:rPr>
              <w:t>SCR工艺简介：</w:t>
            </w:r>
          </w:p>
          <w:p>
            <w:pPr>
              <w:adjustRightInd w:val="0"/>
              <w:snapToGrid w:val="0"/>
              <w:spacing w:line="360" w:lineRule="auto"/>
              <w:ind w:firstLine="480" w:firstLineChars="200"/>
              <w:rPr>
                <w:rFonts w:hint="default" w:ascii="Times New Roman" w:hAnsi="Times New Roman" w:cs="Times New Roman"/>
                <w:bCs/>
                <w:sz w:val="24"/>
                <w:lang w:val="en-US" w:eastAsia="zh-CN"/>
              </w:rPr>
            </w:pPr>
            <w:r>
              <w:rPr>
                <w:rFonts w:hint="default" w:ascii="Times New Roman" w:hAnsi="Times New Roman" w:cs="Times New Roman"/>
                <w:bCs/>
                <w:sz w:val="24"/>
                <w:lang w:val="en-US" w:eastAsia="zh-CN"/>
              </w:rPr>
              <w:t>目前世界上流行的SCR工艺主要分为氨法SCR和尿素法SCR两种，从运输及储存安全性上比较，尿素最安全、氨水次之、液氨危险性最高。氨水不属于危险化学品，综上所述，从运行成本及安全性综合比较，选用氨水较好。本项目设计采用氨水法工艺，该工艺是利用氨对NO</w:t>
            </w:r>
            <w:r>
              <w:rPr>
                <w:rFonts w:hint="default" w:ascii="Times New Roman" w:hAnsi="Times New Roman" w:cs="Times New Roman"/>
                <w:bCs/>
                <w:sz w:val="24"/>
                <w:vertAlign w:val="subscript"/>
                <w:lang w:val="en-US" w:eastAsia="zh-CN"/>
              </w:rPr>
              <w:t>X</w:t>
            </w:r>
            <w:r>
              <w:rPr>
                <w:rFonts w:hint="default" w:ascii="Times New Roman" w:hAnsi="Times New Roman" w:cs="Times New Roman"/>
                <w:bCs/>
                <w:sz w:val="24"/>
                <w:lang w:val="en-US" w:eastAsia="zh-CN"/>
              </w:rPr>
              <w:t>的还原功能，在催化剂的作用下将NO</w:t>
            </w:r>
            <w:r>
              <w:rPr>
                <w:rFonts w:hint="default" w:ascii="Times New Roman" w:hAnsi="Times New Roman" w:cs="Times New Roman"/>
                <w:bCs/>
                <w:sz w:val="24"/>
                <w:vertAlign w:val="subscript"/>
                <w:lang w:val="en-US" w:eastAsia="zh-CN"/>
              </w:rPr>
              <w:t>X</w:t>
            </w:r>
            <w:r>
              <w:rPr>
                <w:rFonts w:hint="eastAsia" w:cs="Times New Roman"/>
                <w:bCs/>
                <w:sz w:val="24"/>
                <w:lang w:val="en-US" w:eastAsia="zh-CN"/>
              </w:rPr>
              <w:t>（</w:t>
            </w:r>
            <w:r>
              <w:rPr>
                <w:rFonts w:hint="default" w:ascii="Times New Roman" w:hAnsi="Times New Roman" w:cs="Times New Roman"/>
                <w:bCs/>
                <w:sz w:val="24"/>
                <w:lang w:val="en-US" w:eastAsia="zh-CN"/>
              </w:rPr>
              <w:t>主要是NO</w:t>
            </w:r>
            <w:r>
              <w:rPr>
                <w:rFonts w:hint="eastAsia" w:cs="Times New Roman"/>
                <w:bCs/>
                <w:sz w:val="24"/>
                <w:lang w:val="en-US" w:eastAsia="zh-CN"/>
              </w:rPr>
              <w:t>）</w:t>
            </w:r>
            <w:r>
              <w:rPr>
                <w:rFonts w:hint="default" w:ascii="Times New Roman" w:hAnsi="Times New Roman" w:cs="Times New Roman"/>
                <w:bCs/>
                <w:sz w:val="24"/>
                <w:lang w:val="en-US" w:eastAsia="zh-CN"/>
              </w:rPr>
              <w:t>还原为对大气没有影响的N</w:t>
            </w:r>
            <w:r>
              <w:rPr>
                <w:rFonts w:hint="default" w:ascii="Times New Roman" w:hAnsi="Times New Roman" w:cs="Times New Roman"/>
                <w:bCs/>
                <w:sz w:val="24"/>
                <w:vertAlign w:val="subscript"/>
                <w:lang w:val="en-US" w:eastAsia="zh-CN"/>
              </w:rPr>
              <w:t>2</w:t>
            </w:r>
            <w:r>
              <w:rPr>
                <w:rFonts w:hint="default" w:ascii="Times New Roman" w:hAnsi="Times New Roman" w:cs="Times New Roman"/>
                <w:bCs/>
                <w:sz w:val="24"/>
                <w:lang w:val="en-US" w:eastAsia="zh-CN"/>
              </w:rPr>
              <w:t>和水。还原剂为NH</w:t>
            </w:r>
            <w:r>
              <w:rPr>
                <w:rFonts w:hint="default" w:ascii="Times New Roman" w:hAnsi="Times New Roman" w:cs="Times New Roman"/>
                <w:bCs/>
                <w:sz w:val="24"/>
                <w:vertAlign w:val="subscript"/>
                <w:lang w:val="en-US" w:eastAsia="zh-CN"/>
              </w:rPr>
              <w:t>3</w:t>
            </w:r>
            <w:r>
              <w:rPr>
                <w:rFonts w:hint="default" w:ascii="Times New Roman" w:hAnsi="Times New Roman" w:cs="Times New Roman"/>
                <w:bCs/>
                <w:sz w:val="24"/>
                <w:lang w:val="en-US" w:eastAsia="zh-CN"/>
              </w:rPr>
              <w:t>，主要化学反应方程式为：</w:t>
            </w:r>
          </w:p>
          <w:p>
            <w:pPr>
              <w:adjustRightInd w:val="0"/>
              <w:snapToGrid w:val="0"/>
              <w:spacing w:line="360" w:lineRule="auto"/>
              <w:ind w:firstLine="480" w:firstLineChars="200"/>
              <w:rPr>
                <w:rFonts w:hint="default" w:ascii="Times New Roman" w:hAnsi="Times New Roman" w:cs="Times New Roman"/>
                <w:bCs/>
                <w:sz w:val="24"/>
                <w:lang w:val="en-US" w:eastAsia="zh-CN"/>
              </w:rPr>
            </w:pPr>
            <w:r>
              <w:rPr>
                <w:rFonts w:hint="default" w:ascii="Times New Roman" w:hAnsi="Times New Roman" w:cs="Times New Roman"/>
                <w:bCs/>
                <w:sz w:val="24"/>
                <w:lang w:val="en-US" w:eastAsia="zh-CN"/>
              </w:rPr>
              <w:t>在SCR反应器内，NO通过以下反应被还原：</w:t>
            </w:r>
          </w:p>
          <w:p>
            <w:pPr>
              <w:adjustRightInd w:val="0"/>
              <w:snapToGrid w:val="0"/>
              <w:spacing w:line="360" w:lineRule="auto"/>
              <w:ind w:firstLine="480" w:firstLineChars="200"/>
              <w:rPr>
                <w:rFonts w:hint="default" w:ascii="Times New Roman" w:hAnsi="Times New Roman" w:cs="Times New Roman"/>
                <w:bCs/>
                <w:sz w:val="24"/>
                <w:lang w:val="en-US" w:eastAsia="zh-CN"/>
              </w:rPr>
            </w:pPr>
            <w:r>
              <w:rPr>
                <w:rFonts w:hint="default" w:ascii="Times New Roman" w:hAnsi="Times New Roman" w:cs="Times New Roman"/>
                <w:bCs/>
                <w:sz w:val="24"/>
                <w:lang w:val="en-US" w:eastAsia="zh-CN"/>
              </w:rPr>
              <w:t>4NO+4NH</w:t>
            </w:r>
            <w:r>
              <w:rPr>
                <w:rFonts w:hint="default" w:ascii="Times New Roman" w:hAnsi="Times New Roman" w:cs="Times New Roman"/>
                <w:bCs/>
                <w:sz w:val="24"/>
                <w:vertAlign w:val="subscript"/>
                <w:lang w:val="en-US" w:eastAsia="zh-CN"/>
              </w:rPr>
              <w:t>3</w:t>
            </w:r>
            <w:r>
              <w:rPr>
                <w:rFonts w:hint="default" w:ascii="Times New Roman" w:hAnsi="Times New Roman" w:cs="Times New Roman"/>
                <w:bCs/>
                <w:sz w:val="24"/>
                <w:lang w:val="en-US" w:eastAsia="zh-CN"/>
              </w:rPr>
              <w:t>+O</w:t>
            </w:r>
            <w:r>
              <w:rPr>
                <w:rFonts w:hint="default" w:ascii="Times New Roman" w:hAnsi="Times New Roman" w:cs="Times New Roman"/>
                <w:bCs/>
                <w:sz w:val="24"/>
                <w:vertAlign w:val="subscript"/>
                <w:lang w:val="en-US" w:eastAsia="zh-CN"/>
              </w:rPr>
              <w:t>2</w:t>
            </w:r>
            <w:r>
              <w:rPr>
                <w:rFonts w:hint="default" w:ascii="Times New Roman" w:hAnsi="Times New Roman" w:cs="Times New Roman"/>
                <w:bCs/>
                <w:sz w:val="24"/>
                <w:lang w:val="en-US" w:eastAsia="zh-CN"/>
              </w:rPr>
              <w:t>→4N</w:t>
            </w:r>
            <w:r>
              <w:rPr>
                <w:rFonts w:hint="default" w:ascii="Times New Roman" w:hAnsi="Times New Roman" w:cs="Times New Roman"/>
                <w:bCs/>
                <w:sz w:val="24"/>
                <w:vertAlign w:val="subscript"/>
                <w:lang w:val="en-US" w:eastAsia="zh-CN"/>
              </w:rPr>
              <w:t>2</w:t>
            </w:r>
            <w:r>
              <w:rPr>
                <w:rFonts w:hint="default" w:ascii="Times New Roman" w:hAnsi="Times New Roman" w:cs="Times New Roman"/>
                <w:bCs/>
                <w:sz w:val="24"/>
                <w:lang w:val="en-US" w:eastAsia="zh-CN"/>
              </w:rPr>
              <w:t>+6H</w:t>
            </w:r>
            <w:r>
              <w:rPr>
                <w:rFonts w:hint="default" w:ascii="Times New Roman" w:hAnsi="Times New Roman" w:cs="Times New Roman"/>
                <w:bCs/>
                <w:sz w:val="24"/>
                <w:vertAlign w:val="subscript"/>
                <w:lang w:val="en-US" w:eastAsia="zh-CN"/>
              </w:rPr>
              <w:t>2</w:t>
            </w:r>
            <w:r>
              <w:rPr>
                <w:rFonts w:hint="default" w:ascii="Times New Roman" w:hAnsi="Times New Roman" w:cs="Times New Roman"/>
                <w:bCs/>
                <w:sz w:val="24"/>
                <w:lang w:val="en-US" w:eastAsia="zh-CN"/>
              </w:rPr>
              <w:t>O</w:t>
            </w:r>
          </w:p>
          <w:p>
            <w:pPr>
              <w:adjustRightInd w:val="0"/>
              <w:snapToGrid w:val="0"/>
              <w:spacing w:line="360" w:lineRule="auto"/>
              <w:ind w:firstLine="480" w:firstLineChars="200"/>
              <w:rPr>
                <w:rFonts w:hint="default" w:ascii="Times New Roman" w:hAnsi="Times New Roman" w:cs="Times New Roman"/>
                <w:bCs/>
                <w:sz w:val="24"/>
                <w:lang w:val="en-US" w:eastAsia="zh-CN"/>
              </w:rPr>
            </w:pPr>
            <w:r>
              <w:rPr>
                <w:rFonts w:hint="default" w:ascii="Times New Roman" w:hAnsi="Times New Roman" w:cs="Times New Roman"/>
                <w:bCs/>
                <w:sz w:val="24"/>
                <w:lang w:val="en-US" w:eastAsia="zh-CN"/>
              </w:rPr>
              <w:t>6NO+4NH</w:t>
            </w:r>
            <w:r>
              <w:rPr>
                <w:rFonts w:hint="default" w:ascii="Times New Roman" w:hAnsi="Times New Roman" w:cs="Times New Roman"/>
                <w:bCs/>
                <w:sz w:val="24"/>
                <w:vertAlign w:val="subscript"/>
                <w:lang w:val="en-US" w:eastAsia="zh-CN"/>
              </w:rPr>
              <w:t>3</w:t>
            </w:r>
            <w:r>
              <w:rPr>
                <w:rFonts w:hint="default" w:ascii="Times New Roman" w:hAnsi="Times New Roman" w:cs="Times New Roman"/>
                <w:bCs/>
                <w:sz w:val="24"/>
                <w:lang w:val="en-US" w:eastAsia="zh-CN"/>
              </w:rPr>
              <w:t>→5N</w:t>
            </w:r>
            <w:r>
              <w:rPr>
                <w:rFonts w:hint="default" w:ascii="Times New Roman" w:hAnsi="Times New Roman" w:cs="Times New Roman"/>
                <w:bCs/>
                <w:sz w:val="24"/>
                <w:vertAlign w:val="subscript"/>
                <w:lang w:val="en-US" w:eastAsia="zh-CN"/>
              </w:rPr>
              <w:t>2</w:t>
            </w:r>
            <w:r>
              <w:rPr>
                <w:rFonts w:hint="default" w:ascii="Times New Roman" w:hAnsi="Times New Roman" w:cs="Times New Roman"/>
                <w:bCs/>
                <w:sz w:val="24"/>
                <w:lang w:val="en-US" w:eastAsia="zh-CN"/>
              </w:rPr>
              <w:t>+6H</w:t>
            </w:r>
            <w:r>
              <w:rPr>
                <w:rFonts w:hint="default" w:ascii="Times New Roman" w:hAnsi="Times New Roman" w:cs="Times New Roman"/>
                <w:bCs/>
                <w:sz w:val="24"/>
                <w:vertAlign w:val="subscript"/>
                <w:lang w:val="en-US" w:eastAsia="zh-CN"/>
              </w:rPr>
              <w:t>2</w:t>
            </w:r>
            <w:r>
              <w:rPr>
                <w:rFonts w:hint="default" w:ascii="Times New Roman" w:hAnsi="Times New Roman" w:cs="Times New Roman"/>
                <w:bCs/>
                <w:sz w:val="24"/>
                <w:lang w:val="en-US" w:eastAsia="zh-CN"/>
              </w:rPr>
              <w:t>O</w:t>
            </w:r>
          </w:p>
          <w:p>
            <w:pPr>
              <w:adjustRightInd w:val="0"/>
              <w:snapToGrid w:val="0"/>
              <w:spacing w:line="360" w:lineRule="auto"/>
              <w:ind w:firstLine="480" w:firstLineChars="200"/>
              <w:rPr>
                <w:rFonts w:hint="eastAsia" w:cs="Times New Roman"/>
                <w:bCs/>
                <w:sz w:val="24"/>
                <w:vertAlign w:val="baseline"/>
                <w:lang w:val="en-US" w:eastAsia="zh-CN"/>
              </w:rPr>
            </w:pPr>
            <w:r>
              <w:rPr>
                <w:rFonts w:hint="eastAsia" w:cs="Times New Roman"/>
                <w:bCs/>
                <w:sz w:val="24"/>
                <w:lang w:val="en-US" w:eastAsia="zh-CN"/>
              </w:rPr>
              <w:t>本项目选择NH</w:t>
            </w:r>
            <w:r>
              <w:rPr>
                <w:rFonts w:hint="eastAsia" w:cs="Times New Roman"/>
                <w:bCs/>
                <w:sz w:val="24"/>
                <w:vertAlign w:val="subscript"/>
                <w:lang w:val="en-US" w:eastAsia="zh-CN"/>
              </w:rPr>
              <w:t>3</w:t>
            </w:r>
            <w:r>
              <w:rPr>
                <w:rFonts w:hint="eastAsia" w:cs="Times New Roman"/>
                <w:bCs/>
                <w:sz w:val="24"/>
                <w:vertAlign w:val="baseline"/>
                <w:lang w:val="en-US" w:eastAsia="zh-CN"/>
              </w:rPr>
              <w:t>做催化剂。</w:t>
            </w:r>
          </w:p>
          <w:p>
            <w:pPr>
              <w:adjustRightInd w:val="0"/>
              <w:snapToGrid w:val="0"/>
              <w:spacing w:line="360" w:lineRule="auto"/>
              <w:ind w:firstLine="480" w:firstLineChars="200"/>
              <w:rPr>
                <w:rFonts w:hint="eastAsia" w:cs="Times New Roman"/>
                <w:bCs/>
                <w:sz w:val="24"/>
                <w:lang w:val="en-US" w:eastAsia="zh-CN"/>
              </w:rPr>
            </w:pPr>
            <w:r>
              <w:rPr>
                <w:rFonts w:hint="eastAsia" w:cs="Times New Roman"/>
                <w:bCs/>
                <w:sz w:val="24"/>
                <w:lang w:val="en-US" w:eastAsia="zh-CN"/>
              </w:rPr>
              <w:t>NO</w:t>
            </w:r>
            <w:r>
              <w:rPr>
                <w:rFonts w:hint="eastAsia" w:cs="Times New Roman"/>
                <w:bCs/>
                <w:sz w:val="24"/>
                <w:vertAlign w:val="subscript"/>
                <w:lang w:val="en-US" w:eastAsia="zh-CN"/>
              </w:rPr>
              <w:t>x</w:t>
            </w:r>
            <w:r>
              <w:rPr>
                <w:rFonts w:hint="eastAsia" w:cs="Times New Roman"/>
                <w:bCs/>
                <w:sz w:val="24"/>
                <w:lang w:val="en-US" w:eastAsia="zh-CN"/>
              </w:rPr>
              <w:t>与NH</w:t>
            </w:r>
            <w:r>
              <w:rPr>
                <w:rFonts w:hint="eastAsia" w:cs="Times New Roman"/>
                <w:bCs/>
                <w:sz w:val="24"/>
                <w:vertAlign w:val="subscript"/>
                <w:lang w:val="en-US" w:eastAsia="zh-CN"/>
              </w:rPr>
              <w:t>3</w:t>
            </w:r>
            <w:r>
              <w:rPr>
                <w:rFonts w:hint="eastAsia" w:cs="Times New Roman"/>
                <w:bCs/>
                <w:sz w:val="24"/>
                <w:lang w:val="en-US" w:eastAsia="zh-CN"/>
              </w:rPr>
              <w:t>在催化剂的作用下产生还原。催化剂安放在一个固定的反应器内，烟气穿过反应器平行流经催化剂表面。催化剂单元通常垂直布置，烟气自上向下流动。SCR系统一般由氨水溶液的储存系统、氨水喷入系统、反应器系统、烟气系统等组成。</w:t>
            </w:r>
          </w:p>
          <w:p>
            <w:pPr>
              <w:adjustRightInd w:val="0"/>
              <w:snapToGrid w:val="0"/>
              <w:spacing w:line="360" w:lineRule="auto"/>
              <w:ind w:firstLine="480" w:firstLineChars="200"/>
              <w:rPr>
                <w:rFonts w:hint="eastAsia" w:cs="Times New Roman"/>
                <w:bCs/>
                <w:sz w:val="24"/>
                <w:lang w:val="en-US" w:eastAsia="zh-CN"/>
              </w:rPr>
            </w:pPr>
            <w:r>
              <w:rPr>
                <w:rFonts w:hint="eastAsia" w:cs="Times New Roman"/>
                <w:bCs/>
                <w:sz w:val="24"/>
                <w:lang w:val="en-US" w:eastAsia="zh-CN"/>
              </w:rPr>
              <w:t>SCR反应器在锅炉烟道中采用中热段/高灰（实际低，高为相对）布置。</w:t>
            </w:r>
          </w:p>
          <w:p>
            <w:pPr>
              <w:adjustRightInd w:val="0"/>
              <w:snapToGrid w:val="0"/>
              <w:spacing w:line="360" w:lineRule="auto"/>
              <w:ind w:firstLine="480" w:firstLineChars="200"/>
              <w:rPr>
                <w:rFonts w:hint="default" w:cs="Times New Roman"/>
                <w:bCs/>
                <w:sz w:val="24"/>
                <w:lang w:val="en-US" w:eastAsia="zh-CN"/>
              </w:rPr>
            </w:pPr>
            <w:r>
              <w:rPr>
                <w:rFonts w:hint="eastAsia" w:cs="Times New Roman"/>
                <w:bCs/>
                <w:sz w:val="24"/>
                <w:lang w:val="en-US" w:eastAsia="zh-CN"/>
              </w:rPr>
              <w:t>本案反应器布置在炉膛出口段（炉膛出口烟温（额定负荷）280--260度,50%负荷时260--200度）位置，此时烟气中所含有的全部飞灰和SO</w:t>
            </w:r>
            <w:r>
              <w:rPr>
                <w:rFonts w:hint="eastAsia" w:cs="Times New Roman"/>
                <w:bCs/>
                <w:sz w:val="24"/>
                <w:vertAlign w:val="subscript"/>
                <w:lang w:val="en-US" w:eastAsia="zh-CN"/>
              </w:rPr>
              <w:t>2</w:t>
            </w:r>
            <w:r>
              <w:rPr>
                <w:rFonts w:hint="eastAsia" w:cs="Times New Roman"/>
                <w:bCs/>
                <w:sz w:val="24"/>
                <w:lang w:val="en-US" w:eastAsia="zh-CN"/>
              </w:rPr>
              <w:t>均通过催化剂反应器，反应器的工作条件是在“不干净”的高尘烟气中。由于这种布置方案的烟气温度在200～4280℃的范围内，适合于中温催化剂的反应温度，且由于SO</w:t>
            </w:r>
            <w:r>
              <w:rPr>
                <w:rFonts w:hint="eastAsia" w:cs="Times New Roman"/>
                <w:bCs/>
                <w:sz w:val="24"/>
                <w:vertAlign w:val="subscript"/>
                <w:lang w:val="en-US" w:eastAsia="zh-CN"/>
              </w:rPr>
              <w:t>2</w:t>
            </w:r>
            <w:r>
              <w:rPr>
                <w:rFonts w:hint="eastAsia" w:cs="Times New Roman"/>
                <w:bCs/>
                <w:sz w:val="24"/>
                <w:lang w:val="en-US" w:eastAsia="zh-CN"/>
              </w:rPr>
              <w:t>及NO</w:t>
            </w:r>
            <w:r>
              <w:rPr>
                <w:rFonts w:hint="eastAsia" w:cs="Times New Roman"/>
                <w:bCs/>
                <w:sz w:val="24"/>
                <w:vertAlign w:val="subscript"/>
                <w:lang w:val="en-US" w:eastAsia="zh-CN"/>
              </w:rPr>
              <w:t>X</w:t>
            </w:r>
            <w:r>
              <w:rPr>
                <w:rFonts w:hint="eastAsia" w:cs="Times New Roman"/>
                <w:bCs/>
                <w:sz w:val="24"/>
                <w:lang w:val="en-US" w:eastAsia="zh-CN"/>
              </w:rPr>
              <w:t>初始浓度不高，与氨生成的亚硫酸氢氨量少，不易附着在催化剂表面引起催化剂堵塞因而它被广泛采用。</w:t>
            </w:r>
          </w:p>
          <w:p>
            <w:pPr>
              <w:adjustRightInd w:val="0"/>
              <w:snapToGrid w:val="0"/>
              <w:spacing w:line="360" w:lineRule="auto"/>
              <w:ind w:firstLine="480" w:firstLineChars="200"/>
              <w:rPr>
                <w:rFonts w:hint="eastAsia" w:cs="Times New Roman"/>
                <w:bCs/>
                <w:sz w:val="24"/>
                <w:lang w:val="en-US" w:eastAsia="zh-CN"/>
              </w:rPr>
            </w:pPr>
            <w:r>
              <w:rPr>
                <w:rFonts w:hint="eastAsia" w:cs="Times New Roman"/>
                <w:bCs/>
                <w:sz w:val="24"/>
                <w:lang w:val="en-US" w:eastAsia="zh-CN"/>
              </w:rPr>
              <w:t>对生物质燃气锅炉，SCR反应器多选择安装于锅炉省煤器前，因为此区间的烟气温度刚好适合SCR脱硝还原反应，氨被喷射于锅炉出口烟道内的适当位置，使其与烟气充分混合后在反应器内与氮氧化物反应，SCR系统的脱硝效率为90%及以上。</w:t>
            </w:r>
          </w:p>
          <w:p>
            <w:pPr>
              <w:adjustRightInd w:val="0"/>
              <w:snapToGrid w:val="0"/>
              <w:spacing w:line="360" w:lineRule="auto"/>
              <w:ind w:firstLine="480" w:firstLineChars="200"/>
              <w:rPr>
                <w:rFonts w:hint="default" w:cs="Times New Roman"/>
                <w:bCs/>
                <w:sz w:val="24"/>
                <w:lang w:val="en-US" w:eastAsia="zh-CN"/>
              </w:rPr>
            </w:pPr>
            <w:r>
              <w:rPr>
                <w:rFonts w:hint="eastAsia" w:cs="Times New Roman"/>
                <w:bCs/>
                <w:sz w:val="24"/>
                <w:lang w:val="en-US" w:eastAsia="zh-CN"/>
              </w:rPr>
              <w:t>本项目SCR反应器系统由SCR反应器、催化剂层、催化剂吹灰装置、喷氨格栅、爬梯平台等组成。反应器的水平段安装有烟气导流、优化分布的装置以及氨的喷射格栅在反应器的竖直段装有催化剂床。反应器采用固定床平行通道型式。</w:t>
            </w:r>
            <w:r>
              <w:rPr>
                <w:rFonts w:hint="eastAsia" w:cs="Times New Roman"/>
                <w:b/>
                <w:bCs w:val="0"/>
                <w:sz w:val="24"/>
                <w:lang w:val="en-US" w:eastAsia="zh-CN"/>
              </w:rPr>
              <w:t>催化剂层采用三层催化剂层组成，极大地提高了NO</w:t>
            </w:r>
            <w:r>
              <w:rPr>
                <w:rFonts w:hint="eastAsia" w:cs="Times New Roman"/>
                <w:b/>
                <w:bCs w:val="0"/>
                <w:sz w:val="24"/>
                <w:vertAlign w:val="subscript"/>
                <w:lang w:val="en-US" w:eastAsia="zh-CN"/>
              </w:rPr>
              <w:t>x</w:t>
            </w:r>
            <w:r>
              <w:rPr>
                <w:rFonts w:hint="eastAsia" w:cs="Times New Roman"/>
                <w:b/>
                <w:bCs w:val="0"/>
                <w:sz w:val="24"/>
                <w:vertAlign w:val="baseline"/>
                <w:lang w:val="en-US" w:eastAsia="zh-CN"/>
              </w:rPr>
              <w:t>的处理效率。根据《4430工业锅炉（热力生产和供应行业）行业系数手册》提供的SNO</w:t>
            </w:r>
            <w:r>
              <w:rPr>
                <w:rFonts w:hint="eastAsia" w:cs="Times New Roman"/>
                <w:b/>
                <w:bCs w:val="0"/>
                <w:sz w:val="24"/>
                <w:vertAlign w:val="subscript"/>
                <w:lang w:val="en-US" w:eastAsia="zh-CN"/>
              </w:rPr>
              <w:t>x</w:t>
            </w:r>
            <w:r>
              <w:rPr>
                <w:rFonts w:hint="eastAsia" w:cs="Times New Roman"/>
                <w:b/>
                <w:bCs w:val="0"/>
                <w:sz w:val="24"/>
                <w:vertAlign w:val="baseline"/>
                <w:lang w:val="en-US" w:eastAsia="zh-CN"/>
              </w:rPr>
              <w:t>处理效率按70%计算</w:t>
            </w:r>
            <w:r>
              <w:rPr>
                <w:rFonts w:hint="eastAsia" w:cs="Times New Roman"/>
                <w:b/>
                <w:bCs w:val="0"/>
                <w:sz w:val="24"/>
                <w:lang w:val="en-US" w:eastAsia="zh-CN"/>
              </w:rPr>
              <w:t>。</w:t>
            </w:r>
          </w:p>
          <w:p>
            <w:pPr>
              <w:adjustRightInd w:val="0"/>
              <w:snapToGrid w:val="0"/>
              <w:spacing w:line="360" w:lineRule="auto"/>
              <w:ind w:firstLine="480" w:firstLineChars="200"/>
              <w:rPr>
                <w:rFonts w:hint="default" w:cs="Times New Roman"/>
                <w:bCs/>
                <w:sz w:val="24"/>
                <w:lang w:val="en-US" w:eastAsia="zh-CN"/>
              </w:rPr>
            </w:pPr>
            <w:r>
              <w:rPr>
                <w:rFonts w:hint="default" w:ascii="Times New Roman" w:hAnsi="Times New Roman" w:cs="Times New Roman"/>
                <w:bCs/>
                <w:sz w:val="24"/>
                <w:lang w:val="en-US" w:eastAsia="zh-CN"/>
              </w:rPr>
              <w:t>烟道喷射消石灰干法脱硫</w:t>
            </w:r>
            <w:r>
              <w:rPr>
                <w:rFonts w:hint="eastAsia" w:cs="Times New Roman"/>
                <w:bCs/>
                <w:sz w:val="24"/>
                <w:lang w:val="en-US" w:eastAsia="zh-CN"/>
              </w:rPr>
              <w:t>工艺简介：</w:t>
            </w:r>
          </w:p>
          <w:p>
            <w:pPr>
              <w:adjustRightInd w:val="0"/>
              <w:snapToGrid w:val="0"/>
              <w:spacing w:line="360" w:lineRule="auto"/>
              <w:ind w:firstLine="480" w:firstLineChars="200"/>
              <w:rPr>
                <w:rFonts w:hint="eastAsia" w:cs="Times New Roman"/>
                <w:bCs/>
                <w:sz w:val="24"/>
                <w:lang w:val="en-US" w:eastAsia="zh-CN"/>
              </w:rPr>
            </w:pPr>
            <w:r>
              <w:rPr>
                <w:rFonts w:hint="eastAsia" w:cs="Times New Roman"/>
                <w:bCs/>
                <w:sz w:val="24"/>
                <w:lang w:val="en-US" w:eastAsia="zh-CN"/>
              </w:rPr>
              <w:t>干法烟气脱硫在无液相介入的完全干燥状态下进行，反应产物也为干粉状。无污水排放；烟气无明显温降，脱硫后烟气温度高，利于烟囱排放烟气的扩散，无需装设除雾器及烟气再热器，设备不易腐蚀，不易发生结垢及堵塞；干法烟气脱硫技术能较好地回避湿法烟气脱硫技术存在的腐蚀和二次污染等问题。</w:t>
            </w:r>
          </w:p>
          <w:p>
            <w:pPr>
              <w:adjustRightInd w:val="0"/>
              <w:snapToGrid w:val="0"/>
              <w:spacing w:line="360" w:lineRule="auto"/>
              <w:ind w:firstLine="480" w:firstLineChars="200"/>
              <w:rPr>
                <w:rFonts w:hint="eastAsia" w:cs="Times New Roman"/>
                <w:bCs/>
                <w:sz w:val="24"/>
                <w:lang w:val="en-US" w:eastAsia="zh-CN"/>
              </w:rPr>
            </w:pPr>
            <w:r>
              <w:rPr>
                <w:rFonts w:hint="eastAsia" w:cs="Times New Roman"/>
                <w:bCs/>
                <w:sz w:val="24"/>
                <w:lang w:val="en-US" w:eastAsia="zh-CN"/>
              </w:rPr>
              <w:t>本项目生物质燃料SO</w:t>
            </w:r>
            <w:r>
              <w:rPr>
                <w:rFonts w:hint="eastAsia" w:cs="Times New Roman"/>
                <w:bCs/>
                <w:sz w:val="24"/>
                <w:vertAlign w:val="subscript"/>
                <w:lang w:val="en-US" w:eastAsia="zh-CN"/>
              </w:rPr>
              <w:t>2</w:t>
            </w:r>
            <w:r>
              <w:rPr>
                <w:rFonts w:hint="eastAsia" w:cs="Times New Roman"/>
                <w:bCs/>
                <w:sz w:val="24"/>
                <w:lang w:val="en-US" w:eastAsia="zh-CN"/>
              </w:rPr>
              <w:t>初始浓度低，无需很高的脱硫效率特点拟采用喷消石灰干法脱硫方案。</w:t>
            </w:r>
          </w:p>
          <w:p>
            <w:pPr>
              <w:adjustRightInd w:val="0"/>
              <w:snapToGrid w:val="0"/>
              <w:spacing w:line="360" w:lineRule="auto"/>
              <w:ind w:firstLine="480" w:firstLineChars="200"/>
              <w:rPr>
                <w:rFonts w:hint="eastAsia" w:cs="Times New Roman"/>
                <w:bCs/>
                <w:sz w:val="24"/>
                <w:lang w:val="en-US" w:eastAsia="zh-CN"/>
              </w:rPr>
            </w:pPr>
            <w:r>
              <w:rPr>
                <w:rFonts w:hint="eastAsia" w:cs="Times New Roman"/>
                <w:bCs/>
                <w:sz w:val="24"/>
                <w:lang w:val="en-US" w:eastAsia="zh-CN"/>
              </w:rPr>
              <w:t>管道喷射工艺是在锅炉尾部空气预热器和布袋除尘器之间的烟道喷入钙基或钠基脱硫吸收剂进行烟气脱硫的过程。为了脱除排气中的SO</w:t>
            </w:r>
            <w:r>
              <w:rPr>
                <w:rFonts w:hint="eastAsia" w:cs="Times New Roman"/>
                <w:bCs/>
                <w:sz w:val="24"/>
                <w:vertAlign w:val="subscript"/>
                <w:lang w:val="en-US" w:eastAsia="zh-CN"/>
              </w:rPr>
              <w:t>2</w:t>
            </w:r>
            <w:r>
              <w:rPr>
                <w:rFonts w:hint="eastAsia" w:cs="Times New Roman"/>
                <w:bCs/>
                <w:sz w:val="24"/>
                <w:lang w:val="en-US" w:eastAsia="zh-CN"/>
              </w:rPr>
              <w:t>在布袋除尘器之前喷入消石灰，其反应如下:</w:t>
            </w:r>
          </w:p>
          <w:p>
            <w:pPr>
              <w:adjustRightInd w:val="0"/>
              <w:snapToGrid w:val="0"/>
              <w:spacing w:line="360" w:lineRule="auto"/>
              <w:ind w:firstLine="480" w:firstLineChars="200"/>
              <w:rPr>
                <w:rFonts w:hint="eastAsia" w:cs="Times New Roman"/>
                <w:bCs/>
                <w:sz w:val="24"/>
                <w:lang w:val="en-US" w:eastAsia="zh-CN"/>
              </w:rPr>
            </w:pPr>
            <w:r>
              <w:rPr>
                <w:rFonts w:hint="eastAsia" w:cs="Times New Roman"/>
                <w:bCs/>
                <w:sz w:val="24"/>
                <w:lang w:val="en-US" w:eastAsia="zh-CN"/>
              </w:rPr>
              <w:t>Ca（OH）</w:t>
            </w:r>
            <w:r>
              <w:rPr>
                <w:rFonts w:hint="eastAsia" w:cs="Times New Roman"/>
                <w:bCs/>
                <w:sz w:val="24"/>
                <w:vertAlign w:val="subscript"/>
                <w:lang w:val="en-US" w:eastAsia="zh-CN"/>
              </w:rPr>
              <w:t>2</w:t>
            </w:r>
            <w:r>
              <w:rPr>
                <w:rFonts w:hint="eastAsia" w:cs="Times New Roman"/>
                <w:bCs/>
                <w:sz w:val="24"/>
                <w:lang w:val="en-US" w:eastAsia="zh-CN"/>
              </w:rPr>
              <w:t>+SO</w:t>
            </w:r>
            <w:r>
              <w:rPr>
                <w:rFonts w:hint="eastAsia" w:cs="Times New Roman"/>
                <w:bCs/>
                <w:sz w:val="24"/>
                <w:vertAlign w:val="subscript"/>
                <w:lang w:val="en-US" w:eastAsia="zh-CN"/>
              </w:rPr>
              <w:t>2</w:t>
            </w:r>
            <w:r>
              <w:rPr>
                <w:rFonts w:hint="eastAsia" w:cs="Times New Roman"/>
                <w:bCs/>
                <w:sz w:val="24"/>
                <w:lang w:val="en-US" w:eastAsia="zh-CN"/>
              </w:rPr>
              <w:t>-----CaSO</w:t>
            </w:r>
            <w:r>
              <w:rPr>
                <w:rFonts w:hint="eastAsia" w:cs="Times New Roman"/>
                <w:bCs/>
                <w:sz w:val="24"/>
                <w:vertAlign w:val="subscript"/>
                <w:lang w:val="en-US" w:eastAsia="zh-CN"/>
              </w:rPr>
              <w:t>3</w:t>
            </w:r>
            <w:r>
              <w:rPr>
                <w:rFonts w:hint="eastAsia" w:cs="Times New Roman"/>
                <w:bCs/>
                <w:sz w:val="24"/>
                <w:lang w:val="en-US" w:eastAsia="zh-CN"/>
              </w:rPr>
              <w:t>+2H</w:t>
            </w:r>
            <w:r>
              <w:rPr>
                <w:rFonts w:hint="eastAsia" w:cs="Times New Roman"/>
                <w:bCs/>
                <w:sz w:val="24"/>
                <w:vertAlign w:val="subscript"/>
                <w:lang w:val="en-US" w:eastAsia="zh-CN"/>
              </w:rPr>
              <w:t>2</w:t>
            </w:r>
            <w:r>
              <w:rPr>
                <w:rFonts w:hint="eastAsia" w:cs="Times New Roman"/>
                <w:bCs/>
                <w:sz w:val="24"/>
                <w:lang w:val="en-US" w:eastAsia="zh-CN"/>
              </w:rPr>
              <w:t>O</w:t>
            </w:r>
          </w:p>
          <w:p>
            <w:pPr>
              <w:adjustRightInd w:val="0"/>
              <w:snapToGrid w:val="0"/>
              <w:spacing w:line="360" w:lineRule="auto"/>
              <w:ind w:firstLine="480" w:firstLineChars="200"/>
              <w:rPr>
                <w:rFonts w:hint="eastAsia" w:cs="Times New Roman"/>
                <w:bCs/>
                <w:sz w:val="24"/>
                <w:lang w:val="en-US" w:eastAsia="zh-CN"/>
              </w:rPr>
            </w:pPr>
            <w:r>
              <w:rPr>
                <w:rFonts w:hint="eastAsia" w:cs="Times New Roman"/>
                <w:bCs/>
                <w:sz w:val="24"/>
                <w:lang w:val="en-US" w:eastAsia="zh-CN"/>
              </w:rPr>
              <w:t>经反应后SO</w:t>
            </w:r>
            <w:r>
              <w:rPr>
                <w:rFonts w:hint="eastAsia" w:cs="Times New Roman"/>
                <w:bCs/>
                <w:sz w:val="24"/>
                <w:vertAlign w:val="subscript"/>
                <w:lang w:val="en-US" w:eastAsia="zh-CN"/>
              </w:rPr>
              <w:t>2</w:t>
            </w:r>
            <w:r>
              <w:rPr>
                <w:rFonts w:hint="eastAsia" w:cs="Times New Roman"/>
                <w:bCs/>
                <w:sz w:val="24"/>
                <w:lang w:val="en-US" w:eastAsia="zh-CN"/>
              </w:rPr>
              <w:t>气体变为无害钙盐CaSO</w:t>
            </w:r>
            <w:r>
              <w:rPr>
                <w:rFonts w:hint="eastAsia" w:cs="Times New Roman"/>
                <w:bCs/>
                <w:sz w:val="24"/>
                <w:vertAlign w:val="subscript"/>
                <w:lang w:val="en-US" w:eastAsia="zh-CN"/>
              </w:rPr>
              <w:t>3</w:t>
            </w:r>
            <w:r>
              <w:rPr>
                <w:rFonts w:hint="eastAsia" w:cs="Times New Roman"/>
                <w:bCs/>
                <w:sz w:val="24"/>
                <w:lang w:val="en-US" w:eastAsia="zh-CN"/>
              </w:rPr>
              <w:t>，并与烟气中的粉尘一起被布袋除尘器吸附在滤布上，当烟气通过滤布时将进一步除去烟气中的SO</w:t>
            </w:r>
            <w:r>
              <w:rPr>
                <w:rFonts w:hint="eastAsia" w:cs="Times New Roman"/>
                <w:bCs/>
                <w:sz w:val="24"/>
                <w:vertAlign w:val="subscript"/>
                <w:lang w:val="en-US" w:eastAsia="zh-CN"/>
              </w:rPr>
              <w:t>2</w:t>
            </w:r>
            <w:r>
              <w:rPr>
                <w:rFonts w:hint="eastAsia" w:cs="Times New Roman"/>
                <w:bCs/>
                <w:sz w:val="24"/>
                <w:lang w:val="en-US" w:eastAsia="zh-CN"/>
              </w:rPr>
              <w:t>。</w:t>
            </w:r>
          </w:p>
          <w:p>
            <w:pPr>
              <w:adjustRightInd w:val="0"/>
              <w:snapToGrid w:val="0"/>
              <w:spacing w:line="360" w:lineRule="auto"/>
              <w:ind w:firstLine="480" w:firstLineChars="200"/>
              <w:rPr>
                <w:rFonts w:hint="default" w:ascii="Times New Roman" w:hAnsi="Times New Roman" w:cs="Times New Roman"/>
                <w:bCs/>
                <w:sz w:val="24"/>
              </w:rPr>
            </w:pPr>
            <w:r>
              <w:rPr>
                <w:rFonts w:hint="eastAsia" w:cs="Times New Roman"/>
                <w:bCs/>
                <w:sz w:val="24"/>
                <w:lang w:val="en-US" w:eastAsia="zh-CN"/>
              </w:rPr>
              <w:t>根据《4430工业锅炉（热力生产和供应行业）行业系数手册》</w:t>
            </w:r>
            <w:r>
              <w:rPr>
                <w:rFonts w:hint="default" w:ascii="Times New Roman" w:hAnsi="Times New Roman" w:cs="Times New Roman"/>
                <w:bCs/>
                <w:sz w:val="24"/>
                <w:lang w:val="en-US" w:eastAsia="zh-CN"/>
              </w:rPr>
              <w:t>布袋除尘器</w:t>
            </w:r>
            <w:r>
              <w:rPr>
                <w:rFonts w:hint="eastAsia" w:cs="Times New Roman"/>
                <w:bCs/>
                <w:sz w:val="24"/>
                <w:lang w:val="en-US" w:eastAsia="zh-CN"/>
              </w:rPr>
              <w:t>处理颗粒物效率按98.4%计算，则</w:t>
            </w:r>
            <w:r>
              <w:rPr>
                <w:rFonts w:hint="default" w:ascii="Times New Roman" w:hAnsi="Times New Roman" w:cs="Times New Roman"/>
                <w:bCs/>
                <w:sz w:val="24"/>
                <w:lang w:val="en-US" w:eastAsia="zh-CN"/>
              </w:rPr>
              <w:t>处理后烟道尾气</w:t>
            </w:r>
            <w:r>
              <w:rPr>
                <w:rFonts w:hint="eastAsia" w:cs="Times New Roman"/>
                <w:bCs/>
                <w:sz w:val="24"/>
                <w:lang w:val="en-US" w:eastAsia="zh-CN"/>
              </w:rPr>
              <w:t>的</w:t>
            </w:r>
            <w:r>
              <w:rPr>
                <w:rFonts w:hint="default" w:ascii="Times New Roman" w:hAnsi="Times New Roman" w:cs="Times New Roman"/>
                <w:bCs/>
                <w:sz w:val="24"/>
              </w:rPr>
              <w:t>颗粒物排放量</w:t>
            </w:r>
            <w:r>
              <w:rPr>
                <w:rFonts w:hint="eastAsia" w:cs="Times New Roman"/>
                <w:bCs/>
                <w:sz w:val="24"/>
                <w:lang w:val="en-US" w:eastAsia="zh-CN"/>
              </w:rPr>
              <w:t>2.117</w:t>
            </w:r>
            <w:r>
              <w:rPr>
                <w:rFonts w:hint="eastAsia" w:cs="Times New Roman"/>
                <w:bCs/>
                <w:sz w:val="24"/>
                <w:lang w:eastAsia="zh-CN"/>
              </w:rPr>
              <w:t>t</w:t>
            </w:r>
            <w:r>
              <w:rPr>
                <w:rFonts w:hint="default" w:ascii="Times New Roman" w:hAnsi="Times New Roman" w:cs="Times New Roman"/>
                <w:bCs/>
                <w:sz w:val="24"/>
              </w:rPr>
              <w:t>/a，</w:t>
            </w:r>
            <w:r>
              <w:rPr>
                <w:rFonts w:hint="eastAsia" w:cs="Times New Roman"/>
                <w:bCs/>
                <w:sz w:val="24"/>
                <w:lang w:val="en-US" w:eastAsia="zh-CN"/>
              </w:rPr>
              <w:t>0.2637</w:t>
            </w:r>
            <w:r>
              <w:rPr>
                <w:rFonts w:hint="default" w:ascii="Times New Roman" w:hAnsi="Times New Roman" w:cs="Times New Roman"/>
                <w:bCs/>
                <w:sz w:val="24"/>
              </w:rPr>
              <w:t>kg/h，排放浓度为，</w:t>
            </w:r>
            <w:r>
              <w:rPr>
                <w:rFonts w:hint="eastAsia" w:cs="Times New Roman"/>
                <w:bCs/>
                <w:sz w:val="24"/>
                <w:lang w:val="en-US" w:eastAsia="zh-CN"/>
              </w:rPr>
              <w:t>19.6</w:t>
            </w:r>
            <w:r>
              <w:rPr>
                <w:rFonts w:hint="default" w:ascii="Times New Roman" w:hAnsi="Times New Roman" w:cs="Times New Roman"/>
                <w:bCs/>
                <w:sz w:val="24"/>
              </w:rPr>
              <w:t>mg/m</w:t>
            </w:r>
            <w:r>
              <w:rPr>
                <w:rFonts w:hint="default" w:ascii="Times New Roman" w:hAnsi="Times New Roman" w:cs="Times New Roman"/>
                <w:bCs/>
                <w:sz w:val="24"/>
                <w:vertAlign w:val="superscript"/>
              </w:rPr>
              <w:t>3</w:t>
            </w:r>
            <w:r>
              <w:rPr>
                <w:rFonts w:hint="default" w:ascii="Times New Roman" w:hAnsi="Times New Roman" w:cs="Times New Roman"/>
                <w:bCs/>
                <w:sz w:val="24"/>
              </w:rPr>
              <w:t>；</w:t>
            </w:r>
          </w:p>
          <w:p>
            <w:pPr>
              <w:adjustRightInd w:val="0"/>
              <w:snapToGrid w:val="0"/>
              <w:spacing w:line="360" w:lineRule="auto"/>
              <w:ind w:firstLine="480" w:firstLineChars="200"/>
              <w:rPr>
                <w:rFonts w:hint="default" w:ascii="Times New Roman" w:hAnsi="Times New Roman" w:cs="Times New Roman"/>
                <w:bCs/>
                <w:sz w:val="24"/>
              </w:rPr>
            </w:pPr>
            <w:r>
              <w:rPr>
                <w:rFonts w:hint="eastAsia" w:cs="Times New Roman"/>
                <w:bCs/>
                <w:sz w:val="24"/>
                <w:lang w:val="en-US" w:eastAsia="zh-CN"/>
              </w:rPr>
              <w:t>“石灰石</w:t>
            </w:r>
            <w:r>
              <w:rPr>
                <w:rFonts w:hint="default" w:ascii="Times New Roman" w:hAnsi="Times New Roman" w:cs="Times New Roman"/>
                <w:bCs/>
                <w:sz w:val="24"/>
                <w:lang w:val="en-US" w:eastAsia="zh-CN"/>
              </w:rPr>
              <w:t>干法脱硫</w:t>
            </w:r>
            <w:r>
              <w:rPr>
                <w:rFonts w:hint="eastAsia" w:cs="Times New Roman"/>
                <w:bCs/>
                <w:sz w:val="24"/>
                <w:lang w:val="en-US" w:eastAsia="zh-CN"/>
              </w:rPr>
              <w:t>法”</w:t>
            </w:r>
            <w:r>
              <w:rPr>
                <w:rFonts w:hint="default" w:ascii="Times New Roman" w:hAnsi="Times New Roman" w:cs="Times New Roman"/>
                <w:bCs/>
                <w:sz w:val="24"/>
              </w:rPr>
              <w:t>二氧化硫</w:t>
            </w:r>
            <w:r>
              <w:rPr>
                <w:rFonts w:hint="eastAsia" w:cs="Times New Roman"/>
                <w:bCs/>
                <w:sz w:val="24"/>
                <w:lang w:val="en-US" w:eastAsia="zh-CN"/>
              </w:rPr>
              <w:t>去除率为70%，则</w:t>
            </w:r>
            <w:r>
              <w:rPr>
                <w:rFonts w:hint="default" w:ascii="Times New Roman" w:hAnsi="Times New Roman" w:cs="Times New Roman"/>
                <w:bCs/>
                <w:sz w:val="24"/>
                <w:lang w:val="en-US" w:eastAsia="zh-CN"/>
              </w:rPr>
              <w:t>处理后</w:t>
            </w:r>
            <w:r>
              <w:rPr>
                <w:rFonts w:hint="default" w:ascii="Times New Roman" w:hAnsi="Times New Roman" w:cs="Times New Roman"/>
                <w:bCs/>
                <w:sz w:val="24"/>
              </w:rPr>
              <w:t>二氧化硫排放量为</w:t>
            </w:r>
            <w:r>
              <w:rPr>
                <w:rFonts w:hint="eastAsia" w:cs="Times New Roman"/>
                <w:bCs/>
                <w:sz w:val="24"/>
                <w:lang w:eastAsia="zh-CN"/>
              </w:rPr>
              <w:t>0.3</w:t>
            </w:r>
            <w:r>
              <w:rPr>
                <w:rFonts w:hint="eastAsia" w:cs="Times New Roman"/>
                <w:bCs/>
                <w:sz w:val="24"/>
                <w:lang w:val="en-US" w:eastAsia="zh-CN"/>
              </w:rPr>
              <w:t>7</w:t>
            </w:r>
            <w:r>
              <w:rPr>
                <w:rFonts w:hint="default" w:ascii="Times New Roman" w:hAnsi="Times New Roman" w:cs="Times New Roman"/>
                <w:bCs/>
                <w:sz w:val="24"/>
              </w:rPr>
              <w:t>t/a，0.0</w:t>
            </w:r>
            <w:r>
              <w:rPr>
                <w:rFonts w:hint="default" w:ascii="Times New Roman" w:hAnsi="Times New Roman" w:cs="Times New Roman"/>
                <w:bCs/>
                <w:sz w:val="24"/>
                <w:lang w:val="en-US" w:eastAsia="zh-CN"/>
              </w:rPr>
              <w:t>4</w:t>
            </w:r>
            <w:r>
              <w:rPr>
                <w:rFonts w:hint="eastAsia" w:cs="Times New Roman"/>
                <w:bCs/>
                <w:sz w:val="24"/>
                <w:lang w:val="en-US" w:eastAsia="zh-CN"/>
              </w:rPr>
              <w:t>6</w:t>
            </w:r>
            <w:r>
              <w:rPr>
                <w:rFonts w:hint="default" w:ascii="Times New Roman" w:hAnsi="Times New Roman" w:cs="Times New Roman"/>
                <w:bCs/>
                <w:sz w:val="24"/>
                <w:lang w:val="en-US" w:eastAsia="zh-CN"/>
              </w:rPr>
              <w:t>7</w:t>
            </w:r>
            <w:r>
              <w:rPr>
                <w:rFonts w:hint="default" w:ascii="Times New Roman" w:hAnsi="Times New Roman" w:cs="Times New Roman"/>
                <w:bCs/>
                <w:sz w:val="24"/>
              </w:rPr>
              <w:t>kg/h，排放浓度为</w:t>
            </w:r>
            <w:r>
              <w:rPr>
                <w:rFonts w:hint="default" w:ascii="Times New Roman" w:hAnsi="Times New Roman" w:cs="Times New Roman"/>
                <w:bCs/>
                <w:sz w:val="24"/>
                <w:lang w:val="en-US" w:eastAsia="zh-CN"/>
              </w:rPr>
              <w:t>3.</w:t>
            </w:r>
            <w:r>
              <w:rPr>
                <w:rFonts w:hint="eastAsia" w:cs="Times New Roman"/>
                <w:bCs/>
                <w:sz w:val="24"/>
                <w:lang w:val="en-US" w:eastAsia="zh-CN"/>
              </w:rPr>
              <w:t>39</w:t>
            </w:r>
            <w:r>
              <w:rPr>
                <w:rFonts w:hint="default" w:ascii="Times New Roman" w:hAnsi="Times New Roman" w:cs="Times New Roman"/>
                <w:bCs/>
                <w:sz w:val="24"/>
              </w:rPr>
              <w:t>mg/m</w:t>
            </w:r>
            <w:r>
              <w:rPr>
                <w:rFonts w:hint="default" w:ascii="Times New Roman" w:hAnsi="Times New Roman" w:cs="Times New Roman"/>
                <w:bCs/>
                <w:sz w:val="24"/>
                <w:vertAlign w:val="superscript"/>
              </w:rPr>
              <w:t>3</w:t>
            </w:r>
            <w:r>
              <w:rPr>
                <w:rFonts w:hint="default" w:ascii="Times New Roman" w:hAnsi="Times New Roman" w:cs="Times New Roman"/>
                <w:bCs/>
                <w:sz w:val="24"/>
              </w:rPr>
              <w:t>；</w:t>
            </w:r>
          </w:p>
          <w:p>
            <w:pPr>
              <w:adjustRightInd w:val="0"/>
              <w:snapToGrid w:val="0"/>
              <w:spacing w:line="360" w:lineRule="auto"/>
              <w:ind w:firstLine="480" w:firstLineChars="200"/>
              <w:rPr>
                <w:rFonts w:hint="default" w:ascii="Times New Roman" w:hAnsi="Times New Roman" w:cs="Times New Roman"/>
                <w:bCs/>
                <w:sz w:val="24"/>
                <w:lang w:eastAsia="zh-CN"/>
              </w:rPr>
            </w:pPr>
            <w:r>
              <w:rPr>
                <w:rFonts w:hint="eastAsia" w:cs="Times New Roman"/>
                <w:bCs/>
                <w:sz w:val="24"/>
                <w:lang w:val="en-US" w:eastAsia="zh-CN"/>
              </w:rPr>
              <w:t>本项目SCR去除效率按70%计算。则处理后</w:t>
            </w:r>
            <w:r>
              <w:rPr>
                <w:rFonts w:hint="default" w:ascii="Times New Roman" w:hAnsi="Times New Roman" w:cs="Times New Roman"/>
                <w:bCs/>
                <w:sz w:val="24"/>
                <w:lang w:val="en-US" w:eastAsia="zh-CN"/>
              </w:rPr>
              <w:t>氮氧化物排放</w:t>
            </w:r>
            <w:r>
              <w:rPr>
                <w:rFonts w:hint="default" w:ascii="Times New Roman" w:hAnsi="Times New Roman" w:cs="Times New Roman"/>
                <w:bCs/>
                <w:sz w:val="24"/>
              </w:rPr>
              <w:t>量</w:t>
            </w:r>
            <w:r>
              <w:rPr>
                <w:rFonts w:hint="default" w:ascii="Times New Roman" w:hAnsi="Times New Roman" w:cs="Times New Roman"/>
                <w:bCs/>
                <w:sz w:val="24"/>
                <w:lang w:val="en-US" w:eastAsia="zh-CN"/>
              </w:rPr>
              <w:t>为</w:t>
            </w:r>
            <w:r>
              <w:rPr>
                <w:rFonts w:hint="eastAsia" w:cs="Times New Roman"/>
                <w:bCs/>
                <w:sz w:val="24"/>
                <w:lang w:val="en-US" w:eastAsia="zh-CN"/>
              </w:rPr>
              <w:t>1.013</w:t>
            </w:r>
            <w:r>
              <w:rPr>
                <w:rFonts w:hint="default" w:ascii="Times New Roman" w:hAnsi="Times New Roman" w:cs="Times New Roman"/>
                <w:bCs/>
                <w:sz w:val="24"/>
              </w:rPr>
              <w:t>t/a，</w:t>
            </w:r>
            <w:r>
              <w:rPr>
                <w:rFonts w:hint="default" w:ascii="Times New Roman" w:hAnsi="Times New Roman" w:cs="Times New Roman"/>
                <w:bCs/>
                <w:sz w:val="24"/>
                <w:lang w:val="en-US" w:eastAsia="zh-CN"/>
              </w:rPr>
              <w:t>0</w:t>
            </w:r>
            <w:r>
              <w:rPr>
                <w:rFonts w:hint="eastAsia" w:cs="Times New Roman"/>
                <w:bCs/>
                <w:sz w:val="24"/>
                <w:lang w:val="en-US" w:eastAsia="zh-CN"/>
              </w:rPr>
              <w:t>.128</w:t>
            </w:r>
            <w:r>
              <w:rPr>
                <w:rFonts w:hint="default" w:ascii="Times New Roman" w:hAnsi="Times New Roman" w:cs="Times New Roman"/>
                <w:bCs/>
                <w:sz w:val="24"/>
              </w:rPr>
              <w:t>kg/h，排放浓度为</w:t>
            </w:r>
            <w:r>
              <w:rPr>
                <w:rFonts w:hint="eastAsia" w:cs="Times New Roman"/>
                <w:bCs/>
                <w:sz w:val="24"/>
                <w:lang w:val="en-US" w:eastAsia="zh-CN"/>
              </w:rPr>
              <w:t>9.28</w:t>
            </w:r>
            <w:r>
              <w:rPr>
                <w:rFonts w:hint="default" w:ascii="Times New Roman" w:hAnsi="Times New Roman" w:cs="Times New Roman"/>
                <w:bCs/>
                <w:sz w:val="24"/>
              </w:rPr>
              <w:t>mg/m</w:t>
            </w:r>
            <w:r>
              <w:rPr>
                <w:rFonts w:hint="default" w:ascii="Times New Roman" w:hAnsi="Times New Roman" w:cs="Times New Roman"/>
                <w:bCs/>
                <w:sz w:val="24"/>
                <w:vertAlign w:val="superscript"/>
              </w:rPr>
              <w:t>3</w:t>
            </w:r>
            <w:r>
              <w:rPr>
                <w:rFonts w:hint="default" w:ascii="Times New Roman" w:hAnsi="Times New Roman" w:cs="Times New Roman"/>
                <w:bCs/>
                <w:sz w:val="24"/>
                <w:lang w:eastAsia="zh-CN"/>
              </w:rPr>
              <w:t>。</w:t>
            </w:r>
          </w:p>
          <w:p>
            <w:pPr>
              <w:adjustRightInd w:val="0"/>
              <w:snapToGrid w:val="0"/>
              <w:spacing w:line="360" w:lineRule="auto"/>
              <w:ind w:firstLine="480" w:firstLineChars="200"/>
              <w:rPr>
                <w:rFonts w:hint="default" w:ascii="Times New Roman" w:hAnsi="Times New Roman" w:cs="Times New Roman"/>
                <w:bCs/>
                <w:sz w:val="24"/>
              </w:rPr>
            </w:pPr>
            <w:r>
              <w:rPr>
                <w:rFonts w:hint="eastAsia" w:cs="Times New Roman"/>
                <w:bCs/>
                <w:sz w:val="24"/>
                <w:lang w:val="en-US" w:eastAsia="zh-CN"/>
              </w:rPr>
              <w:t>综上项目产生的污染物</w:t>
            </w:r>
            <w:r>
              <w:rPr>
                <w:rFonts w:hint="default" w:ascii="Times New Roman" w:hAnsi="Times New Roman" w:cs="Times New Roman"/>
                <w:bCs/>
                <w:sz w:val="24"/>
              </w:rPr>
              <w:t>满足《锅炉大气污染物排放标准》GB13271-2014表2中的排放浓度限值</w:t>
            </w:r>
            <w:r>
              <w:rPr>
                <w:rFonts w:hint="default" w:ascii="Times New Roman" w:hAnsi="Times New Roman" w:cs="Times New Roman"/>
                <w:bCs/>
                <w:sz w:val="24"/>
                <w:lang w:eastAsia="zh-CN"/>
              </w:rPr>
              <w:t>（</w:t>
            </w:r>
            <w:r>
              <w:rPr>
                <w:rFonts w:hint="default" w:ascii="Times New Roman" w:hAnsi="Times New Roman" w:cs="Times New Roman"/>
                <w:bCs/>
                <w:sz w:val="24"/>
              </w:rPr>
              <w:t>颗粒物：</w:t>
            </w:r>
            <w:r>
              <w:rPr>
                <w:rFonts w:hint="default" w:ascii="Times New Roman" w:hAnsi="Times New Roman" w:cs="Times New Roman"/>
                <w:bCs/>
                <w:sz w:val="24"/>
                <w:lang w:val="en-US" w:eastAsia="zh-CN"/>
              </w:rPr>
              <w:t>2</w:t>
            </w:r>
            <w:r>
              <w:rPr>
                <w:rFonts w:hint="default" w:ascii="Times New Roman" w:hAnsi="Times New Roman" w:cs="Times New Roman"/>
                <w:bCs/>
                <w:sz w:val="24"/>
              </w:rPr>
              <w:t>0mg/m</w:t>
            </w:r>
            <w:r>
              <w:rPr>
                <w:rFonts w:hint="default" w:ascii="Times New Roman" w:hAnsi="Times New Roman" w:cs="Times New Roman"/>
                <w:bCs/>
                <w:sz w:val="24"/>
                <w:vertAlign w:val="superscript"/>
              </w:rPr>
              <w:t>3</w:t>
            </w:r>
            <w:r>
              <w:rPr>
                <w:rFonts w:hint="default" w:ascii="Times New Roman" w:hAnsi="Times New Roman" w:cs="Times New Roman"/>
                <w:bCs/>
                <w:sz w:val="24"/>
              </w:rPr>
              <w:t>；二氧化硫：</w:t>
            </w:r>
            <w:r>
              <w:rPr>
                <w:rFonts w:hint="default" w:ascii="Times New Roman" w:hAnsi="Times New Roman" w:cs="Times New Roman"/>
                <w:bCs/>
                <w:sz w:val="24"/>
                <w:lang w:val="en-US" w:eastAsia="zh-CN"/>
              </w:rPr>
              <w:t>5</w:t>
            </w:r>
            <w:r>
              <w:rPr>
                <w:rFonts w:hint="default" w:ascii="Times New Roman" w:hAnsi="Times New Roman" w:cs="Times New Roman"/>
                <w:bCs/>
                <w:sz w:val="24"/>
              </w:rPr>
              <w:t>0mg/m</w:t>
            </w:r>
            <w:r>
              <w:rPr>
                <w:rFonts w:hint="default" w:ascii="Times New Roman" w:hAnsi="Times New Roman" w:cs="Times New Roman"/>
                <w:bCs/>
                <w:sz w:val="24"/>
                <w:vertAlign w:val="superscript"/>
              </w:rPr>
              <w:t>3</w:t>
            </w:r>
            <w:r>
              <w:rPr>
                <w:rFonts w:hint="default" w:ascii="Times New Roman" w:hAnsi="Times New Roman" w:cs="Times New Roman"/>
                <w:bCs/>
                <w:sz w:val="24"/>
              </w:rPr>
              <w:t>；氮氧化物：</w:t>
            </w:r>
            <w:r>
              <w:rPr>
                <w:rFonts w:hint="eastAsia" w:cs="Times New Roman"/>
                <w:bCs/>
                <w:sz w:val="24"/>
                <w:lang w:val="en-US" w:eastAsia="zh-CN"/>
              </w:rPr>
              <w:t>150</w:t>
            </w:r>
            <w:r>
              <w:rPr>
                <w:rFonts w:hint="default" w:ascii="Times New Roman" w:hAnsi="Times New Roman" w:cs="Times New Roman"/>
                <w:bCs/>
                <w:sz w:val="24"/>
              </w:rPr>
              <w:t>mg/m</w:t>
            </w:r>
            <w:r>
              <w:rPr>
                <w:rFonts w:hint="default" w:ascii="Times New Roman" w:hAnsi="Times New Roman" w:cs="Times New Roman"/>
                <w:bCs/>
                <w:sz w:val="24"/>
                <w:vertAlign w:val="superscript"/>
              </w:rPr>
              <w:t>3</w:t>
            </w:r>
            <w:r>
              <w:rPr>
                <w:rFonts w:hint="default" w:ascii="Times New Roman" w:hAnsi="Times New Roman" w:cs="Times New Roman"/>
                <w:bCs/>
                <w:sz w:val="24"/>
                <w:vertAlign w:val="baseline"/>
                <w:lang w:eastAsia="zh-CN"/>
              </w:rPr>
              <w:t>）</w:t>
            </w:r>
            <w:r>
              <w:rPr>
                <w:rFonts w:hint="default" w:ascii="Times New Roman" w:hAnsi="Times New Roman" w:cs="Times New Roman"/>
                <w:bCs/>
                <w:sz w:val="24"/>
              </w:rPr>
              <w:t>，项目污染物排放不会对大气重点管控区造成影响。</w:t>
            </w:r>
          </w:p>
          <w:p>
            <w:pPr>
              <w:adjustRightInd w:val="0"/>
              <w:snapToGrid w:val="0"/>
              <w:spacing w:line="360" w:lineRule="auto"/>
              <w:ind w:firstLine="480" w:firstLineChars="200"/>
              <w:rPr>
                <w:rFonts w:hint="default" w:ascii="Times New Roman" w:hAnsi="Times New Roman" w:eastAsia="宋体" w:cs="Times New Roman"/>
                <w:bCs/>
                <w:color w:val="FF0000"/>
                <w:sz w:val="24"/>
                <w:lang w:eastAsia="zh-CN"/>
              </w:rPr>
            </w:pPr>
            <w:r>
              <w:rPr>
                <w:rFonts w:hint="default" w:ascii="Times New Roman" w:hAnsi="Times New Roman" w:cs="Times New Roman"/>
                <w:bCs/>
                <w:sz w:val="24"/>
                <w:lang w:eastAsia="zh-CN"/>
              </w:rPr>
              <w:t>项目废气污染物源强核算结果</w:t>
            </w:r>
            <w:r>
              <w:rPr>
                <w:rFonts w:hint="default" w:ascii="Times New Roman" w:hAnsi="Times New Roman" w:cs="Times New Roman"/>
                <w:bCs/>
                <w:sz w:val="24"/>
                <w:lang w:val="en-US" w:eastAsia="zh-CN"/>
              </w:rPr>
              <w:t>见表4-1</w:t>
            </w:r>
            <w:r>
              <w:rPr>
                <w:rFonts w:hint="default" w:ascii="Times New Roman" w:hAnsi="Times New Roman" w:cs="Times New Roman"/>
                <w:bCs/>
                <w:sz w:val="24"/>
                <w:lang w:eastAsia="zh-CN"/>
              </w:rPr>
              <w:t>。</w:t>
            </w:r>
          </w:p>
          <w:p>
            <w:pPr>
              <w:pStyle w:val="56"/>
              <w:kinsoku w:val="0"/>
              <w:overflowPunct w:val="0"/>
              <w:ind w:firstLine="422"/>
              <w:jc w:val="center"/>
              <w:rPr>
                <w:rFonts w:hint="default" w:ascii="Times New Roman" w:hAnsi="Times New Roman" w:cs="Times New Roman"/>
                <w:b/>
                <w:sz w:val="21"/>
                <w:szCs w:val="21"/>
                <w:lang w:eastAsia="zh-CN"/>
              </w:rPr>
            </w:pPr>
            <w:r>
              <w:rPr>
                <w:rFonts w:hint="default" w:ascii="Times New Roman" w:hAnsi="Times New Roman" w:cs="Times New Roman"/>
                <w:b/>
                <w:sz w:val="21"/>
                <w:szCs w:val="21"/>
                <w:lang w:eastAsia="zh-CN"/>
              </w:rPr>
              <w:t>表4-1 项目废气污染物源强核算结果及相关参数</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8"/>
              <w:gridCol w:w="573"/>
              <w:gridCol w:w="687"/>
              <w:gridCol w:w="832"/>
              <w:gridCol w:w="894"/>
              <w:gridCol w:w="524"/>
              <w:gridCol w:w="938"/>
              <w:gridCol w:w="655"/>
              <w:gridCol w:w="778"/>
              <w:gridCol w:w="992"/>
              <w:gridCol w:w="7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37" w:type="pct"/>
                  <w:vMerge w:val="restart"/>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r>
                    <w:rPr>
                      <w:rFonts w:hint="default" w:ascii="Times New Roman" w:hAnsi="Times New Roman" w:cs="Times New Roman"/>
                      <w:b/>
                      <w:szCs w:val="21"/>
                    </w:rPr>
                    <w:t>污染源</w:t>
                  </w:r>
                </w:p>
              </w:tc>
              <w:tc>
                <w:tcPr>
                  <w:tcW w:w="359" w:type="pct"/>
                  <w:vMerge w:val="restart"/>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r>
                    <w:rPr>
                      <w:rFonts w:hint="default" w:ascii="Times New Roman" w:hAnsi="Times New Roman" w:cs="Times New Roman"/>
                      <w:b/>
                      <w:szCs w:val="21"/>
                    </w:rPr>
                    <w:t>污染物</w:t>
                  </w:r>
                </w:p>
              </w:tc>
              <w:tc>
                <w:tcPr>
                  <w:tcW w:w="431" w:type="pct"/>
                  <w:vMerge w:val="restart"/>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r>
                    <w:rPr>
                      <w:rFonts w:hint="default" w:ascii="Times New Roman" w:hAnsi="Times New Roman" w:cs="Times New Roman"/>
                      <w:b/>
                      <w:szCs w:val="21"/>
                    </w:rPr>
                    <w:t>产生量（t/a）</w:t>
                  </w:r>
                </w:p>
              </w:tc>
              <w:tc>
                <w:tcPr>
                  <w:tcW w:w="1412" w:type="pct"/>
                  <w:gridSpan w:val="3"/>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r>
                    <w:rPr>
                      <w:rFonts w:hint="default" w:ascii="Times New Roman" w:hAnsi="Times New Roman" w:cs="Times New Roman"/>
                      <w:b/>
                      <w:szCs w:val="21"/>
                    </w:rPr>
                    <w:t>污染物产生</w:t>
                  </w:r>
                </w:p>
              </w:tc>
              <w:tc>
                <w:tcPr>
                  <w:tcW w:w="1000" w:type="pct"/>
                  <w:gridSpan w:val="2"/>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
                      <w:szCs w:val="21"/>
                      <w:lang w:val="en-US" w:eastAsia="zh-CN"/>
                    </w:rPr>
                  </w:pPr>
                  <w:r>
                    <w:rPr>
                      <w:rFonts w:hint="default" w:ascii="Times New Roman" w:hAnsi="Times New Roman" w:cs="Times New Roman"/>
                      <w:b/>
                      <w:szCs w:val="21"/>
                      <w:lang w:val="en-US" w:eastAsia="zh-CN"/>
                    </w:rPr>
                    <w:t>治理措施</w:t>
                  </w:r>
                </w:p>
              </w:tc>
              <w:tc>
                <w:tcPr>
                  <w:tcW w:w="1558" w:type="pct"/>
                  <w:gridSpan w:val="3"/>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r>
                    <w:rPr>
                      <w:rFonts w:hint="default" w:ascii="Times New Roman" w:hAnsi="Times New Roman" w:cs="Times New Roman"/>
                      <w:b/>
                      <w:szCs w:val="21"/>
                    </w:rPr>
                    <w:t>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37" w:type="pct"/>
                  <w:vMerge w:val="continue"/>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p>
              </w:tc>
              <w:tc>
                <w:tcPr>
                  <w:tcW w:w="359" w:type="pct"/>
                  <w:vMerge w:val="continue"/>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p>
              </w:tc>
              <w:tc>
                <w:tcPr>
                  <w:tcW w:w="431" w:type="pct"/>
                  <w:vMerge w:val="continue"/>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p>
              </w:tc>
              <w:tc>
                <w:tcPr>
                  <w:tcW w:w="522" w:type="pct"/>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r>
                    <w:rPr>
                      <w:rFonts w:hint="default" w:ascii="Times New Roman" w:hAnsi="Times New Roman" w:cs="Times New Roman"/>
                      <w:b/>
                      <w:szCs w:val="21"/>
                    </w:rPr>
                    <w:t>烟气量（m</w:t>
                  </w:r>
                  <w:r>
                    <w:rPr>
                      <w:rFonts w:hint="default" w:ascii="Times New Roman" w:hAnsi="Times New Roman" w:cs="Times New Roman"/>
                      <w:b/>
                      <w:szCs w:val="21"/>
                      <w:vertAlign w:val="superscript"/>
                    </w:rPr>
                    <w:t>3</w:t>
                  </w:r>
                  <w:r>
                    <w:rPr>
                      <w:rFonts w:hint="default" w:ascii="Times New Roman" w:hAnsi="Times New Roman" w:cs="Times New Roman"/>
                      <w:b/>
                      <w:szCs w:val="21"/>
                    </w:rPr>
                    <w:t>/h）</w:t>
                  </w:r>
                </w:p>
              </w:tc>
              <w:tc>
                <w:tcPr>
                  <w:tcW w:w="561" w:type="pct"/>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r>
                    <w:rPr>
                      <w:rFonts w:hint="default" w:ascii="Times New Roman" w:hAnsi="Times New Roman" w:cs="Times New Roman"/>
                      <w:b/>
                      <w:szCs w:val="21"/>
                    </w:rPr>
                    <w:t>浓度（mg/m</w:t>
                  </w:r>
                  <w:r>
                    <w:rPr>
                      <w:rFonts w:hint="default" w:ascii="Times New Roman" w:hAnsi="Times New Roman" w:cs="Times New Roman"/>
                      <w:b/>
                      <w:szCs w:val="21"/>
                      <w:vertAlign w:val="superscript"/>
                    </w:rPr>
                    <w:t>3</w:t>
                  </w:r>
                  <w:r>
                    <w:rPr>
                      <w:rFonts w:hint="default" w:ascii="Times New Roman" w:hAnsi="Times New Roman" w:cs="Times New Roman"/>
                      <w:b/>
                      <w:szCs w:val="21"/>
                    </w:rPr>
                    <w:t>）</w:t>
                  </w:r>
                </w:p>
              </w:tc>
              <w:tc>
                <w:tcPr>
                  <w:tcW w:w="329" w:type="pct"/>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r>
                    <w:rPr>
                      <w:rFonts w:hint="default" w:ascii="Times New Roman" w:hAnsi="Times New Roman" w:cs="Times New Roman"/>
                      <w:b/>
                      <w:szCs w:val="21"/>
                    </w:rPr>
                    <w:t>速率</w:t>
                  </w:r>
                </w:p>
                <w:p>
                  <w:pPr>
                    <w:topLinePunct/>
                    <w:adjustRightInd w:val="0"/>
                    <w:snapToGrid w:val="0"/>
                    <w:spacing w:line="0" w:lineRule="atLeast"/>
                    <w:jc w:val="center"/>
                    <w:rPr>
                      <w:rFonts w:hint="default" w:ascii="Times New Roman" w:hAnsi="Times New Roman" w:cs="Times New Roman"/>
                      <w:b/>
                      <w:szCs w:val="21"/>
                    </w:rPr>
                  </w:pPr>
                  <w:r>
                    <w:rPr>
                      <w:rFonts w:hint="default" w:ascii="Times New Roman" w:hAnsi="Times New Roman" w:cs="Times New Roman"/>
                      <w:b/>
                      <w:szCs w:val="21"/>
                    </w:rPr>
                    <w:t>kg/h</w:t>
                  </w:r>
                </w:p>
              </w:tc>
              <w:tc>
                <w:tcPr>
                  <w:tcW w:w="588"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
                      <w:szCs w:val="21"/>
                      <w:lang w:val="en-US" w:eastAsia="zh-CN"/>
                    </w:rPr>
                  </w:pPr>
                  <w:r>
                    <w:rPr>
                      <w:rFonts w:hint="default" w:ascii="Times New Roman" w:hAnsi="Times New Roman" w:cs="Times New Roman"/>
                      <w:b/>
                      <w:szCs w:val="21"/>
                      <w:lang w:val="en-US" w:eastAsia="zh-CN"/>
                    </w:rPr>
                    <w:t>工艺</w:t>
                  </w:r>
                </w:p>
              </w:tc>
              <w:tc>
                <w:tcPr>
                  <w:tcW w:w="411"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
                      <w:szCs w:val="21"/>
                      <w:lang w:val="en-US" w:eastAsia="zh-CN"/>
                    </w:rPr>
                  </w:pPr>
                  <w:r>
                    <w:rPr>
                      <w:rFonts w:hint="default" w:ascii="Times New Roman" w:hAnsi="Times New Roman" w:cs="Times New Roman"/>
                      <w:b/>
                      <w:szCs w:val="21"/>
                      <w:lang w:val="en-US" w:eastAsia="zh-CN"/>
                    </w:rPr>
                    <w:t>效率（%）</w:t>
                  </w:r>
                </w:p>
              </w:tc>
              <w:tc>
                <w:tcPr>
                  <w:tcW w:w="488" w:type="pct"/>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r>
                    <w:rPr>
                      <w:rFonts w:hint="default" w:ascii="Times New Roman" w:hAnsi="Times New Roman" w:cs="Times New Roman"/>
                      <w:b/>
                      <w:szCs w:val="21"/>
                    </w:rPr>
                    <w:t>烟气量（m</w:t>
                  </w:r>
                  <w:r>
                    <w:rPr>
                      <w:rFonts w:hint="default" w:ascii="Times New Roman" w:hAnsi="Times New Roman" w:cs="Times New Roman"/>
                      <w:b/>
                      <w:szCs w:val="21"/>
                      <w:vertAlign w:val="superscript"/>
                    </w:rPr>
                    <w:t>3</w:t>
                  </w:r>
                  <w:r>
                    <w:rPr>
                      <w:rFonts w:hint="default" w:ascii="Times New Roman" w:hAnsi="Times New Roman" w:cs="Times New Roman"/>
                      <w:b/>
                      <w:szCs w:val="21"/>
                    </w:rPr>
                    <w:t>/h）</w:t>
                  </w:r>
                </w:p>
              </w:tc>
              <w:tc>
                <w:tcPr>
                  <w:tcW w:w="622" w:type="pct"/>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r>
                    <w:rPr>
                      <w:rFonts w:hint="default" w:ascii="Times New Roman" w:hAnsi="Times New Roman" w:cs="Times New Roman"/>
                      <w:b/>
                      <w:szCs w:val="21"/>
                    </w:rPr>
                    <w:t>浓度（mg/m</w:t>
                  </w:r>
                  <w:r>
                    <w:rPr>
                      <w:rFonts w:hint="default" w:ascii="Times New Roman" w:hAnsi="Times New Roman" w:cs="Times New Roman"/>
                      <w:b/>
                      <w:szCs w:val="21"/>
                      <w:vertAlign w:val="superscript"/>
                    </w:rPr>
                    <w:t>3</w:t>
                  </w:r>
                  <w:r>
                    <w:rPr>
                      <w:rFonts w:hint="default" w:ascii="Times New Roman" w:hAnsi="Times New Roman" w:cs="Times New Roman"/>
                      <w:b/>
                      <w:szCs w:val="21"/>
                    </w:rPr>
                    <w:t>）</w:t>
                  </w:r>
                </w:p>
              </w:tc>
              <w:tc>
                <w:tcPr>
                  <w:tcW w:w="447" w:type="pct"/>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r>
                    <w:rPr>
                      <w:rFonts w:hint="default" w:ascii="Times New Roman" w:hAnsi="Times New Roman" w:cs="Times New Roman"/>
                      <w:b/>
                      <w:szCs w:val="21"/>
                    </w:rPr>
                    <w:t>速率</w:t>
                  </w:r>
                </w:p>
                <w:p>
                  <w:pPr>
                    <w:topLinePunct/>
                    <w:adjustRightInd w:val="0"/>
                    <w:snapToGrid w:val="0"/>
                    <w:spacing w:line="0" w:lineRule="atLeast"/>
                    <w:jc w:val="center"/>
                    <w:rPr>
                      <w:rFonts w:hint="default" w:ascii="Times New Roman" w:hAnsi="Times New Roman" w:cs="Times New Roman"/>
                      <w:b/>
                      <w:szCs w:val="21"/>
                    </w:rPr>
                  </w:pPr>
                  <w:r>
                    <w:rPr>
                      <w:rFonts w:hint="default" w:ascii="Times New Roman" w:hAnsi="Times New Roman" w:cs="Times New Roman"/>
                      <w:b/>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7" w:type="pct"/>
                  <w:vMerge w:val="restart"/>
                  <w:tcBorders>
                    <w:tl2br w:val="nil"/>
                    <w:tr2bl w:val="nil"/>
                  </w:tcBorders>
                  <w:vAlign w:val="center"/>
                </w:tcPr>
                <w:p>
                  <w:pPr>
                    <w:topLinePunct/>
                    <w:adjustRightInd w:val="0"/>
                    <w:snapToGrid w:val="0"/>
                    <w:spacing w:line="0" w:lineRule="atLeast"/>
                    <w:jc w:val="center"/>
                    <w:rPr>
                      <w:rFonts w:hint="default" w:ascii="Times New Roman" w:hAnsi="Times New Roman" w:cs="Times New Roman"/>
                      <w:bCs/>
                      <w:szCs w:val="21"/>
                    </w:rPr>
                  </w:pPr>
                  <w:r>
                    <w:rPr>
                      <w:rFonts w:hint="default" w:ascii="Times New Roman" w:hAnsi="Times New Roman" w:cs="Times New Roman"/>
                      <w:bCs/>
                      <w:szCs w:val="21"/>
                    </w:rPr>
                    <w:t>锅炉</w:t>
                  </w:r>
                </w:p>
              </w:tc>
              <w:tc>
                <w:tcPr>
                  <w:tcW w:w="359" w:type="pct"/>
                  <w:tcBorders>
                    <w:tl2br w:val="nil"/>
                    <w:tr2bl w:val="nil"/>
                  </w:tcBorders>
                  <w:vAlign w:val="center"/>
                </w:tcPr>
                <w:p>
                  <w:pPr>
                    <w:topLinePunct/>
                    <w:adjustRightInd w:val="0"/>
                    <w:snapToGrid w:val="0"/>
                    <w:spacing w:line="0" w:lineRule="atLeast"/>
                    <w:jc w:val="center"/>
                    <w:rPr>
                      <w:rFonts w:hint="default" w:ascii="Times New Roman" w:hAnsi="Times New Roman" w:cs="Times New Roman"/>
                      <w:bCs/>
                      <w:szCs w:val="21"/>
                    </w:rPr>
                  </w:pPr>
                  <w:r>
                    <w:rPr>
                      <w:rFonts w:hint="default" w:ascii="Times New Roman" w:hAnsi="Times New Roman" w:cs="Times New Roman"/>
                      <w:bCs/>
                      <w:szCs w:val="21"/>
                    </w:rPr>
                    <w:t>颗粒物</w:t>
                  </w:r>
                </w:p>
              </w:tc>
              <w:tc>
                <w:tcPr>
                  <w:tcW w:w="431"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132.31</w:t>
                  </w:r>
                </w:p>
              </w:tc>
              <w:tc>
                <w:tcPr>
                  <w:tcW w:w="522" w:type="pct"/>
                  <w:vMerge w:val="restart"/>
                  <w:tcBorders>
                    <w:tl2br w:val="nil"/>
                    <w:tr2bl w:val="nil"/>
                  </w:tcBorders>
                  <w:vAlign w:val="center"/>
                </w:tcPr>
                <w:p>
                  <w:pPr>
                    <w:topLinePunct/>
                    <w:adjustRightInd w:val="0"/>
                    <w:snapToGrid w:val="0"/>
                    <w:spacing w:line="0" w:lineRule="atLeast"/>
                    <w:jc w:val="center"/>
                    <w:rPr>
                      <w:rFonts w:hint="default" w:ascii="Times New Roman" w:hAnsi="Times New Roman" w:cs="Times New Roman"/>
                      <w:bCs/>
                      <w:szCs w:val="21"/>
                    </w:rPr>
                  </w:pPr>
                  <w:r>
                    <w:rPr>
                      <w:rFonts w:hint="eastAsia" w:cs="Times New Roman" w:eastAsiaTheme="minorEastAsia"/>
                      <w:bCs/>
                      <w:szCs w:val="21"/>
                      <w:lang w:eastAsia="zh-CN"/>
                    </w:rPr>
                    <w:t>13777.33</w:t>
                  </w:r>
                </w:p>
              </w:tc>
              <w:tc>
                <w:tcPr>
                  <w:tcW w:w="561"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1212.58</w:t>
                  </w:r>
                </w:p>
              </w:tc>
              <w:tc>
                <w:tcPr>
                  <w:tcW w:w="329"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16.7</w:t>
                  </w:r>
                </w:p>
              </w:tc>
              <w:tc>
                <w:tcPr>
                  <w:tcW w:w="588" w:type="pct"/>
                  <w:vMerge w:val="restar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SCR脱硝+消石灰干法脱硫+旋风布袋除尘器</w:t>
                  </w:r>
                </w:p>
              </w:tc>
              <w:tc>
                <w:tcPr>
                  <w:tcW w:w="411"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98.4</w:t>
                  </w:r>
                </w:p>
              </w:tc>
              <w:tc>
                <w:tcPr>
                  <w:tcW w:w="488" w:type="pct"/>
                  <w:vMerge w:val="restart"/>
                  <w:tcBorders>
                    <w:tl2br w:val="nil"/>
                    <w:tr2bl w:val="nil"/>
                  </w:tcBorders>
                  <w:vAlign w:val="center"/>
                </w:tcPr>
                <w:p>
                  <w:pPr>
                    <w:topLinePunct/>
                    <w:adjustRightInd w:val="0"/>
                    <w:snapToGrid w:val="0"/>
                    <w:spacing w:line="0" w:lineRule="atLeast"/>
                    <w:jc w:val="center"/>
                    <w:rPr>
                      <w:rFonts w:hint="eastAsia" w:ascii="Times New Roman" w:hAnsi="Times New Roman" w:cs="Times New Roman" w:eastAsiaTheme="minorEastAsia"/>
                      <w:bCs/>
                      <w:szCs w:val="21"/>
                      <w:lang w:eastAsia="zh-CN"/>
                    </w:rPr>
                  </w:pPr>
                  <w:r>
                    <w:rPr>
                      <w:rFonts w:hint="eastAsia" w:cs="Times New Roman" w:eastAsiaTheme="minorEastAsia"/>
                      <w:bCs/>
                      <w:szCs w:val="21"/>
                      <w:lang w:eastAsia="zh-CN"/>
                    </w:rPr>
                    <w:t>13777.33</w:t>
                  </w:r>
                </w:p>
              </w:tc>
              <w:tc>
                <w:tcPr>
                  <w:tcW w:w="622"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19.6</w:t>
                  </w:r>
                </w:p>
              </w:tc>
              <w:tc>
                <w:tcPr>
                  <w:tcW w:w="447"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0.2637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37" w:type="pct"/>
                  <w:vMerge w:val="continue"/>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p>
              </w:tc>
              <w:tc>
                <w:tcPr>
                  <w:tcW w:w="359" w:type="pct"/>
                  <w:tcBorders>
                    <w:tl2br w:val="nil"/>
                    <w:tr2bl w:val="nil"/>
                  </w:tcBorders>
                  <w:vAlign w:val="center"/>
                </w:tcPr>
                <w:p>
                  <w:pPr>
                    <w:topLinePunct/>
                    <w:adjustRightInd w:val="0"/>
                    <w:snapToGrid w:val="0"/>
                    <w:spacing w:line="0" w:lineRule="atLeast"/>
                    <w:jc w:val="center"/>
                    <w:rPr>
                      <w:rFonts w:hint="default" w:ascii="Times New Roman" w:hAnsi="Times New Roman" w:cs="Times New Roman"/>
                      <w:bCs/>
                      <w:szCs w:val="21"/>
                    </w:rPr>
                  </w:pPr>
                  <w:r>
                    <w:rPr>
                      <w:rFonts w:hint="default" w:ascii="Times New Roman" w:hAnsi="Times New Roman" w:cs="Times New Roman"/>
                      <w:bCs/>
                      <w:szCs w:val="21"/>
                    </w:rPr>
                    <w:t>SO</w:t>
                  </w:r>
                  <w:r>
                    <w:rPr>
                      <w:rFonts w:hint="default" w:ascii="Times New Roman" w:hAnsi="Times New Roman" w:cs="Times New Roman"/>
                      <w:bCs/>
                      <w:szCs w:val="21"/>
                      <w:vertAlign w:val="subscript"/>
                    </w:rPr>
                    <w:t>2</w:t>
                  </w:r>
                </w:p>
              </w:tc>
              <w:tc>
                <w:tcPr>
                  <w:tcW w:w="431"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1.236</w:t>
                  </w:r>
                </w:p>
              </w:tc>
              <w:tc>
                <w:tcPr>
                  <w:tcW w:w="522" w:type="pct"/>
                  <w:vMerge w:val="continue"/>
                  <w:tcBorders>
                    <w:tl2br w:val="nil"/>
                    <w:tr2bl w:val="nil"/>
                  </w:tcBorders>
                  <w:vAlign w:val="center"/>
                </w:tcPr>
                <w:p>
                  <w:pPr>
                    <w:topLinePunct/>
                    <w:adjustRightInd w:val="0"/>
                    <w:snapToGrid w:val="0"/>
                    <w:spacing w:line="0" w:lineRule="atLeast"/>
                    <w:jc w:val="center"/>
                    <w:rPr>
                      <w:rFonts w:hint="default" w:ascii="Times New Roman" w:hAnsi="Times New Roman" w:cs="Times New Roman"/>
                      <w:bCs/>
                      <w:szCs w:val="21"/>
                    </w:rPr>
                  </w:pPr>
                </w:p>
              </w:tc>
              <w:tc>
                <w:tcPr>
                  <w:tcW w:w="561"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11.323</w:t>
                  </w:r>
                </w:p>
              </w:tc>
              <w:tc>
                <w:tcPr>
                  <w:tcW w:w="329"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0.156</w:t>
                  </w:r>
                </w:p>
              </w:tc>
              <w:tc>
                <w:tcPr>
                  <w:tcW w:w="588" w:type="pct"/>
                  <w:vMerge w:val="continue"/>
                  <w:tcBorders>
                    <w:tl2br w:val="nil"/>
                    <w:tr2bl w:val="nil"/>
                  </w:tcBorders>
                  <w:vAlign w:val="center"/>
                </w:tcPr>
                <w:p>
                  <w:pPr>
                    <w:topLinePunct/>
                    <w:adjustRightInd w:val="0"/>
                    <w:snapToGrid w:val="0"/>
                    <w:spacing w:line="0" w:lineRule="atLeast"/>
                    <w:jc w:val="center"/>
                    <w:rPr>
                      <w:rFonts w:hint="default" w:ascii="Times New Roman" w:hAnsi="Times New Roman" w:cs="Times New Roman"/>
                      <w:bCs/>
                      <w:szCs w:val="21"/>
                    </w:rPr>
                  </w:pPr>
                </w:p>
              </w:tc>
              <w:tc>
                <w:tcPr>
                  <w:tcW w:w="411"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70</w:t>
                  </w:r>
                </w:p>
              </w:tc>
              <w:tc>
                <w:tcPr>
                  <w:tcW w:w="488" w:type="pct"/>
                  <w:vMerge w:val="continue"/>
                  <w:tcBorders>
                    <w:tl2br w:val="nil"/>
                    <w:tr2bl w:val="nil"/>
                  </w:tcBorders>
                  <w:vAlign w:val="center"/>
                </w:tcPr>
                <w:p>
                  <w:pPr>
                    <w:topLinePunct/>
                    <w:adjustRightInd w:val="0"/>
                    <w:snapToGrid w:val="0"/>
                    <w:spacing w:line="0" w:lineRule="atLeast"/>
                    <w:jc w:val="center"/>
                    <w:rPr>
                      <w:rFonts w:hint="default" w:ascii="Times New Roman" w:hAnsi="Times New Roman" w:cs="Times New Roman"/>
                      <w:bCs/>
                      <w:szCs w:val="21"/>
                    </w:rPr>
                  </w:pPr>
                </w:p>
              </w:tc>
              <w:tc>
                <w:tcPr>
                  <w:tcW w:w="622"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0.0467</w:t>
                  </w:r>
                </w:p>
              </w:tc>
              <w:tc>
                <w:tcPr>
                  <w:tcW w:w="447"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3.39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7" w:type="pct"/>
                  <w:vMerge w:val="continue"/>
                  <w:tcBorders>
                    <w:tl2br w:val="nil"/>
                    <w:tr2bl w:val="nil"/>
                  </w:tcBorders>
                  <w:vAlign w:val="center"/>
                </w:tcPr>
                <w:p>
                  <w:pPr>
                    <w:topLinePunct/>
                    <w:adjustRightInd w:val="0"/>
                    <w:snapToGrid w:val="0"/>
                    <w:spacing w:line="0" w:lineRule="atLeast"/>
                    <w:jc w:val="center"/>
                    <w:rPr>
                      <w:rFonts w:hint="default" w:ascii="Times New Roman" w:hAnsi="Times New Roman" w:cs="Times New Roman"/>
                      <w:b/>
                      <w:szCs w:val="21"/>
                    </w:rPr>
                  </w:pPr>
                </w:p>
              </w:tc>
              <w:tc>
                <w:tcPr>
                  <w:tcW w:w="359"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NOx</w:t>
                  </w:r>
                </w:p>
              </w:tc>
              <w:tc>
                <w:tcPr>
                  <w:tcW w:w="431"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3.379</w:t>
                  </w:r>
                </w:p>
              </w:tc>
              <w:tc>
                <w:tcPr>
                  <w:tcW w:w="522" w:type="pct"/>
                  <w:vMerge w:val="continue"/>
                  <w:tcBorders>
                    <w:tl2br w:val="nil"/>
                    <w:tr2bl w:val="nil"/>
                  </w:tcBorders>
                  <w:vAlign w:val="center"/>
                </w:tcPr>
                <w:p>
                  <w:pPr>
                    <w:topLinePunct/>
                    <w:adjustRightInd w:val="0"/>
                    <w:snapToGrid w:val="0"/>
                    <w:spacing w:line="0" w:lineRule="atLeast"/>
                    <w:jc w:val="center"/>
                    <w:rPr>
                      <w:rFonts w:hint="default" w:ascii="Times New Roman" w:hAnsi="Times New Roman" w:cs="Times New Roman"/>
                      <w:bCs/>
                      <w:szCs w:val="21"/>
                    </w:rPr>
                  </w:pPr>
                </w:p>
              </w:tc>
              <w:tc>
                <w:tcPr>
                  <w:tcW w:w="561"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30.99</w:t>
                  </w:r>
                </w:p>
              </w:tc>
              <w:tc>
                <w:tcPr>
                  <w:tcW w:w="329"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0.427</w:t>
                  </w:r>
                </w:p>
              </w:tc>
              <w:tc>
                <w:tcPr>
                  <w:tcW w:w="588" w:type="pct"/>
                  <w:vMerge w:val="continue"/>
                  <w:tcBorders>
                    <w:tl2br w:val="nil"/>
                    <w:tr2bl w:val="nil"/>
                  </w:tcBorders>
                  <w:vAlign w:val="center"/>
                </w:tcPr>
                <w:p>
                  <w:pPr>
                    <w:topLinePunct/>
                    <w:adjustRightInd w:val="0"/>
                    <w:snapToGrid w:val="0"/>
                    <w:spacing w:line="0" w:lineRule="atLeast"/>
                    <w:jc w:val="center"/>
                    <w:rPr>
                      <w:rFonts w:hint="default" w:ascii="Times New Roman" w:hAnsi="Times New Roman" w:cs="Times New Roman"/>
                      <w:bCs/>
                      <w:szCs w:val="21"/>
                    </w:rPr>
                  </w:pPr>
                </w:p>
              </w:tc>
              <w:tc>
                <w:tcPr>
                  <w:tcW w:w="411"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70</w:t>
                  </w:r>
                </w:p>
              </w:tc>
              <w:tc>
                <w:tcPr>
                  <w:tcW w:w="488" w:type="pct"/>
                  <w:vMerge w:val="continue"/>
                  <w:tcBorders>
                    <w:tl2br w:val="nil"/>
                    <w:tr2bl w:val="nil"/>
                  </w:tcBorders>
                  <w:vAlign w:val="center"/>
                </w:tcPr>
                <w:p>
                  <w:pPr>
                    <w:topLinePunct/>
                    <w:adjustRightInd w:val="0"/>
                    <w:snapToGrid w:val="0"/>
                    <w:spacing w:line="0" w:lineRule="atLeast"/>
                    <w:jc w:val="center"/>
                    <w:rPr>
                      <w:rFonts w:hint="default" w:ascii="Times New Roman" w:hAnsi="Times New Roman" w:cs="Times New Roman"/>
                      <w:bCs/>
                      <w:szCs w:val="21"/>
                    </w:rPr>
                  </w:pPr>
                </w:p>
              </w:tc>
              <w:tc>
                <w:tcPr>
                  <w:tcW w:w="622"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9.28</w:t>
                  </w:r>
                </w:p>
              </w:tc>
              <w:tc>
                <w:tcPr>
                  <w:tcW w:w="447" w:type="pct"/>
                  <w:tcBorders>
                    <w:tl2br w:val="nil"/>
                    <w:tr2bl w:val="nil"/>
                  </w:tcBorders>
                  <w:vAlign w:val="center"/>
                </w:tcPr>
                <w:p>
                  <w:pPr>
                    <w:topLinePunct/>
                    <w:adjustRightInd w:val="0"/>
                    <w:snapToGrid w:val="0"/>
                    <w:spacing w:line="0" w:lineRule="atLeast"/>
                    <w:jc w:val="center"/>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0.128</w:t>
                  </w:r>
                </w:p>
              </w:tc>
            </w:tr>
          </w:tbl>
          <w:p>
            <w:pP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监测计划：</w:t>
            </w:r>
          </w:p>
          <w:p>
            <w:pPr>
              <w:pStyle w:val="56"/>
              <w:kinsoku w:val="0"/>
              <w:overflowPunct w:val="0"/>
              <w:ind w:firstLine="422"/>
              <w:jc w:val="center"/>
              <w:rPr>
                <w:rFonts w:hint="default" w:ascii="Times New Roman" w:hAnsi="Times New Roman" w:cs="Times New Roman"/>
                <w:b/>
                <w:sz w:val="21"/>
                <w:szCs w:val="21"/>
                <w:lang w:eastAsia="zh-CN"/>
              </w:rPr>
            </w:pPr>
            <w:r>
              <w:rPr>
                <w:rFonts w:hint="default" w:ascii="Times New Roman" w:hAnsi="Times New Roman" w:cs="Times New Roman"/>
                <w:b/>
                <w:sz w:val="21"/>
                <w:szCs w:val="21"/>
                <w:lang w:eastAsia="zh-CN"/>
              </w:rPr>
              <w:t>表4-</w:t>
            </w:r>
            <w:r>
              <w:rPr>
                <w:rFonts w:hint="default" w:ascii="Times New Roman" w:hAnsi="Times New Roman" w:cs="Times New Roman"/>
                <w:b/>
                <w:sz w:val="21"/>
                <w:szCs w:val="21"/>
                <w:lang w:val="en-US" w:eastAsia="zh-CN"/>
              </w:rPr>
              <w:t>2</w:t>
            </w:r>
            <w:r>
              <w:rPr>
                <w:rFonts w:hint="default" w:ascii="Times New Roman" w:hAnsi="Times New Roman" w:cs="Times New Roman"/>
                <w:b/>
                <w:sz w:val="21"/>
                <w:szCs w:val="21"/>
                <w:lang w:eastAsia="zh-CN"/>
              </w:rPr>
              <w:t xml:space="preserve"> 项目废气检测要求一览表</w:t>
            </w:r>
          </w:p>
          <w:tbl>
            <w:tblPr>
              <w:tblStyle w:val="25"/>
              <w:tblW w:w="4996"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64"/>
              <w:gridCol w:w="2745"/>
              <w:gridCol w:w="1150"/>
              <w:gridCol w:w="2013"/>
              <w:gridCol w:w="11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7" w:hRule="exact"/>
              </w:trPr>
              <w:tc>
                <w:tcPr>
                  <w:tcW w:w="543" w:type="pct"/>
                  <w:tcBorders>
                    <w:tl2br w:val="nil"/>
                    <w:tr2bl w:val="nil"/>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类别</w:t>
                  </w:r>
                </w:p>
              </w:tc>
              <w:tc>
                <w:tcPr>
                  <w:tcW w:w="1724" w:type="pct"/>
                  <w:tcBorders>
                    <w:tl2br w:val="nil"/>
                    <w:tr2bl w:val="nil"/>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监测位置</w:t>
                  </w:r>
                </w:p>
              </w:tc>
              <w:tc>
                <w:tcPr>
                  <w:tcW w:w="722" w:type="pct"/>
                  <w:tcBorders>
                    <w:tl2br w:val="nil"/>
                    <w:tr2bl w:val="nil"/>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监测点数</w:t>
                  </w:r>
                </w:p>
              </w:tc>
              <w:tc>
                <w:tcPr>
                  <w:tcW w:w="1264" w:type="pct"/>
                  <w:tcBorders>
                    <w:tl2br w:val="nil"/>
                    <w:tr2bl w:val="nil"/>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监测项目</w:t>
                  </w:r>
                </w:p>
              </w:tc>
              <w:tc>
                <w:tcPr>
                  <w:tcW w:w="744" w:type="pct"/>
                  <w:tcBorders>
                    <w:tl2br w:val="nil"/>
                    <w:tr2bl w:val="nil"/>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监测频率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4" w:hRule="exact"/>
              </w:trPr>
              <w:tc>
                <w:tcPr>
                  <w:tcW w:w="543" w:type="pct"/>
                  <w:vMerge w:val="restart"/>
                  <w:tcBorders>
                    <w:bottom w:val="single" w:color="000000" w:sz="4" w:space="0"/>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废气</w:t>
                  </w:r>
                </w:p>
              </w:tc>
              <w:tc>
                <w:tcPr>
                  <w:tcW w:w="1724" w:type="pct"/>
                  <w:vMerge w:val="restart"/>
                  <w:tcBorders>
                    <w:bottom w:val="single" w:color="000000" w:sz="4" w:space="0"/>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有组织：锅炉排气筒</w:t>
                  </w:r>
                </w:p>
              </w:tc>
              <w:tc>
                <w:tcPr>
                  <w:tcW w:w="722" w:type="pct"/>
                  <w:vMerge w:val="restart"/>
                  <w:tcBorders>
                    <w:bottom w:val="single" w:color="000000" w:sz="4" w:space="0"/>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1264" w:type="pct"/>
                  <w:tcBorders>
                    <w:bottom w:val="single" w:color="000000" w:sz="4" w:space="0"/>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氮氧化物</w:t>
                  </w:r>
                </w:p>
              </w:tc>
              <w:tc>
                <w:tcPr>
                  <w:tcW w:w="744" w:type="pct"/>
                  <w:tcBorders>
                    <w:bottom w:val="single" w:color="000000" w:sz="4" w:space="0"/>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1 次/月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32" w:hRule="exact"/>
              </w:trPr>
              <w:tc>
                <w:tcPr>
                  <w:tcW w:w="543" w:type="pct"/>
                  <w:vMerge w:val="continue"/>
                  <w:tcBorders>
                    <w:top w:val="single" w:color="000000" w:sz="4" w:space="0"/>
                    <w:bottom w:val="single" w:color="000000" w:sz="12" w:space="0"/>
                  </w:tcBorders>
                  <w:vAlign w:val="center"/>
                </w:tcPr>
                <w:p>
                  <w:pPr>
                    <w:widowControl/>
                    <w:jc w:val="center"/>
                    <w:textAlignment w:val="center"/>
                    <w:rPr>
                      <w:rFonts w:hint="default" w:ascii="Times New Roman" w:hAnsi="Times New Roman" w:cs="Times New Roman"/>
                      <w:kern w:val="0"/>
                      <w:szCs w:val="21"/>
                    </w:rPr>
                  </w:pPr>
                </w:p>
              </w:tc>
              <w:tc>
                <w:tcPr>
                  <w:tcW w:w="1724" w:type="pct"/>
                  <w:vMerge w:val="continue"/>
                  <w:tcBorders>
                    <w:top w:val="single" w:color="000000" w:sz="4" w:space="0"/>
                    <w:bottom w:val="single" w:color="000000" w:sz="12" w:space="0"/>
                  </w:tcBorders>
                  <w:vAlign w:val="center"/>
                </w:tcPr>
                <w:p>
                  <w:pPr>
                    <w:widowControl/>
                    <w:jc w:val="center"/>
                    <w:textAlignment w:val="center"/>
                    <w:rPr>
                      <w:rFonts w:hint="default" w:ascii="Times New Roman" w:hAnsi="Times New Roman" w:cs="Times New Roman"/>
                      <w:kern w:val="0"/>
                      <w:szCs w:val="21"/>
                    </w:rPr>
                  </w:pPr>
                </w:p>
              </w:tc>
              <w:tc>
                <w:tcPr>
                  <w:tcW w:w="722" w:type="pct"/>
                  <w:vMerge w:val="continue"/>
                  <w:tcBorders>
                    <w:top w:val="single" w:color="000000" w:sz="4" w:space="0"/>
                    <w:bottom w:val="single" w:color="000000" w:sz="12" w:space="0"/>
                  </w:tcBorders>
                  <w:vAlign w:val="center"/>
                </w:tcPr>
                <w:p>
                  <w:pPr>
                    <w:widowControl/>
                    <w:jc w:val="center"/>
                    <w:textAlignment w:val="center"/>
                    <w:rPr>
                      <w:rFonts w:hint="default" w:ascii="Times New Roman" w:hAnsi="Times New Roman" w:cs="Times New Roman"/>
                      <w:kern w:val="0"/>
                      <w:szCs w:val="21"/>
                    </w:rPr>
                  </w:pPr>
                </w:p>
              </w:tc>
              <w:tc>
                <w:tcPr>
                  <w:tcW w:w="1264" w:type="pct"/>
                  <w:tcBorders>
                    <w:top w:val="single" w:color="000000" w:sz="4" w:space="0"/>
                    <w:bottom w:val="single" w:color="000000" w:sz="12" w:space="0"/>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二氧化硫、颗粒物、林格曼黑度</w:t>
                  </w:r>
                </w:p>
              </w:tc>
              <w:tc>
                <w:tcPr>
                  <w:tcW w:w="744" w:type="pct"/>
                  <w:tcBorders>
                    <w:top w:val="single" w:color="000000" w:sz="4" w:space="0"/>
                    <w:bottom w:val="single" w:color="000000" w:sz="12" w:space="0"/>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1 次/年</w:t>
                  </w:r>
                </w:p>
              </w:tc>
            </w:tr>
          </w:tbl>
          <w:p>
            <w:pPr>
              <w:adjustRightInd w:val="0"/>
              <w:snapToGrid w:val="0"/>
              <w:spacing w:line="360" w:lineRule="auto"/>
              <w:ind w:firstLine="482" w:firstLineChars="200"/>
              <w:rPr>
                <w:rFonts w:hint="default" w:ascii="Times New Roman" w:hAnsi="Times New Roman" w:cs="Times New Roman"/>
                <w:sz w:val="24"/>
              </w:rPr>
            </w:pPr>
            <w:r>
              <w:rPr>
                <w:rFonts w:hint="default" w:ascii="Times New Roman" w:hAnsi="Times New Roman" w:cs="Times New Roman"/>
                <w:b/>
                <w:sz w:val="24"/>
              </w:rPr>
              <w:t>综上所述，项目在严格落实各项环保治理措施、确保各类大气污染物实现达标外排的情况下，项目营运期废气将不会对区域大气环境质量造成明显影响。</w:t>
            </w:r>
          </w:p>
          <w:p>
            <w:pPr>
              <w:adjustRightInd w:val="0"/>
              <w:snapToGrid w:val="0"/>
              <w:spacing w:line="360" w:lineRule="auto"/>
              <w:ind w:firstLine="482" w:firstLineChars="200"/>
              <w:rPr>
                <w:rFonts w:hint="default" w:ascii="Times New Roman" w:hAnsi="Times New Roman" w:cs="Times New Roman"/>
                <w:b/>
                <w:sz w:val="24"/>
                <w:szCs w:val="28"/>
              </w:rPr>
            </w:pPr>
            <w:r>
              <w:rPr>
                <w:rFonts w:hint="default" w:ascii="Times New Roman" w:hAnsi="Times New Roman" w:cs="Times New Roman"/>
                <w:b/>
                <w:sz w:val="24"/>
                <w:szCs w:val="28"/>
              </w:rPr>
              <w:t>1.2</w:t>
            </w:r>
            <w:r>
              <w:rPr>
                <w:rFonts w:hint="default" w:ascii="Times New Roman" w:hAnsi="Times New Roman" w:cs="Times New Roman"/>
                <w:b/>
                <w:sz w:val="24"/>
              </w:rPr>
              <w:t>营运</w:t>
            </w:r>
            <w:r>
              <w:rPr>
                <w:rFonts w:hint="default" w:ascii="Times New Roman" w:hAnsi="Times New Roman" w:cs="Times New Roman"/>
                <w:b/>
                <w:sz w:val="24"/>
                <w:szCs w:val="28"/>
              </w:rPr>
              <w:t>期水影响分析</w:t>
            </w:r>
          </w:p>
          <w:p>
            <w:pPr>
              <w:numPr>
                <w:ilvl w:val="0"/>
                <w:numId w:val="4"/>
              </w:numPr>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污水产生情况</w:t>
            </w:r>
          </w:p>
          <w:p>
            <w:pPr>
              <w:pStyle w:val="2"/>
              <w:adjustRightInd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本项目运营期用水主要为员工办公生活污水、清洁拖布、员工洗手用水、锅炉用水以及锅炉清洗废水。</w:t>
            </w:r>
          </w:p>
          <w:p>
            <w:pPr>
              <w:widowControl/>
              <w:adjustRightInd w:val="0"/>
              <w:snapToGrid w:val="0"/>
              <w:spacing w:line="360" w:lineRule="auto"/>
              <w:ind w:firstLine="482" w:firstLineChars="200"/>
              <w:jc w:val="left"/>
              <w:rPr>
                <w:rFonts w:hint="default" w:ascii="Times New Roman" w:hAnsi="Times New Roman" w:cs="Times New Roman"/>
                <w:b/>
                <w:bCs/>
                <w:kern w:val="0"/>
                <w:sz w:val="24"/>
                <w:lang w:bidi="ar"/>
              </w:rPr>
            </w:pPr>
            <w:r>
              <w:rPr>
                <w:rFonts w:hint="default" w:ascii="Times New Roman" w:hAnsi="Times New Roman" w:cs="Times New Roman"/>
                <w:b/>
                <w:bCs/>
                <w:sz w:val="24"/>
              </w:rPr>
              <w:t>（1）</w:t>
            </w:r>
            <w:r>
              <w:rPr>
                <w:rFonts w:hint="default" w:ascii="Times New Roman" w:hAnsi="Times New Roman" w:cs="Times New Roman"/>
                <w:b/>
                <w:bCs/>
                <w:kern w:val="0"/>
                <w:sz w:val="24"/>
                <w:lang w:bidi="ar"/>
              </w:rPr>
              <w:t>员工办公生活污水</w:t>
            </w:r>
          </w:p>
          <w:p>
            <w:pPr>
              <w:pStyle w:val="2"/>
              <w:adjustRightInd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lang w:bidi="ar"/>
              </w:rPr>
              <w:t>项目劳动定员约1</w:t>
            </w:r>
            <w:r>
              <w:rPr>
                <w:rFonts w:hint="default" w:ascii="Times New Roman" w:hAnsi="Times New Roman" w:cs="Times New Roman"/>
                <w:sz w:val="24"/>
                <w:lang w:val="en-US" w:eastAsia="zh-CN" w:bidi="ar"/>
              </w:rPr>
              <w:t>0</w:t>
            </w:r>
            <w:r>
              <w:rPr>
                <w:rFonts w:hint="default" w:ascii="Times New Roman" w:hAnsi="Times New Roman" w:cs="Times New Roman"/>
                <w:sz w:val="24"/>
                <w:lang w:bidi="ar"/>
              </w:rPr>
              <w:t>人，参照《四川省用水定额》（川府函（2021）8号）并结合项目运营特点，工作人员用水量按</w:t>
            </w:r>
            <w:r>
              <w:rPr>
                <w:rFonts w:hint="default" w:ascii="Times New Roman" w:hAnsi="Times New Roman" w:cs="Times New Roman"/>
                <w:sz w:val="24"/>
                <w:lang w:val="en-US" w:eastAsia="zh-CN" w:bidi="ar"/>
              </w:rPr>
              <w:t>1</w:t>
            </w:r>
            <w:r>
              <w:rPr>
                <w:rFonts w:hint="default" w:ascii="Times New Roman" w:hAnsi="Times New Roman" w:cs="Times New Roman"/>
                <w:sz w:val="24"/>
                <w:lang w:bidi="ar"/>
              </w:rPr>
              <w:t>60L/人.d计，一年工作3</w:t>
            </w:r>
            <w:r>
              <w:rPr>
                <w:rFonts w:hint="default" w:ascii="Times New Roman" w:hAnsi="Times New Roman" w:cs="Times New Roman"/>
                <w:sz w:val="24"/>
                <w:lang w:val="en-US" w:eastAsia="zh-CN" w:bidi="ar"/>
              </w:rPr>
              <w:t>30</w:t>
            </w:r>
            <w:r>
              <w:rPr>
                <w:rFonts w:hint="default" w:ascii="Times New Roman" w:hAnsi="Times New Roman" w:cs="Times New Roman"/>
                <w:sz w:val="24"/>
                <w:lang w:bidi="ar"/>
              </w:rPr>
              <w:t>天，则员工办公生活用水量为</w:t>
            </w:r>
            <w:r>
              <w:rPr>
                <w:rFonts w:hint="default" w:ascii="Times New Roman" w:hAnsi="Times New Roman" w:cs="Times New Roman"/>
                <w:sz w:val="24"/>
                <w:lang w:val="en-US" w:eastAsia="zh-CN" w:bidi="ar"/>
              </w:rPr>
              <w:t>1.6</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w:t>
            </w:r>
            <w:r>
              <w:rPr>
                <w:rFonts w:hint="default" w:ascii="Times New Roman" w:hAnsi="Times New Roman" w:cs="Times New Roman"/>
                <w:sz w:val="24"/>
                <w:lang w:val="en-US" w:eastAsia="zh-CN" w:bidi="ar"/>
              </w:rPr>
              <w:t>528</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/a），排污系数按0.80计，则项目员工办公生活污水产生量为</w:t>
            </w:r>
            <w:r>
              <w:rPr>
                <w:rFonts w:hint="default" w:ascii="Times New Roman" w:hAnsi="Times New Roman" w:cs="Times New Roman"/>
                <w:sz w:val="24"/>
                <w:lang w:val="en-US" w:eastAsia="zh-CN" w:bidi="ar"/>
              </w:rPr>
              <w:t>1.28</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w:t>
            </w:r>
            <w:r>
              <w:rPr>
                <w:rFonts w:hint="default" w:ascii="Times New Roman" w:hAnsi="Times New Roman" w:cs="Times New Roman"/>
                <w:sz w:val="24"/>
                <w:lang w:val="en-US" w:eastAsia="zh-CN" w:bidi="ar"/>
              </w:rPr>
              <w:t>422.4</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/a）。主要污染因子COD、BOD</w:t>
            </w:r>
            <w:r>
              <w:rPr>
                <w:rFonts w:hint="default" w:ascii="Times New Roman" w:hAnsi="Times New Roman" w:cs="Times New Roman"/>
                <w:sz w:val="24"/>
                <w:vertAlign w:val="subscript"/>
                <w:lang w:bidi="ar"/>
              </w:rPr>
              <w:t>5</w:t>
            </w:r>
            <w:r>
              <w:rPr>
                <w:rFonts w:hint="default" w:ascii="Times New Roman" w:hAnsi="Times New Roman" w:cs="Times New Roman"/>
                <w:sz w:val="24"/>
                <w:lang w:bidi="ar"/>
              </w:rPr>
              <w:t>、氨氮、SS、总磷</w:t>
            </w:r>
            <w:r>
              <w:rPr>
                <w:rFonts w:hint="default" w:ascii="Times New Roman" w:hAnsi="Times New Roman" w:cs="Times New Roman"/>
                <w:sz w:val="24"/>
                <w:szCs w:val="24"/>
              </w:rPr>
              <w:t>。</w:t>
            </w:r>
          </w:p>
          <w:p>
            <w:pPr>
              <w:widowControl/>
              <w:adjustRightInd w:val="0"/>
              <w:snapToGrid w:val="0"/>
              <w:spacing w:line="360" w:lineRule="auto"/>
              <w:ind w:firstLine="482" w:firstLineChars="200"/>
              <w:jc w:val="left"/>
              <w:rPr>
                <w:rFonts w:hint="default" w:ascii="Times New Roman" w:hAnsi="Times New Roman" w:cs="Times New Roman"/>
                <w:b/>
                <w:bCs/>
                <w:kern w:val="0"/>
                <w:sz w:val="24"/>
                <w:lang w:bidi="ar"/>
              </w:rPr>
            </w:pPr>
            <w:r>
              <w:rPr>
                <w:rFonts w:hint="default" w:ascii="Times New Roman" w:hAnsi="Times New Roman" w:cs="Times New Roman"/>
                <w:b/>
                <w:bCs/>
                <w:kern w:val="0"/>
                <w:sz w:val="24"/>
                <w:lang w:bidi="ar"/>
              </w:rPr>
              <w:t>（</w:t>
            </w:r>
            <w:r>
              <w:rPr>
                <w:rFonts w:hint="default" w:ascii="Times New Roman" w:hAnsi="Times New Roman" w:cs="Times New Roman"/>
                <w:b/>
                <w:bCs/>
                <w:kern w:val="0"/>
                <w:sz w:val="24"/>
                <w:lang w:val="en-US" w:eastAsia="zh-CN" w:bidi="ar"/>
              </w:rPr>
              <w:t>2</w:t>
            </w:r>
            <w:r>
              <w:rPr>
                <w:rFonts w:hint="default" w:ascii="Times New Roman" w:hAnsi="Times New Roman" w:cs="Times New Roman"/>
                <w:b/>
                <w:bCs/>
                <w:kern w:val="0"/>
                <w:sz w:val="24"/>
                <w:lang w:bidi="ar"/>
              </w:rPr>
              <w:t>）锅炉污水</w:t>
            </w:r>
          </w:p>
          <w:p>
            <w:pPr>
              <w:widowControl/>
              <w:adjustRightInd w:val="0"/>
              <w:snapToGrid w:val="0"/>
              <w:spacing w:line="360" w:lineRule="auto"/>
              <w:ind w:firstLine="480" w:firstLineChars="200"/>
              <w:jc w:val="left"/>
              <w:rPr>
                <w:rFonts w:hint="default" w:ascii="Times New Roman" w:hAnsi="Times New Roman" w:cs="Times New Roman"/>
                <w:kern w:val="0"/>
                <w:sz w:val="24"/>
                <w:lang w:val="en-US" w:eastAsia="zh-CN" w:bidi="ar"/>
              </w:rPr>
            </w:pPr>
            <w:r>
              <w:rPr>
                <w:rFonts w:hint="default" w:ascii="Times New Roman" w:hAnsi="Times New Roman" w:cs="Times New Roman"/>
                <w:kern w:val="0"/>
                <w:sz w:val="24"/>
                <w:lang w:val="en-US" w:eastAsia="zh-CN" w:bidi="ar"/>
              </w:rPr>
              <w:t>根据给排水章节可知项目锅炉排污水为4514.4m</w:t>
            </w:r>
            <w:r>
              <w:rPr>
                <w:rFonts w:hint="default" w:ascii="Times New Roman" w:hAnsi="Times New Roman" w:cs="Times New Roman"/>
                <w:kern w:val="0"/>
                <w:sz w:val="24"/>
                <w:vertAlign w:val="superscript"/>
                <w:lang w:val="en-US" w:eastAsia="zh-CN" w:bidi="ar"/>
              </w:rPr>
              <w:t>3</w:t>
            </w:r>
            <w:r>
              <w:rPr>
                <w:rFonts w:hint="default" w:ascii="Times New Roman" w:hAnsi="Times New Roman" w:cs="Times New Roman"/>
                <w:kern w:val="0"/>
                <w:sz w:val="24"/>
                <w:vertAlign w:val="baseline"/>
                <w:lang w:val="en-US" w:eastAsia="zh-CN" w:bidi="ar"/>
              </w:rPr>
              <w:t>/a，软水制备系统排水量为792m</w:t>
            </w:r>
            <w:r>
              <w:rPr>
                <w:rFonts w:hint="default" w:ascii="Times New Roman" w:hAnsi="Times New Roman" w:cs="Times New Roman"/>
                <w:kern w:val="0"/>
                <w:sz w:val="24"/>
                <w:vertAlign w:val="superscript"/>
                <w:lang w:val="en-US" w:eastAsia="zh-CN" w:bidi="ar"/>
              </w:rPr>
              <w:t>3</w:t>
            </w:r>
            <w:r>
              <w:rPr>
                <w:rFonts w:hint="default" w:ascii="Times New Roman" w:hAnsi="Times New Roman" w:cs="Times New Roman"/>
                <w:kern w:val="0"/>
                <w:sz w:val="24"/>
                <w:vertAlign w:val="baseline"/>
                <w:lang w:val="en-US" w:eastAsia="zh-CN" w:bidi="ar"/>
              </w:rPr>
              <w:t>/a。</w:t>
            </w:r>
            <w:r>
              <w:rPr>
                <w:rFonts w:hint="default" w:ascii="Times New Roman" w:hAnsi="Times New Roman" w:cs="Times New Roman"/>
                <w:kern w:val="0"/>
                <w:sz w:val="24"/>
                <w:lang w:bidi="ar"/>
              </w:rPr>
              <w:t>根</w:t>
            </w:r>
            <w:r>
              <w:rPr>
                <w:rFonts w:hint="default" w:ascii="Times New Roman" w:hAnsi="Times New Roman" w:cs="Times New Roman"/>
                <w:sz w:val="24"/>
                <w:lang w:val="en-US" w:eastAsia="zh-CN"/>
              </w:rPr>
              <w:t>据《锅炉产排污量核算系数手册》</w:t>
            </w:r>
            <w:r>
              <w:rPr>
                <w:rFonts w:hint="default" w:ascii="Times New Roman" w:hAnsi="Times New Roman" w:cs="Times New Roman"/>
                <w:kern w:val="0"/>
                <w:sz w:val="24"/>
                <w:lang w:bidi="ar"/>
              </w:rPr>
              <w:t>”工业废水量和化学需氧量表中</w:t>
            </w:r>
            <w:r>
              <w:rPr>
                <w:rFonts w:hint="default" w:ascii="Times New Roman" w:hAnsi="Times New Roman" w:cs="Times New Roman"/>
                <w:kern w:val="0"/>
                <w:sz w:val="24"/>
                <w:lang w:val="en-US" w:eastAsia="zh-CN" w:bidi="ar"/>
              </w:rPr>
              <w:t>的</w:t>
            </w:r>
            <w:r>
              <w:rPr>
                <w:rFonts w:hint="default" w:ascii="Times New Roman" w:hAnsi="Times New Roman" w:cs="Times New Roman"/>
                <w:kern w:val="0"/>
                <w:sz w:val="24"/>
                <w:lang w:bidi="ar"/>
              </w:rPr>
              <w:t>化学需氧量产生量与废水产生量的比值可知，COD产生浓度约</w:t>
            </w:r>
            <w:r>
              <w:rPr>
                <w:rFonts w:hint="default" w:ascii="Times New Roman" w:hAnsi="Times New Roman" w:cs="Times New Roman"/>
                <w:kern w:val="0"/>
                <w:sz w:val="24"/>
                <w:lang w:val="en-US" w:eastAsia="zh-CN" w:bidi="ar"/>
              </w:rPr>
              <w:t>3</w:t>
            </w:r>
            <w:r>
              <w:rPr>
                <w:rFonts w:hint="default" w:ascii="Times New Roman" w:hAnsi="Times New Roman" w:cs="Times New Roman"/>
                <w:kern w:val="0"/>
                <w:sz w:val="24"/>
                <w:lang w:bidi="ar"/>
              </w:rPr>
              <w:t>0mg/L。</w:t>
            </w:r>
            <w:r>
              <w:rPr>
                <w:rFonts w:hint="default" w:ascii="Times New Roman" w:hAnsi="Times New Roman" w:cs="Times New Roman"/>
                <w:b/>
                <w:bCs/>
                <w:kern w:val="0"/>
                <w:sz w:val="24"/>
                <w:lang w:bidi="ar"/>
              </w:rPr>
              <w:t>锅炉污水</w:t>
            </w:r>
            <w:r>
              <w:rPr>
                <w:rFonts w:hint="default" w:ascii="Times New Roman" w:hAnsi="Times New Roman" w:cs="Times New Roman"/>
                <w:kern w:val="0"/>
                <w:sz w:val="24"/>
                <w:lang w:bidi="ar"/>
              </w:rPr>
              <w:t>同员工生活污水经</w:t>
            </w:r>
            <w:r>
              <w:rPr>
                <w:rFonts w:hint="default" w:ascii="Times New Roman" w:hAnsi="Times New Roman" w:cs="Times New Roman"/>
                <w:kern w:val="0"/>
                <w:sz w:val="24"/>
                <w:lang w:val="en-US" w:eastAsia="zh-CN" w:bidi="ar"/>
              </w:rPr>
              <w:t>已建</w:t>
            </w:r>
            <w:r>
              <w:rPr>
                <w:rFonts w:hint="default" w:ascii="Times New Roman" w:hAnsi="Times New Roman" w:cs="Times New Roman"/>
                <w:kern w:val="0"/>
                <w:sz w:val="24"/>
                <w:lang w:bidi="ar"/>
              </w:rPr>
              <w:t>预处理池处理后排入</w:t>
            </w:r>
            <w:r>
              <w:rPr>
                <w:rFonts w:hint="default" w:ascii="Times New Roman" w:hAnsi="Times New Roman" w:cs="Times New Roman"/>
                <w:kern w:val="0"/>
                <w:sz w:val="24"/>
                <w:lang w:val="en-US" w:eastAsia="zh-CN" w:bidi="ar"/>
              </w:rPr>
              <w:t>园区</w:t>
            </w:r>
            <w:r>
              <w:rPr>
                <w:rFonts w:hint="default" w:ascii="Times New Roman" w:hAnsi="Times New Roman" w:cs="Times New Roman"/>
                <w:kern w:val="0"/>
                <w:sz w:val="24"/>
                <w:lang w:bidi="ar"/>
              </w:rPr>
              <w:t>管网</w:t>
            </w:r>
            <w:r>
              <w:rPr>
                <w:rFonts w:hint="default" w:ascii="Times New Roman" w:hAnsi="Times New Roman" w:cs="Times New Roman"/>
                <w:kern w:val="0"/>
                <w:sz w:val="24"/>
                <w:lang w:eastAsia="zh-CN" w:bidi="ar"/>
              </w:rPr>
              <w:t>，</w:t>
            </w:r>
            <w:r>
              <w:rPr>
                <w:rFonts w:hint="default" w:ascii="Times New Roman" w:hAnsi="Times New Roman" w:cs="Times New Roman"/>
                <w:kern w:val="0"/>
                <w:sz w:val="24"/>
                <w:lang w:val="en-US" w:eastAsia="zh-CN" w:bidi="ar"/>
              </w:rPr>
              <w:t>排入大英县污水厂处理达到《城镇污水处理厂污染物排放标准》（GB18918-2002）中的一级A标后排入郪江。</w:t>
            </w:r>
          </w:p>
          <w:p>
            <w:pPr>
              <w:pStyle w:val="2"/>
              <w:numPr>
                <w:ilvl w:val="0"/>
                <w:numId w:val="4"/>
              </w:numPr>
              <w:adjustRightInd w:val="0"/>
              <w:spacing w:before="0" w:after="0" w:line="360" w:lineRule="auto"/>
              <w:ind w:right="0" w:firstLine="482" w:firstLineChars="200"/>
              <w:rPr>
                <w:rFonts w:hint="default" w:ascii="Times New Roman" w:hAnsi="Times New Roman" w:cs="Times New Roman"/>
                <w:b/>
                <w:bCs/>
                <w:sz w:val="24"/>
              </w:rPr>
            </w:pPr>
            <w:r>
              <w:rPr>
                <w:rFonts w:hint="default" w:ascii="Times New Roman" w:hAnsi="Times New Roman" w:cs="Times New Roman"/>
                <w:b/>
                <w:bCs/>
                <w:sz w:val="24"/>
              </w:rPr>
              <w:t>污水治理措施</w:t>
            </w:r>
          </w:p>
          <w:p>
            <w:pPr>
              <w:pStyle w:val="2"/>
              <w:adjustRightInd w:val="0"/>
              <w:spacing w:before="0" w:after="0" w:line="360" w:lineRule="auto"/>
              <w:ind w:right="0" w:firstLine="480" w:firstLineChars="200"/>
              <w:rPr>
                <w:rFonts w:hint="default" w:ascii="Times New Roman" w:hAnsi="Times New Roman" w:cs="Times New Roman"/>
                <w:sz w:val="24"/>
              </w:rPr>
            </w:pPr>
            <w:r>
              <w:rPr>
                <w:rFonts w:hint="default" w:ascii="Times New Roman" w:hAnsi="Times New Roman" w:cs="Times New Roman"/>
                <w:sz w:val="24"/>
                <w:lang w:bidi="ar"/>
              </w:rPr>
              <w:t>生活污水、锅炉废水经园区预处理池处理达《污水综合排放标准》（GB8978-1996）三级标准后经市政管网进入</w:t>
            </w:r>
            <w:r>
              <w:rPr>
                <w:rFonts w:hint="default" w:ascii="Times New Roman" w:hAnsi="Times New Roman" w:cs="Times New Roman"/>
                <w:sz w:val="24"/>
                <w:szCs w:val="32"/>
                <w:lang w:val="en-US" w:eastAsia="zh-CN"/>
              </w:rPr>
              <w:t>大英工业集中区污水处理厂</w:t>
            </w:r>
            <w:r>
              <w:rPr>
                <w:rFonts w:hint="default" w:ascii="Times New Roman" w:hAnsi="Times New Roman" w:cs="Times New Roman"/>
                <w:sz w:val="24"/>
                <w:lang w:bidi="ar"/>
              </w:rPr>
              <w:t>。</w:t>
            </w:r>
          </w:p>
          <w:p>
            <w:pPr>
              <w:pStyle w:val="2"/>
              <w:adjustRightInd w:val="0"/>
              <w:spacing w:before="0" w:after="0" w:line="360" w:lineRule="auto"/>
              <w:ind w:right="0" w:firstLine="480" w:firstLineChars="200"/>
              <w:rPr>
                <w:rFonts w:hint="default" w:ascii="Times New Roman" w:hAnsi="Times New Roman" w:cs="Times New Roman"/>
                <w:b/>
                <w:bCs/>
                <w:sz w:val="24"/>
              </w:rPr>
            </w:pPr>
            <w:r>
              <w:rPr>
                <w:rFonts w:hint="default" w:ascii="Times New Roman" w:hAnsi="Times New Roman" w:cs="Times New Roman"/>
                <w:sz w:val="24"/>
              </w:rPr>
              <w:t>本项目营运期废水中污染物产生、处理和排放情况统计详细见下表。</w:t>
            </w:r>
          </w:p>
          <w:p>
            <w:pPr>
              <w:pStyle w:val="2"/>
              <w:adjustRightInd w:val="0"/>
              <w:spacing w:before="0" w:after="0" w:line="360" w:lineRule="auto"/>
              <w:ind w:right="0" w:firstLine="422" w:firstLineChars="20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表4-</w:t>
            </w:r>
            <w:r>
              <w:rPr>
                <w:rFonts w:hint="eastAsia" w:cs="Times New Roman"/>
                <w:b/>
                <w:bCs/>
                <w:sz w:val="21"/>
                <w:szCs w:val="21"/>
                <w:lang w:val="en-US" w:eastAsia="zh-CN"/>
              </w:rPr>
              <w:t>3</w:t>
            </w:r>
            <w:r>
              <w:rPr>
                <w:rFonts w:hint="default" w:ascii="Times New Roman" w:hAnsi="Times New Roman" w:cs="Times New Roman"/>
                <w:b/>
                <w:bCs/>
                <w:sz w:val="21"/>
                <w:szCs w:val="21"/>
              </w:rPr>
              <w:t xml:space="preserve"> 本项目废水主要污染物产生和排放情况统计表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
              <w:gridCol w:w="665"/>
              <w:gridCol w:w="650"/>
              <w:gridCol w:w="1395"/>
              <w:gridCol w:w="727"/>
              <w:gridCol w:w="744"/>
              <w:gridCol w:w="599"/>
              <w:gridCol w:w="630"/>
              <w:gridCol w:w="735"/>
              <w:gridCol w:w="695"/>
              <w:gridCol w:w="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b/>
                      <w:bCs/>
                      <w:szCs w:val="18"/>
                    </w:rPr>
                  </w:pPr>
                  <w:r>
                    <w:rPr>
                      <w:rFonts w:hint="default" w:ascii="Times New Roman" w:hAnsi="Times New Roman" w:cs="Times New Roman"/>
                      <w:b/>
                      <w:bCs/>
                      <w:szCs w:val="18"/>
                    </w:rPr>
                    <w:t>种类</w:t>
                  </w:r>
                </w:p>
              </w:tc>
              <w:tc>
                <w:tcPr>
                  <w:tcW w:w="417"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b/>
                      <w:bCs/>
                      <w:szCs w:val="18"/>
                    </w:rPr>
                  </w:pPr>
                  <w:r>
                    <w:rPr>
                      <w:rFonts w:hint="default" w:ascii="Times New Roman" w:hAnsi="Times New Roman" w:cs="Times New Roman"/>
                      <w:b/>
                      <w:bCs/>
                      <w:szCs w:val="18"/>
                    </w:rPr>
                    <w:t>处理措施</w:t>
                  </w:r>
                </w:p>
              </w:tc>
              <w:tc>
                <w:tcPr>
                  <w:tcW w:w="1283" w:type="pct"/>
                  <w:gridSpan w:val="2"/>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b/>
                      <w:bCs/>
                      <w:szCs w:val="18"/>
                    </w:rPr>
                  </w:pPr>
                  <w:r>
                    <w:rPr>
                      <w:rFonts w:hint="default" w:ascii="Times New Roman" w:hAnsi="Times New Roman" w:cs="Times New Roman"/>
                      <w:b/>
                      <w:bCs/>
                      <w:szCs w:val="18"/>
                    </w:rPr>
                    <w:t>废水性质</w:t>
                  </w:r>
                </w:p>
              </w:tc>
              <w:tc>
                <w:tcPr>
                  <w:tcW w:w="455"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b/>
                      <w:bCs/>
                      <w:szCs w:val="18"/>
                    </w:rPr>
                  </w:pPr>
                  <w:r>
                    <w:rPr>
                      <w:rFonts w:hint="default" w:ascii="Times New Roman" w:hAnsi="Times New Roman" w:cs="Times New Roman"/>
                      <w:b/>
                      <w:bCs/>
                      <w:szCs w:val="18"/>
                    </w:rPr>
                    <w:t>排水量（t/a）</w:t>
                  </w:r>
                </w:p>
              </w:tc>
              <w:tc>
                <w:tcPr>
                  <w:tcW w:w="467"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b/>
                      <w:bCs/>
                      <w:szCs w:val="18"/>
                    </w:rPr>
                  </w:pPr>
                  <w:r>
                    <w:rPr>
                      <w:rFonts w:hint="default" w:ascii="Times New Roman" w:hAnsi="Times New Roman" w:cs="Times New Roman"/>
                      <w:b/>
                      <w:bCs/>
                      <w:szCs w:val="18"/>
                    </w:rPr>
                    <w:t>COD</w:t>
                  </w:r>
                </w:p>
              </w:tc>
              <w:tc>
                <w:tcPr>
                  <w:tcW w:w="376"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b/>
                      <w:bCs/>
                      <w:szCs w:val="18"/>
                    </w:rPr>
                  </w:pPr>
                  <w:r>
                    <w:rPr>
                      <w:rFonts w:hint="default" w:ascii="Times New Roman" w:hAnsi="Times New Roman" w:cs="Times New Roman"/>
                      <w:b/>
                      <w:bCs/>
                      <w:szCs w:val="18"/>
                    </w:rPr>
                    <w:t>BOD</w:t>
                  </w:r>
                  <w:r>
                    <w:rPr>
                      <w:rFonts w:hint="default" w:ascii="Times New Roman" w:hAnsi="Times New Roman" w:cs="Times New Roman"/>
                      <w:b/>
                      <w:bCs/>
                      <w:szCs w:val="18"/>
                      <w:vertAlign w:val="subscript"/>
                    </w:rPr>
                    <w:t>5</w:t>
                  </w:r>
                </w:p>
              </w:tc>
              <w:tc>
                <w:tcPr>
                  <w:tcW w:w="395"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b/>
                      <w:bCs/>
                      <w:szCs w:val="18"/>
                    </w:rPr>
                  </w:pPr>
                  <w:r>
                    <w:rPr>
                      <w:rFonts w:hint="default" w:ascii="Times New Roman" w:hAnsi="Times New Roman" w:cs="Times New Roman"/>
                      <w:b/>
                      <w:bCs/>
                      <w:szCs w:val="18"/>
                    </w:rPr>
                    <w:t>SS</w:t>
                  </w:r>
                </w:p>
              </w:tc>
              <w:tc>
                <w:tcPr>
                  <w:tcW w:w="461"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b/>
                      <w:bCs/>
                      <w:szCs w:val="18"/>
                    </w:rPr>
                  </w:pPr>
                  <w:r>
                    <w:rPr>
                      <w:rFonts w:hint="default" w:ascii="Times New Roman" w:hAnsi="Times New Roman" w:cs="Times New Roman"/>
                      <w:b/>
                      <w:bCs/>
                      <w:szCs w:val="18"/>
                    </w:rPr>
                    <w:t>NH</w:t>
                  </w:r>
                  <w:r>
                    <w:rPr>
                      <w:rFonts w:hint="default" w:ascii="Times New Roman" w:hAnsi="Times New Roman" w:cs="Times New Roman"/>
                      <w:b/>
                      <w:bCs/>
                      <w:szCs w:val="18"/>
                      <w:vertAlign w:val="subscript"/>
                    </w:rPr>
                    <w:t>3</w:t>
                  </w:r>
                  <w:r>
                    <w:rPr>
                      <w:rFonts w:hint="default" w:ascii="Times New Roman" w:hAnsi="Times New Roman" w:cs="Times New Roman"/>
                      <w:b/>
                      <w:bCs/>
                      <w:szCs w:val="18"/>
                    </w:rPr>
                    <w:t>-N</w:t>
                  </w:r>
                </w:p>
              </w:tc>
              <w:tc>
                <w:tcPr>
                  <w:tcW w:w="436"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b/>
                      <w:bCs/>
                      <w:szCs w:val="18"/>
                    </w:rPr>
                  </w:pPr>
                  <w:r>
                    <w:rPr>
                      <w:rFonts w:hint="default" w:ascii="Times New Roman" w:hAnsi="Times New Roman" w:cs="Times New Roman"/>
                      <w:b/>
                      <w:bCs/>
                      <w:szCs w:val="18"/>
                    </w:rPr>
                    <w:t>TP</w:t>
                  </w:r>
                </w:p>
              </w:tc>
              <w:tc>
                <w:tcPr>
                  <w:tcW w:w="479"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b/>
                      <w:bCs/>
                      <w:szCs w:val="18"/>
                    </w:rPr>
                  </w:pPr>
                  <w:r>
                    <w:rPr>
                      <w:rFonts w:hint="default" w:ascii="Times New Roman" w:hAnsi="Times New Roman" w:cs="Times New Roman"/>
                      <w:b/>
                      <w:bCs/>
                      <w:szCs w:val="18"/>
                    </w:rPr>
                    <w:t>溶解性总固体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Merge w:val="restar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综合废水</w:t>
                  </w:r>
                </w:p>
              </w:tc>
              <w:tc>
                <w:tcPr>
                  <w:tcW w:w="417" w:type="pct"/>
                  <w:vMerge w:val="restar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预处理池</w:t>
                  </w:r>
                </w:p>
              </w:tc>
              <w:tc>
                <w:tcPr>
                  <w:tcW w:w="408" w:type="pct"/>
                  <w:vMerge w:val="restar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处理前</w:t>
                  </w:r>
                </w:p>
              </w:tc>
              <w:tc>
                <w:tcPr>
                  <w:tcW w:w="875"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浓度（mg/L）</w:t>
                  </w:r>
                </w:p>
              </w:tc>
              <w:tc>
                <w:tcPr>
                  <w:tcW w:w="455" w:type="pct"/>
                  <w:vMerge w:val="restart"/>
                  <w:tcBorders>
                    <w:tl2br w:val="nil"/>
                    <w:tr2bl w:val="nil"/>
                  </w:tcBorders>
                  <w:vAlign w:val="center"/>
                </w:tcPr>
                <w:p>
                  <w:pPr>
                    <w:pStyle w:val="2"/>
                    <w:adjustRightInd w:val="0"/>
                    <w:spacing w:before="0" w:after="0" w:line="240" w:lineRule="auto"/>
                    <w:ind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5728.8</w:t>
                  </w:r>
                </w:p>
              </w:tc>
              <w:tc>
                <w:tcPr>
                  <w:tcW w:w="78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550</w:t>
                  </w:r>
                </w:p>
              </w:tc>
              <w:tc>
                <w:tcPr>
                  <w:tcW w:w="6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65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450</w:t>
                  </w:r>
                </w:p>
              </w:tc>
              <w:tc>
                <w:tcPr>
                  <w:tcW w:w="7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2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0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417"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408"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875"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排放量（t/a）</w:t>
                  </w:r>
                </w:p>
              </w:tc>
              <w:tc>
                <w:tcPr>
                  <w:tcW w:w="455"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78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3.151 </w:t>
                  </w:r>
                </w:p>
              </w:tc>
              <w:tc>
                <w:tcPr>
                  <w:tcW w:w="6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2.005 </w:t>
                  </w:r>
                </w:p>
              </w:tc>
              <w:tc>
                <w:tcPr>
                  <w:tcW w:w="65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2.578 </w:t>
                  </w:r>
                </w:p>
              </w:tc>
              <w:tc>
                <w:tcPr>
                  <w:tcW w:w="7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0.286 </w:t>
                  </w:r>
                </w:p>
              </w:tc>
              <w:tc>
                <w:tcPr>
                  <w:tcW w:w="72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0.057 </w:t>
                  </w:r>
                </w:p>
              </w:tc>
              <w:tc>
                <w:tcPr>
                  <w:tcW w:w="80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417"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408" w:type="pct"/>
                  <w:vMerge w:val="restar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处理后</w:t>
                  </w:r>
                </w:p>
              </w:tc>
              <w:tc>
                <w:tcPr>
                  <w:tcW w:w="875"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浓度（mg/L）</w:t>
                  </w:r>
                </w:p>
              </w:tc>
              <w:tc>
                <w:tcPr>
                  <w:tcW w:w="455"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78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6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65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72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80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417"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408"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875"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排放量（t/a）</w:t>
                  </w:r>
                </w:p>
              </w:tc>
              <w:tc>
                <w:tcPr>
                  <w:tcW w:w="455"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78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2.864 </w:t>
                  </w:r>
                </w:p>
              </w:tc>
              <w:tc>
                <w:tcPr>
                  <w:tcW w:w="6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1.719 </w:t>
                  </w:r>
                </w:p>
              </w:tc>
              <w:tc>
                <w:tcPr>
                  <w:tcW w:w="65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1.719 </w:t>
                  </w:r>
                </w:p>
              </w:tc>
              <w:tc>
                <w:tcPr>
                  <w:tcW w:w="7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0.258 </w:t>
                  </w:r>
                </w:p>
              </w:tc>
              <w:tc>
                <w:tcPr>
                  <w:tcW w:w="72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0.046 </w:t>
                  </w:r>
                </w:p>
              </w:tc>
              <w:tc>
                <w:tcPr>
                  <w:tcW w:w="80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1.719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26"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417" w:type="pct"/>
                  <w:vMerge w:val="restar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污水处理厂</w:t>
                  </w:r>
                </w:p>
              </w:tc>
              <w:tc>
                <w:tcPr>
                  <w:tcW w:w="408" w:type="pct"/>
                  <w:vMerge w:val="restar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提标后</w:t>
                  </w:r>
                </w:p>
              </w:tc>
              <w:tc>
                <w:tcPr>
                  <w:tcW w:w="875"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浓度（mg/L）</w:t>
                  </w:r>
                </w:p>
              </w:tc>
              <w:tc>
                <w:tcPr>
                  <w:tcW w:w="455"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78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5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2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80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Style w:val="101"/>
                      <w:rFonts w:hint="default" w:ascii="Times New Roman" w:hAnsi="Times New Roman" w:eastAsia="宋体" w:cs="Times New Roman"/>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417"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408"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875"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排放量（t/a）</w:t>
                  </w:r>
                </w:p>
              </w:tc>
              <w:tc>
                <w:tcPr>
                  <w:tcW w:w="455" w:type="pct"/>
                  <w:vMerge w:val="continue"/>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p>
              </w:tc>
              <w:tc>
                <w:tcPr>
                  <w:tcW w:w="78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0.115 </w:t>
                  </w:r>
                </w:p>
              </w:tc>
              <w:tc>
                <w:tcPr>
                  <w:tcW w:w="6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0.023 </w:t>
                  </w:r>
                </w:p>
              </w:tc>
              <w:tc>
                <w:tcPr>
                  <w:tcW w:w="65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0.057 </w:t>
                  </w:r>
                </w:p>
              </w:tc>
              <w:tc>
                <w:tcPr>
                  <w:tcW w:w="7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0.057 </w:t>
                  </w:r>
                </w:p>
              </w:tc>
              <w:tc>
                <w:tcPr>
                  <w:tcW w:w="72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0.003 </w:t>
                  </w:r>
                </w:p>
              </w:tc>
              <w:tc>
                <w:tcPr>
                  <w:tcW w:w="80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Style w:val="101"/>
                      <w:rFonts w:hint="default" w:ascii="Times New Roman" w:hAnsi="Times New Roman" w:eastAsia="宋体" w:cs="Times New Roman"/>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82" w:type="pct"/>
                  <w:gridSpan w:val="5"/>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《污水综合排放标准》（GB8978-1996）三级标准（mg/L）</w:t>
                  </w:r>
                </w:p>
              </w:tc>
              <w:tc>
                <w:tcPr>
                  <w:tcW w:w="467"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c>
                <w:tcPr>
                  <w:tcW w:w="376"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395"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461"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45</w:t>
                  </w:r>
                  <w:r>
                    <w:rPr>
                      <w:rFonts w:hint="default" w:ascii="Times New Roman" w:hAnsi="Times New Roman" w:cs="Times New Roman"/>
                      <w:sz w:val="21"/>
                    </w:rPr>
                    <w:t>*</w:t>
                  </w:r>
                </w:p>
              </w:tc>
              <w:tc>
                <w:tcPr>
                  <w:tcW w:w="436"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8</w:t>
                  </w:r>
                  <w:r>
                    <w:rPr>
                      <w:rFonts w:hint="default" w:ascii="Times New Roman" w:hAnsi="Times New Roman" w:cs="Times New Roman"/>
                      <w:sz w:val="21"/>
                    </w:rPr>
                    <w:t>*</w:t>
                  </w:r>
                </w:p>
              </w:tc>
              <w:tc>
                <w:tcPr>
                  <w:tcW w:w="479"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82" w:type="pct"/>
                  <w:gridSpan w:val="5"/>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16"/>
                    </w:rPr>
                    <w:t>《地表水环境质量标准》（GB3838-2002）中Ⅲ类水体标准</w:t>
                  </w:r>
                </w:p>
              </w:tc>
              <w:tc>
                <w:tcPr>
                  <w:tcW w:w="467" w:type="pct"/>
                  <w:tcBorders>
                    <w:tl2br w:val="nil"/>
                    <w:tr2bl w:val="nil"/>
                  </w:tcBorders>
                  <w:vAlign w:val="center"/>
                </w:tcPr>
                <w:p>
                  <w:pPr>
                    <w:pStyle w:val="2"/>
                    <w:adjustRightInd w:val="0"/>
                    <w:spacing w:before="0" w:after="0" w:line="240" w:lineRule="auto"/>
                    <w:ind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w:t>
                  </w:r>
                </w:p>
              </w:tc>
              <w:tc>
                <w:tcPr>
                  <w:tcW w:w="376" w:type="pct"/>
                  <w:tcBorders>
                    <w:tl2br w:val="nil"/>
                    <w:tr2bl w:val="nil"/>
                  </w:tcBorders>
                  <w:vAlign w:val="center"/>
                </w:tcPr>
                <w:p>
                  <w:pPr>
                    <w:pStyle w:val="2"/>
                    <w:adjustRightInd w:val="0"/>
                    <w:spacing w:before="0" w:after="0" w:line="240" w:lineRule="auto"/>
                    <w:ind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w:t>
                  </w:r>
                </w:p>
              </w:tc>
              <w:tc>
                <w:tcPr>
                  <w:tcW w:w="395" w:type="pct"/>
                  <w:tcBorders>
                    <w:tl2br w:val="nil"/>
                    <w:tr2bl w:val="nil"/>
                  </w:tcBorders>
                  <w:vAlign w:val="center"/>
                </w:tcPr>
                <w:p>
                  <w:pPr>
                    <w:pStyle w:val="2"/>
                    <w:adjustRightInd w:val="0"/>
                    <w:spacing w:before="0" w:after="0" w:line="240" w:lineRule="auto"/>
                    <w:ind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w:t>
                  </w:r>
                </w:p>
              </w:tc>
              <w:tc>
                <w:tcPr>
                  <w:tcW w:w="461" w:type="pct"/>
                  <w:tcBorders>
                    <w:tl2br w:val="nil"/>
                    <w:tr2bl w:val="nil"/>
                  </w:tcBorders>
                  <w:vAlign w:val="center"/>
                </w:tcPr>
                <w:p>
                  <w:pPr>
                    <w:pStyle w:val="2"/>
                    <w:adjustRightInd w:val="0"/>
                    <w:spacing w:before="0" w:after="0" w:line="240" w:lineRule="auto"/>
                    <w:ind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w:t>
                  </w:r>
                </w:p>
              </w:tc>
              <w:tc>
                <w:tcPr>
                  <w:tcW w:w="436" w:type="pct"/>
                  <w:tcBorders>
                    <w:tl2br w:val="nil"/>
                    <w:tr2bl w:val="nil"/>
                  </w:tcBorders>
                  <w:vAlign w:val="center"/>
                </w:tcPr>
                <w:p>
                  <w:pPr>
                    <w:pStyle w:val="2"/>
                    <w:adjustRightInd w:val="0"/>
                    <w:spacing w:before="0" w:after="0" w:line="240" w:lineRule="auto"/>
                    <w:ind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479" w:type="pct"/>
                  <w:tcBorders>
                    <w:tl2br w:val="nil"/>
                    <w:tr2bl w:val="nil"/>
                  </w:tcBorders>
                  <w:vAlign w:val="center"/>
                </w:tcPr>
                <w:p>
                  <w:pPr>
                    <w:pStyle w:val="2"/>
                    <w:adjustRightInd w:val="0"/>
                    <w:spacing w:before="0" w:after="0" w:line="240" w:lineRule="auto"/>
                    <w:ind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82" w:type="pct"/>
                  <w:gridSpan w:val="5"/>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《四川省岷江、沱江流域水污染物排放标准》（DB51/2311-2016）（mg/L）</w:t>
                  </w:r>
                </w:p>
              </w:tc>
              <w:tc>
                <w:tcPr>
                  <w:tcW w:w="467" w:type="pct"/>
                  <w:tcBorders>
                    <w:tl2br w:val="nil"/>
                    <w:tr2bl w:val="nil"/>
                  </w:tcBorders>
                  <w:vAlign w:val="center"/>
                </w:tcPr>
                <w:p>
                  <w:pPr>
                    <w:pStyle w:val="2"/>
                    <w:adjustRightInd w:val="0"/>
                    <w:spacing w:before="0" w:after="0" w:line="240" w:lineRule="auto"/>
                    <w:ind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376" w:type="pct"/>
                  <w:tcBorders>
                    <w:tl2br w:val="nil"/>
                    <w:tr2bl w:val="nil"/>
                  </w:tcBorders>
                  <w:vAlign w:val="center"/>
                </w:tcPr>
                <w:p>
                  <w:pPr>
                    <w:pStyle w:val="2"/>
                    <w:adjustRightInd w:val="0"/>
                    <w:spacing w:before="0" w:after="0" w:line="240" w:lineRule="auto"/>
                    <w:ind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395" w:type="pct"/>
                  <w:tcBorders>
                    <w:tl2br w:val="nil"/>
                    <w:tr2bl w:val="nil"/>
                  </w:tcBorders>
                  <w:vAlign w:val="center"/>
                </w:tcPr>
                <w:p>
                  <w:pPr>
                    <w:pStyle w:val="2"/>
                    <w:adjustRightInd w:val="0"/>
                    <w:spacing w:before="0" w:after="0" w:line="240" w:lineRule="auto"/>
                    <w:ind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461" w:type="pct"/>
                  <w:tcBorders>
                    <w:tl2br w:val="nil"/>
                    <w:tr2bl w:val="nil"/>
                  </w:tcBorders>
                  <w:vAlign w:val="center"/>
                </w:tcPr>
                <w:p>
                  <w:pPr>
                    <w:pStyle w:val="2"/>
                    <w:adjustRightInd w:val="0"/>
                    <w:spacing w:before="0" w:after="0" w:line="240" w:lineRule="auto"/>
                    <w:ind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436"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479" w:type="pct"/>
                  <w:tcBorders>
                    <w:tl2br w:val="nil"/>
                    <w:tr2bl w:val="nil"/>
                  </w:tcBorders>
                  <w:vAlign w:val="center"/>
                </w:tcPr>
                <w:p>
                  <w:pPr>
                    <w:pStyle w:val="2"/>
                    <w:adjustRightInd w:val="0"/>
                    <w:spacing w:before="0" w:after="0" w:line="240" w:lineRule="auto"/>
                    <w:ind w:right="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pPr>
              <w:pStyle w:val="2"/>
              <w:adjustRightInd w:val="0"/>
              <w:spacing w:before="0" w:after="0" w:line="360" w:lineRule="auto"/>
              <w:ind w:right="0"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注：*氨氮、总磷、溶解性总固体参考《污水排入城镇下水道水质标准》（GB/T31962-2015）。</w:t>
            </w:r>
          </w:p>
          <w:p>
            <w:pPr>
              <w:pStyle w:val="24"/>
              <w:adjustRightInd w:val="0"/>
              <w:snapToGrid w:val="0"/>
              <w:spacing w:before="120" w:beforeLines="50" w:after="0" w:line="360" w:lineRule="auto"/>
              <w:ind w:left="0" w:leftChars="0" w:firstLine="480"/>
              <w:rPr>
                <w:rFonts w:hint="default" w:ascii="Times New Roman" w:hAnsi="Times New Roman" w:cs="Times New Roman"/>
                <w:b/>
                <w:bCs/>
                <w:color w:val="0000FF"/>
                <w:lang w:bidi="ar"/>
              </w:rPr>
            </w:pPr>
            <w:r>
              <w:rPr>
                <w:rFonts w:hint="default" w:ascii="Times New Roman" w:hAnsi="Times New Roman" w:cs="Times New Roman"/>
              </w:rPr>
              <w:t>项目水平衡图见下表：</w:t>
            </w:r>
          </w:p>
          <w:p>
            <w:pPr>
              <w:adjustRightInd w:val="0"/>
              <w:snapToGrid w:val="0"/>
              <w:spacing w:line="360" w:lineRule="auto"/>
              <w:rPr>
                <w:rFonts w:hint="default" w:ascii="Times New Roman" w:hAnsi="Times New Roman" w:cs="Times New Roman"/>
                <w:b/>
              </w:rPr>
            </w:pPr>
            <w:r>
              <w:rPr>
                <w:rFonts w:hint="default" w:ascii="Times New Roman" w:hAnsi="Times New Roman" w:cs="Times New Roman"/>
              </w:rPr>
              <mc:AlternateContent>
                <mc:Choice Requires="wpc">
                  <w:drawing>
                    <wp:inline distT="0" distB="0" distL="0" distR="0">
                      <wp:extent cx="5086985" cy="4756150"/>
                      <wp:effectExtent l="0" t="0" r="18415" b="0"/>
                      <wp:docPr id="1067" name="画布 310"/>
                      <wp:cNvGraphicFramePr/>
                      <a:graphic xmlns:a="http://schemas.openxmlformats.org/drawingml/2006/main">
                        <a:graphicData uri="http://schemas.microsoft.com/office/word/2010/wordprocessingCanvas">
                          <wpc:wpc>
                            <wpc:bg>
                              <a:noFill/>
                            </wpc:bg>
                            <wpc:whole>
                              <a:ln>
                                <a:noFill/>
                              </a:ln>
                            </wpc:whole>
                            <wps:wsp>
                              <wps:cNvPr id="43" name="矩形 491"/>
                              <wps:cNvSpPr>
                                <a:spLocks noChangeArrowheads="1"/>
                              </wps:cNvSpPr>
                              <wps:spPr bwMode="auto">
                                <a:xfrm>
                                  <a:off x="843280" y="3189605"/>
                                  <a:ext cx="580390" cy="276860"/>
                                </a:xfrm>
                                <a:prstGeom prst="rect">
                                  <a:avLst/>
                                </a:prstGeom>
                                <a:gradFill rotWithShape="0">
                                  <a:gsLst>
                                    <a:gs pos="0">
                                      <a:srgbClr val="FFFFFF"/>
                                    </a:gs>
                                    <a:gs pos="100000">
                                      <a:srgbClr val="FFFFFF"/>
                                    </a:gs>
                                  </a:gsLst>
                                  <a:lin ang="0"/>
                                </a:gradFill>
                                <a:ln>
                                  <a:noFill/>
                                </a:ln>
                              </wps:spPr>
                              <wps:txbx>
                                <w:txbxContent>
                                  <w:p>
                                    <w:pPr>
                                      <w:rPr>
                                        <w:rFonts w:hint="default" w:eastAsia="宋体"/>
                                        <w:lang w:val="en-US" w:eastAsia="zh-CN"/>
                                      </w:rPr>
                                    </w:pPr>
                                    <w:r>
                                      <w:rPr>
                                        <w:rFonts w:hint="eastAsia"/>
                                        <w:lang w:val="en-US" w:eastAsia="zh-CN"/>
                                      </w:rPr>
                                      <w:t>0.01</w:t>
                                    </w:r>
                                  </w:p>
                                </w:txbxContent>
                              </wps:txbx>
                              <wps:bodyPr rot="0" vert="horz" wrap="square" lIns="91440" tIns="45720" rIns="91440" bIns="45720" anchor="t" anchorCtr="0" upright="1">
                                <a:noAutofit/>
                              </wps:bodyPr>
                            </wps:wsp>
                            <wps:wsp>
                              <wps:cNvPr id="42" name="矩形 491"/>
                              <wps:cNvSpPr>
                                <a:spLocks noChangeArrowheads="1"/>
                              </wps:cNvSpPr>
                              <wps:spPr bwMode="auto">
                                <a:xfrm>
                                  <a:off x="503555" y="1360805"/>
                                  <a:ext cx="580390" cy="276860"/>
                                </a:xfrm>
                                <a:prstGeom prst="rect">
                                  <a:avLst/>
                                </a:prstGeom>
                                <a:gradFill rotWithShape="0">
                                  <a:gsLst>
                                    <a:gs pos="0">
                                      <a:srgbClr val="FFFFFF"/>
                                    </a:gs>
                                    <a:gs pos="100000">
                                      <a:srgbClr val="FFFFFF"/>
                                    </a:gs>
                                  </a:gsLst>
                                  <a:lin ang="0"/>
                                </a:gradFill>
                                <a:ln>
                                  <a:noFill/>
                                </a:ln>
                              </wps:spPr>
                              <wps:txbx>
                                <w:txbxContent>
                                  <w:p>
                                    <w:pPr>
                                      <w:rPr>
                                        <w:rFonts w:hint="default" w:eastAsia="宋体"/>
                                        <w:lang w:val="en-US" w:eastAsia="zh-CN"/>
                                      </w:rPr>
                                    </w:pPr>
                                    <w:r>
                                      <w:rPr>
                                        <w:rFonts w:hint="eastAsia"/>
                                        <w:lang w:val="en-US" w:eastAsia="zh-CN"/>
                                      </w:rPr>
                                      <w:t>1.93</w:t>
                                    </w:r>
                                  </w:p>
                                </w:txbxContent>
                              </wps:txbx>
                              <wps:bodyPr rot="0" vert="horz" wrap="square" lIns="91440" tIns="45720" rIns="91440" bIns="45720" anchor="t" anchorCtr="0" upright="1">
                                <a:noAutofit/>
                              </wps:bodyPr>
                            </wps:wsp>
                            <wps:wsp>
                              <wps:cNvPr id="11" name="矩形 325"/>
                              <wps:cNvSpPr>
                                <a:spLocks noChangeArrowheads="1"/>
                              </wps:cNvSpPr>
                              <wps:spPr bwMode="auto">
                                <a:xfrm>
                                  <a:off x="3910965" y="305435"/>
                                  <a:ext cx="514350" cy="276860"/>
                                </a:xfrm>
                                <a:prstGeom prst="rect">
                                  <a:avLst/>
                                </a:prstGeom>
                                <a:gradFill rotWithShape="0">
                                  <a:gsLst>
                                    <a:gs pos="0">
                                      <a:srgbClr val="FFFFFF"/>
                                    </a:gs>
                                    <a:gs pos="100000">
                                      <a:srgbClr val="FFFFFF"/>
                                    </a:gs>
                                  </a:gsLst>
                                  <a:lin ang="0"/>
                                </a:gradFill>
                                <a:ln>
                                  <a:noFill/>
                                </a:ln>
                              </wps:spPr>
                              <wps:txbx>
                                <w:txbxContent>
                                  <w:p>
                                    <w:pPr>
                                      <w:rPr>
                                        <w:rFonts w:hint="default" w:eastAsia="宋体"/>
                                        <w:lang w:val="en-US" w:eastAsia="zh-CN"/>
                                      </w:rPr>
                                    </w:pPr>
                                    <w:r>
                                      <w:rPr>
                                        <w:rFonts w:hint="eastAsia"/>
                                      </w:rPr>
                                      <w:t>0.</w:t>
                                    </w:r>
                                    <w:r>
                                      <w:rPr>
                                        <w:rFonts w:hint="eastAsia"/>
                                        <w:lang w:val="en-US" w:eastAsia="zh-CN"/>
                                      </w:rPr>
                                      <w:t>053</w:t>
                                    </w:r>
                                  </w:p>
                                </w:txbxContent>
                              </wps:txbx>
                              <wps:bodyPr rot="0" vert="horz" wrap="square" lIns="91440" tIns="45720" rIns="91440" bIns="45720" anchor="t" anchorCtr="0" upright="1">
                                <a:noAutofit/>
                              </wps:bodyPr>
                            </wps:wsp>
                            <wps:wsp>
                              <wps:cNvPr id="27" name="矩形 491"/>
                              <wps:cNvSpPr>
                                <a:spLocks noChangeArrowheads="1"/>
                              </wps:cNvSpPr>
                              <wps:spPr bwMode="auto">
                                <a:xfrm>
                                  <a:off x="836295" y="1880235"/>
                                  <a:ext cx="580390" cy="276860"/>
                                </a:xfrm>
                                <a:prstGeom prst="rect">
                                  <a:avLst/>
                                </a:prstGeom>
                                <a:gradFill rotWithShape="0">
                                  <a:gsLst>
                                    <a:gs pos="0">
                                      <a:srgbClr val="FFFFFF"/>
                                    </a:gs>
                                    <a:gs pos="100000">
                                      <a:srgbClr val="FFFFFF"/>
                                    </a:gs>
                                  </a:gsLst>
                                  <a:lin ang="0"/>
                                </a:gradFill>
                                <a:ln>
                                  <a:noFill/>
                                </a:ln>
                              </wps:spPr>
                              <wps:txbx>
                                <w:txbxContent>
                                  <w:p>
                                    <w:pPr>
                                      <w:rPr>
                                        <w:rFonts w:hint="default" w:eastAsia="宋体"/>
                                        <w:lang w:val="en-US" w:eastAsia="zh-CN"/>
                                      </w:rPr>
                                    </w:pPr>
                                    <w:r>
                                      <w:rPr>
                                        <w:rFonts w:hint="eastAsia"/>
                                        <w:lang w:val="en-US" w:eastAsia="zh-CN"/>
                                      </w:rPr>
                                      <w:t>1.83</w:t>
                                    </w:r>
                                  </w:p>
                                </w:txbxContent>
                              </wps:txbx>
                              <wps:bodyPr rot="0" vert="horz" wrap="square" lIns="91440" tIns="45720" rIns="91440" bIns="45720" anchor="t" anchorCtr="0" upright="1">
                                <a:noAutofit/>
                              </wps:bodyPr>
                            </wps:wsp>
                            <wps:wsp>
                              <wps:cNvPr id="35" name="矩形 311"/>
                              <wps:cNvSpPr>
                                <a:spLocks noChangeArrowheads="1"/>
                              </wps:cNvSpPr>
                              <wps:spPr bwMode="auto">
                                <a:xfrm>
                                  <a:off x="4124325" y="2597150"/>
                                  <a:ext cx="762635" cy="275590"/>
                                </a:xfrm>
                                <a:prstGeom prst="rect">
                                  <a:avLst/>
                                </a:prstGeom>
                                <a:gradFill rotWithShape="0">
                                  <a:gsLst>
                                    <a:gs pos="0">
                                      <a:srgbClr val="FFFFFF"/>
                                    </a:gs>
                                    <a:gs pos="100000">
                                      <a:srgbClr val="FFFFFF"/>
                                    </a:gs>
                                  </a:gsLst>
                                  <a:lin ang="0"/>
                                </a:gradFill>
                                <a:ln w="15875">
                                  <a:solidFill>
                                    <a:schemeClr val="tx1"/>
                                  </a:solidFill>
                                  <a:miter lim="800000"/>
                                </a:ln>
                              </wps:spPr>
                              <wps:txbx>
                                <w:txbxContent>
                                  <w:p>
                                    <w:pPr>
                                      <w:jc w:val="center"/>
                                    </w:pPr>
                                    <w:r>
                                      <w:rPr>
                                        <w:rFonts w:hint="eastAsia"/>
                                      </w:rPr>
                                      <w:t>预处理池</w:t>
                                    </w:r>
                                  </w:p>
                                </w:txbxContent>
                              </wps:txbx>
                              <wps:bodyPr rot="0" vert="horz" wrap="square" lIns="91440" tIns="45720" rIns="91440" bIns="45720" anchor="t" anchorCtr="0" upright="1">
                                <a:noAutofit/>
                              </wps:bodyPr>
                            </wps:wsp>
                            <wps:wsp>
                              <wps:cNvPr id="36" name="矩形 312"/>
                              <wps:cNvSpPr>
                                <a:spLocks noChangeArrowheads="1"/>
                              </wps:cNvSpPr>
                              <wps:spPr bwMode="auto">
                                <a:xfrm>
                                  <a:off x="1711539" y="329020"/>
                                  <a:ext cx="1181247" cy="362684"/>
                                </a:xfrm>
                                <a:prstGeom prst="rect">
                                  <a:avLst/>
                                </a:prstGeom>
                                <a:gradFill rotWithShape="0">
                                  <a:gsLst>
                                    <a:gs pos="0">
                                      <a:srgbClr val="FFFFFF"/>
                                    </a:gs>
                                    <a:gs pos="100000">
                                      <a:srgbClr val="FFFFFF"/>
                                    </a:gs>
                                  </a:gsLst>
                                  <a:lin ang="0"/>
                                </a:gradFill>
                                <a:ln w="15875">
                                  <a:solidFill>
                                    <a:schemeClr val="tx1"/>
                                  </a:solidFill>
                                  <a:miter lim="800000"/>
                                </a:ln>
                              </wps:spPr>
                              <wps:txbx>
                                <w:txbxContent>
                                  <w:p>
                                    <w:pPr>
                                      <w:jc w:val="center"/>
                                    </w:pPr>
                                    <w:r>
                                      <w:rPr>
                                        <w:rFonts w:hint="eastAsia"/>
                                      </w:rPr>
                                      <w:t>生活</w:t>
                                    </w:r>
                                    <w:r>
                                      <w:t>用水</w:t>
                                    </w:r>
                                  </w:p>
                                </w:txbxContent>
                              </wps:txbx>
                              <wps:bodyPr rot="0" vert="horz" wrap="square" lIns="91440" tIns="45720" rIns="91440" bIns="45720" anchor="t" anchorCtr="0" upright="1">
                                <a:noAutofit/>
                              </wps:bodyPr>
                            </wps:wsp>
                            <wps:wsp>
                              <wps:cNvPr id="41" name="矩形 315"/>
                              <wps:cNvSpPr>
                                <a:spLocks noChangeArrowheads="1"/>
                              </wps:cNvSpPr>
                              <wps:spPr bwMode="auto">
                                <a:xfrm>
                                  <a:off x="4032250" y="3095625"/>
                                  <a:ext cx="845820" cy="438150"/>
                                </a:xfrm>
                                <a:prstGeom prst="rect">
                                  <a:avLst/>
                                </a:prstGeom>
                                <a:noFill/>
                                <a:ln w="15875">
                                  <a:solidFill>
                                    <a:schemeClr val="tx1"/>
                                  </a:solidFill>
                                  <a:miter lim="800000"/>
                                </a:ln>
                              </wps:spPr>
                              <wps:txbx>
                                <w:txbxContent>
                                  <w:p>
                                    <w:pPr>
                                      <w:jc w:val="center"/>
                                      <w:rPr>
                                        <w:rFonts w:hint="default"/>
                                        <w:lang w:val="en-US"/>
                                      </w:rPr>
                                    </w:pPr>
                                    <w:r>
                                      <w:rPr>
                                        <w:rFonts w:hint="eastAsia"/>
                                        <w:lang w:val="en-US" w:eastAsia="zh-CN"/>
                                      </w:rPr>
                                      <w:t>园区污水管网</w:t>
                                    </w:r>
                                  </w:p>
                                  <w:p>
                                    <w:pPr>
                                      <w:jc w:val="center"/>
                                      <w:rPr>
                                        <w:color w:val="auto"/>
                                        <w14:textOutline w14:w="9525">
                                          <w14:solidFill>
                                            <w14:schemeClr w14:val="accent1"/>
                                          </w14:solidFill>
                                          <w14:round/>
                                        </w14:textOutline>
                                      </w:rPr>
                                    </w:pPr>
                                  </w:p>
                                </w:txbxContent>
                              </wps:txbx>
                              <wps:bodyPr rot="0" vert="horz" wrap="square" lIns="91440" tIns="45720" rIns="91440" bIns="45720" anchor="t" anchorCtr="0" upright="1">
                                <a:noAutofit/>
                              </wps:bodyPr>
                            </wps:wsp>
                            <wps:wsp>
                              <wps:cNvPr id="51" name="矩形 317"/>
                              <wps:cNvSpPr>
                                <a:spLocks noChangeArrowheads="1"/>
                              </wps:cNvSpPr>
                              <wps:spPr bwMode="auto">
                                <a:xfrm>
                                  <a:off x="4015740" y="4391660"/>
                                  <a:ext cx="913765" cy="285750"/>
                                </a:xfrm>
                                <a:prstGeom prst="rect">
                                  <a:avLst/>
                                </a:prstGeom>
                                <a:gradFill rotWithShape="0">
                                  <a:gsLst>
                                    <a:gs pos="0">
                                      <a:srgbClr val="FFFFFF"/>
                                    </a:gs>
                                    <a:gs pos="100000">
                                      <a:srgbClr val="FFFFFF"/>
                                    </a:gs>
                                  </a:gsLst>
                                  <a:lin ang="0"/>
                                </a:gradFill>
                                <a:ln w="15875">
                                  <a:solidFill>
                                    <a:schemeClr val="tx1"/>
                                  </a:solidFill>
                                  <a:miter lim="800000"/>
                                </a:ln>
                              </wps:spPr>
                              <wps:txbx>
                                <w:txbxContent>
                                  <w:p>
                                    <w:pPr>
                                      <w:jc w:val="center"/>
                                      <w:rPr>
                                        <w:rFonts w:hint="eastAsia" w:eastAsia="宋体"/>
                                        <w:sz w:val="18"/>
                                        <w:lang w:eastAsia="zh-CN"/>
                                      </w:rPr>
                                    </w:pPr>
                                    <w:r>
                                      <w:rPr>
                                        <w:rFonts w:hint="eastAsia"/>
                                        <w:kern w:val="0"/>
                                        <w:lang w:eastAsia="zh-CN"/>
                                      </w:rPr>
                                      <w:t>郪江</w:t>
                                    </w:r>
                                  </w:p>
                                </w:txbxContent>
                              </wps:txbx>
                              <wps:bodyPr rot="0" vert="horz" wrap="square" lIns="91440" tIns="45720" rIns="91440" bIns="45720" anchor="t" anchorCtr="0" upright="1">
                                <a:noAutofit/>
                              </wps:bodyPr>
                            </wps:wsp>
                            <wps:wsp>
                              <wps:cNvPr id="84" name="矩形 318"/>
                              <wps:cNvSpPr>
                                <a:spLocks noChangeArrowheads="1"/>
                              </wps:cNvSpPr>
                              <wps:spPr bwMode="auto">
                                <a:xfrm>
                                  <a:off x="3966210" y="3726180"/>
                                  <a:ext cx="1120775" cy="424815"/>
                                </a:xfrm>
                                <a:prstGeom prst="rect">
                                  <a:avLst/>
                                </a:prstGeom>
                                <a:gradFill rotWithShape="0">
                                  <a:gsLst>
                                    <a:gs pos="0">
                                      <a:srgbClr val="FFFFFF"/>
                                    </a:gs>
                                    <a:gs pos="100000">
                                      <a:srgbClr val="FFFFFF"/>
                                    </a:gs>
                                  </a:gsLst>
                                  <a:lin ang="0"/>
                                </a:gradFill>
                                <a:ln w="15875">
                                  <a:solidFill>
                                    <a:schemeClr val="tx1"/>
                                  </a:solidFill>
                                  <a:miter lim="800000"/>
                                </a:ln>
                              </wps:spPr>
                              <wps:txbx>
                                <w:txbxContent>
                                  <w:p>
                                    <w:pPr>
                                      <w:jc w:val="center"/>
                                      <w:rPr>
                                        <w:rFonts w:hint="default" w:eastAsia="宋体"/>
                                        <w:lang w:val="en-US" w:eastAsia="zh-CN"/>
                                      </w:rPr>
                                    </w:pPr>
                                    <w:r>
                                      <w:rPr>
                                        <w:rFonts w:hint="eastAsia"/>
                                      </w:rPr>
                                      <w:t>大英工业集中区</w:t>
                                    </w:r>
                                    <w:r>
                                      <w:rPr>
                                        <w:rFonts w:hint="eastAsia"/>
                                        <w:lang w:val="en-US" w:eastAsia="zh-CN"/>
                                      </w:rPr>
                                      <w:t>污水处理厂</w:t>
                                    </w:r>
                                  </w:p>
                                </w:txbxContent>
                              </wps:txbx>
                              <wps:bodyPr rot="0" vert="horz" wrap="square" lIns="91440" tIns="45720" rIns="91440" bIns="45720" anchor="t" anchorCtr="0" upright="1">
                                <a:noAutofit/>
                              </wps:bodyPr>
                            </wps:wsp>
                            <wps:wsp>
                              <wps:cNvPr id="87" name="矩形 321"/>
                              <wps:cNvSpPr>
                                <a:spLocks noChangeArrowheads="1"/>
                              </wps:cNvSpPr>
                              <wps:spPr bwMode="auto">
                                <a:xfrm>
                                  <a:off x="53340" y="1576070"/>
                                  <a:ext cx="514350" cy="276860"/>
                                </a:xfrm>
                                <a:prstGeom prst="rect">
                                  <a:avLst/>
                                </a:prstGeom>
                                <a:gradFill rotWithShape="0">
                                  <a:gsLst>
                                    <a:gs pos="0">
                                      <a:srgbClr val="FFFFFF"/>
                                    </a:gs>
                                    <a:gs pos="100000">
                                      <a:srgbClr val="FFFFFF"/>
                                    </a:gs>
                                  </a:gsLst>
                                  <a:lin ang="0"/>
                                </a:gradFill>
                                <a:ln>
                                  <a:noFill/>
                                </a:ln>
                              </wps:spPr>
                              <wps:txbx>
                                <w:txbxContent>
                                  <w:p>
                                    <w:pPr>
                                      <w:rPr>
                                        <w:rFonts w:hint="default" w:eastAsia="宋体"/>
                                        <w:lang w:val="en-US" w:eastAsia="zh-CN"/>
                                      </w:rPr>
                                    </w:pPr>
                                    <w:r>
                                      <w:rPr>
                                        <w:rFonts w:hint="eastAsia"/>
                                        <w:lang w:val="en-US" w:eastAsia="zh-CN"/>
                                      </w:rPr>
                                      <w:t>2.007</w:t>
                                    </w:r>
                                  </w:p>
                                </w:txbxContent>
                              </wps:txbx>
                              <wps:bodyPr rot="0" vert="horz" wrap="square" lIns="91440" tIns="45720" rIns="91440" bIns="45720" anchor="t" anchorCtr="0" upright="1">
                                <a:noAutofit/>
                              </wps:bodyPr>
                            </wps:wsp>
                            <wps:wsp>
                              <wps:cNvPr id="89" name="矩形 322"/>
                              <wps:cNvSpPr>
                                <a:spLocks noChangeArrowheads="1"/>
                              </wps:cNvSpPr>
                              <wps:spPr bwMode="auto">
                                <a:xfrm>
                                  <a:off x="0" y="1322070"/>
                                  <a:ext cx="599440" cy="274320"/>
                                </a:xfrm>
                                <a:prstGeom prst="rect">
                                  <a:avLst/>
                                </a:prstGeom>
                                <a:gradFill rotWithShape="0">
                                  <a:gsLst>
                                    <a:gs pos="0">
                                      <a:srgbClr val="FFFFFF"/>
                                    </a:gs>
                                    <a:gs pos="100000">
                                      <a:srgbClr val="FFFFFF"/>
                                    </a:gs>
                                  </a:gsLst>
                                  <a:lin ang="0"/>
                                </a:gradFill>
                                <a:ln>
                                  <a:noFill/>
                                </a:ln>
                              </wps:spPr>
                              <wps:txbx>
                                <w:txbxContent>
                                  <w:p>
                                    <w:r>
                                      <w:rPr>
                                        <w:rFonts w:hint="eastAsia"/>
                                      </w:rPr>
                                      <w:t>自来水</w:t>
                                    </w:r>
                                  </w:p>
                                </w:txbxContent>
                              </wps:txbx>
                              <wps:bodyPr rot="0" vert="horz" wrap="square" lIns="91440" tIns="45720" rIns="91440" bIns="45720" anchor="t" anchorCtr="0" upright="1">
                                <a:noAutofit/>
                              </wps:bodyPr>
                            </wps:wsp>
                            <wps:wsp>
                              <wps:cNvPr id="100" name="矩形 325"/>
                              <wps:cNvSpPr>
                                <a:spLocks noChangeArrowheads="1"/>
                              </wps:cNvSpPr>
                              <wps:spPr bwMode="auto">
                                <a:xfrm>
                                  <a:off x="1083445" y="243907"/>
                                  <a:ext cx="514414" cy="276936"/>
                                </a:xfrm>
                                <a:prstGeom prst="rect">
                                  <a:avLst/>
                                </a:prstGeom>
                                <a:gradFill rotWithShape="0">
                                  <a:gsLst>
                                    <a:gs pos="0">
                                      <a:srgbClr val="FFFFFF"/>
                                    </a:gs>
                                    <a:gs pos="100000">
                                      <a:srgbClr val="FFFFFF"/>
                                    </a:gs>
                                  </a:gsLst>
                                  <a:lin ang="0"/>
                                </a:gradFill>
                                <a:ln>
                                  <a:noFill/>
                                </a:ln>
                              </wps:spPr>
                              <wps:txbx>
                                <w:txbxContent>
                                  <w:p>
                                    <w:pPr>
                                      <w:rPr>
                                        <w:rFonts w:hint="default" w:eastAsia="宋体"/>
                                        <w:lang w:val="en-US" w:eastAsia="zh-CN"/>
                                      </w:rPr>
                                    </w:pPr>
                                    <w:r>
                                      <w:rPr>
                                        <w:rFonts w:hint="eastAsia"/>
                                      </w:rPr>
                                      <w:t>0.</w:t>
                                    </w:r>
                                    <w:r>
                                      <w:rPr>
                                        <w:rFonts w:hint="eastAsia"/>
                                        <w:lang w:val="en-US" w:eastAsia="zh-CN"/>
                                      </w:rPr>
                                      <w:t>067</w:t>
                                    </w:r>
                                  </w:p>
                                </w:txbxContent>
                              </wps:txbx>
                              <wps:bodyPr rot="0" vert="horz" wrap="square" lIns="91440" tIns="45720" rIns="91440" bIns="45720" anchor="t" anchorCtr="0" upright="1">
                                <a:noAutofit/>
                              </wps:bodyPr>
                            </wps:wsp>
                            <wps:wsp>
                              <wps:cNvPr id="101" name="自选图形 339"/>
                              <wps:cNvCnPr>
                                <a:cxnSpLocks noChangeShapeType="1"/>
                                <a:endCxn id="101" idx="1"/>
                              </wps:cNvCnPr>
                              <wps:spPr bwMode="auto">
                                <a:xfrm flipV="1">
                                  <a:off x="0" y="510540"/>
                                  <a:ext cx="1711325" cy="1076960"/>
                                </a:xfrm>
                                <a:prstGeom prst="bentConnector3">
                                  <a:avLst>
                                    <a:gd name="adj1" fmla="val 31873"/>
                                  </a:avLst>
                                </a:prstGeom>
                                <a:noFill/>
                                <a:ln w="15875">
                                  <a:solidFill>
                                    <a:schemeClr val="tx1"/>
                                  </a:solidFill>
                                  <a:miter lim="800000"/>
                                  <a:tailEnd type="triangle" w="med" len="med"/>
                                </a:ln>
                              </wps:spPr>
                              <wps:bodyPr/>
                            </wps:wsp>
                            <wps:wsp>
                              <wps:cNvPr id="102" name="自选图形 350"/>
                              <wps:cNvCnPr>
                                <a:cxnSpLocks noChangeShapeType="1"/>
                              </wps:cNvCnPr>
                              <wps:spPr bwMode="auto">
                                <a:xfrm>
                                  <a:off x="2453005" y="2745105"/>
                                  <a:ext cx="354965" cy="635"/>
                                </a:xfrm>
                                <a:prstGeom prst="straightConnector1">
                                  <a:avLst/>
                                </a:prstGeom>
                                <a:noFill/>
                                <a:ln w="15875">
                                  <a:solidFill>
                                    <a:schemeClr val="tx1"/>
                                  </a:solidFill>
                                  <a:round/>
                                  <a:tailEnd type="triangle" w="med" len="med"/>
                                </a:ln>
                              </wps:spPr>
                              <wps:bodyPr/>
                            </wps:wsp>
                            <wps:wsp>
                              <wps:cNvPr id="103" name="自选图形 351"/>
                              <wps:cNvCnPr>
                                <a:cxnSpLocks noChangeShapeType="1"/>
                              </wps:cNvCnPr>
                              <wps:spPr bwMode="auto">
                                <a:xfrm rot="5400000">
                                  <a:off x="4385310" y="4304030"/>
                                  <a:ext cx="217170" cy="1905"/>
                                </a:xfrm>
                                <a:prstGeom prst="bentConnector3">
                                  <a:avLst>
                                    <a:gd name="adj1" fmla="val -10964"/>
                                  </a:avLst>
                                </a:prstGeom>
                                <a:noFill/>
                                <a:ln w="15875">
                                  <a:solidFill>
                                    <a:schemeClr val="tx1"/>
                                  </a:solidFill>
                                  <a:miter lim="800000"/>
                                  <a:tailEnd type="triangle" w="med" len="med"/>
                                </a:ln>
                              </wps:spPr>
                              <wps:bodyPr/>
                            </wps:wsp>
                            <wps:wsp>
                              <wps:cNvPr id="104" name="自选图形 352"/>
                              <wps:cNvCnPr>
                                <a:cxnSpLocks noChangeShapeType="1"/>
                              </wps:cNvCnPr>
                              <wps:spPr bwMode="auto">
                                <a:xfrm rot="16200000" flipH="1">
                                  <a:off x="4377055" y="2983230"/>
                                  <a:ext cx="212725" cy="635"/>
                                </a:xfrm>
                                <a:prstGeom prst="bentConnector3">
                                  <a:avLst>
                                    <a:gd name="adj1" fmla="val 49852"/>
                                  </a:avLst>
                                </a:prstGeom>
                                <a:noFill/>
                                <a:ln w="15875">
                                  <a:solidFill>
                                    <a:schemeClr val="tx1"/>
                                  </a:solidFill>
                                  <a:miter lim="800000"/>
                                  <a:tailEnd type="triangle" w="med" len="med"/>
                                </a:ln>
                              </wps:spPr>
                              <wps:bodyPr/>
                            </wps:wsp>
                            <wps:wsp>
                              <wps:cNvPr id="105" name="自选图形 353"/>
                              <wps:cNvCnPr>
                                <a:cxnSpLocks noChangeShapeType="1"/>
                              </wps:cNvCnPr>
                              <wps:spPr bwMode="auto">
                                <a:xfrm rot="5400000">
                                  <a:off x="4408170" y="3623945"/>
                                  <a:ext cx="171450" cy="3175"/>
                                </a:xfrm>
                                <a:prstGeom prst="bentConnector3">
                                  <a:avLst>
                                    <a:gd name="adj1" fmla="val 50185"/>
                                  </a:avLst>
                                </a:prstGeom>
                                <a:noFill/>
                                <a:ln w="15875">
                                  <a:solidFill>
                                    <a:schemeClr val="tx1"/>
                                  </a:solidFill>
                                  <a:miter lim="800000"/>
                                  <a:tailEnd type="triangle" w="med" len="med"/>
                                </a:ln>
                              </wps:spPr>
                              <wps:bodyPr/>
                            </wps:wsp>
                            <wps:wsp>
                              <wps:cNvPr id="106" name="矩形 355"/>
                              <wps:cNvSpPr>
                                <a:spLocks noChangeArrowheads="1"/>
                              </wps:cNvSpPr>
                              <wps:spPr bwMode="auto">
                                <a:xfrm>
                                  <a:off x="2525710" y="0"/>
                                  <a:ext cx="812266" cy="276936"/>
                                </a:xfrm>
                                <a:prstGeom prst="rect">
                                  <a:avLst/>
                                </a:prstGeom>
                                <a:gradFill rotWithShape="0">
                                  <a:gsLst>
                                    <a:gs pos="0">
                                      <a:srgbClr val="FFFFFF"/>
                                    </a:gs>
                                    <a:gs pos="100000">
                                      <a:srgbClr val="FFFFFF"/>
                                    </a:gs>
                                  </a:gsLst>
                                  <a:lin ang="0"/>
                                </a:gradFill>
                                <a:ln>
                                  <a:noFill/>
                                </a:ln>
                              </wps:spPr>
                              <wps:txbx>
                                <w:txbxContent>
                                  <w:p>
                                    <w:pPr>
                                      <w:rPr>
                                        <w:rFonts w:hint="default" w:eastAsia="宋体"/>
                                        <w:lang w:val="en-US" w:eastAsia="zh-CN"/>
                                      </w:rPr>
                                    </w:pPr>
                                    <w:r>
                                      <w:rPr>
                                        <w:rFonts w:hint="eastAsia"/>
                                      </w:rPr>
                                      <w:t>损耗0.</w:t>
                                    </w:r>
                                    <w:r>
                                      <w:rPr>
                                        <w:rFonts w:hint="eastAsia"/>
                                        <w:lang w:val="en-US" w:eastAsia="zh-CN"/>
                                      </w:rPr>
                                      <w:t>014</w:t>
                                    </w:r>
                                  </w:p>
                                </w:txbxContent>
                              </wps:txbx>
                              <wps:bodyPr rot="0" vert="horz" wrap="square" lIns="91440" tIns="45720" rIns="91440" bIns="45720" anchor="t" anchorCtr="0" upright="1">
                                <a:noAutofit/>
                              </wps:bodyPr>
                            </wps:wsp>
                            <wps:wsp>
                              <wps:cNvPr id="107" name="自选图形 357"/>
                              <wps:cNvCnPr>
                                <a:cxnSpLocks noChangeShapeType="1"/>
                              </wps:cNvCnPr>
                              <wps:spPr bwMode="auto">
                                <a:xfrm rot="16200000">
                                  <a:off x="2322471" y="118159"/>
                                  <a:ext cx="182930" cy="223548"/>
                                </a:xfrm>
                                <a:prstGeom prst="curvedConnector2">
                                  <a:avLst/>
                                </a:prstGeom>
                                <a:noFill/>
                                <a:ln w="15875">
                                  <a:solidFill>
                                    <a:schemeClr val="tx1"/>
                                  </a:solidFill>
                                  <a:round/>
                                  <a:tailEnd type="triangle" w="med" len="med"/>
                                </a:ln>
                              </wps:spPr>
                              <wps:bodyPr/>
                            </wps:wsp>
                            <wps:wsp>
                              <wps:cNvPr id="108" name="Rectangle 1096"/>
                              <wps:cNvSpPr>
                                <a:spLocks noChangeArrowheads="1"/>
                              </wps:cNvSpPr>
                              <wps:spPr bwMode="auto">
                                <a:xfrm>
                                  <a:off x="1694180" y="2609215"/>
                                  <a:ext cx="736600" cy="355600"/>
                                </a:xfrm>
                                <a:prstGeom prst="rect">
                                  <a:avLst/>
                                </a:prstGeom>
                                <a:gradFill rotWithShape="0">
                                  <a:gsLst>
                                    <a:gs pos="0">
                                      <a:srgbClr val="FFFFFF"/>
                                    </a:gs>
                                    <a:gs pos="100000">
                                      <a:srgbClr val="FFFFFF"/>
                                    </a:gs>
                                  </a:gsLst>
                                  <a:lin ang="0"/>
                                </a:gradFill>
                                <a:ln w="15875">
                                  <a:solidFill>
                                    <a:schemeClr val="tx1"/>
                                  </a:solidFill>
                                  <a:miter lim="800000"/>
                                </a:ln>
                              </wps:spPr>
                              <wps:txbx>
                                <w:txbxContent>
                                  <w:p>
                                    <w:pPr>
                                      <w:jc w:val="center"/>
                                    </w:pPr>
                                    <w:r>
                                      <w:rPr>
                                        <w:rFonts w:hint="eastAsia"/>
                                      </w:rPr>
                                      <w:t>凝结水箱</w:t>
                                    </w:r>
                                  </w:p>
                                </w:txbxContent>
                              </wps:txbx>
                              <wps:bodyPr rot="0" vert="horz" wrap="square" lIns="91440" tIns="45720" rIns="91440" bIns="45720" anchor="t" anchorCtr="0" upright="1">
                                <a:noAutofit/>
                              </wps:bodyPr>
                            </wps:wsp>
                            <wps:wsp>
                              <wps:cNvPr id="109" name="AutoShape 1097"/>
                              <wps:cNvCnPr>
                                <a:cxnSpLocks noChangeShapeType="1"/>
                              </wps:cNvCnPr>
                              <wps:spPr bwMode="auto">
                                <a:xfrm flipV="1">
                                  <a:off x="3451225" y="2766060"/>
                                  <a:ext cx="664845" cy="5080"/>
                                </a:xfrm>
                                <a:prstGeom prst="straightConnector1">
                                  <a:avLst/>
                                </a:prstGeom>
                                <a:noFill/>
                                <a:ln w="15875">
                                  <a:solidFill>
                                    <a:schemeClr val="tx1"/>
                                  </a:solidFill>
                                  <a:round/>
                                  <a:tailEnd type="triangle" w="med" len="med"/>
                                </a:ln>
                              </wps:spPr>
                              <wps:bodyPr/>
                            </wps:wsp>
                            <wps:wsp>
                              <wps:cNvPr id="111" name="Rectangle 1098"/>
                              <wps:cNvSpPr>
                                <a:spLocks noChangeArrowheads="1"/>
                              </wps:cNvSpPr>
                              <wps:spPr bwMode="auto">
                                <a:xfrm>
                                  <a:off x="1713230" y="1957705"/>
                                  <a:ext cx="1050925" cy="389255"/>
                                </a:xfrm>
                                <a:prstGeom prst="rect">
                                  <a:avLst/>
                                </a:prstGeom>
                                <a:noFill/>
                                <a:ln>
                                  <a:noFill/>
                                </a:ln>
                              </wps:spPr>
                              <wps:txbx>
                                <w:txbxContent>
                                  <w:p>
                                    <w:pPr>
                                      <w:rPr>
                                        <w:rFonts w:hint="default" w:eastAsia="宋体"/>
                                        <w:lang w:val="en-US" w:eastAsia="zh-CN"/>
                                      </w:rPr>
                                    </w:pPr>
                                    <w:r>
                                      <w:rPr>
                                        <w:rFonts w:hint="eastAsia"/>
                                      </w:rPr>
                                      <w:t>冷凝回用</w:t>
                                    </w:r>
                                    <w:r>
                                      <w:rPr>
                                        <w:rFonts w:hint="eastAsia"/>
                                        <w:lang w:val="en-US" w:eastAsia="zh-CN"/>
                                      </w:rPr>
                                      <w:t>10.14</w:t>
                                    </w:r>
                                  </w:p>
                                </w:txbxContent>
                              </wps:txbx>
                              <wps:bodyPr rot="0" vert="horz" wrap="square" lIns="91440" tIns="45720" rIns="91440" bIns="45720" anchor="t" anchorCtr="0" upright="1">
                                <a:noAutofit/>
                              </wps:bodyPr>
                            </wps:wsp>
                            <wps:wsp>
                              <wps:cNvPr id="112" name="Rectangle 1108"/>
                              <wps:cNvSpPr>
                                <a:spLocks noChangeArrowheads="1"/>
                              </wps:cNvSpPr>
                              <wps:spPr bwMode="auto">
                                <a:xfrm>
                                  <a:off x="2799080" y="2608580"/>
                                  <a:ext cx="660400" cy="355600"/>
                                </a:xfrm>
                                <a:prstGeom prst="rect">
                                  <a:avLst/>
                                </a:prstGeom>
                                <a:gradFill rotWithShape="0">
                                  <a:gsLst>
                                    <a:gs pos="0">
                                      <a:srgbClr val="FFFFFF"/>
                                    </a:gs>
                                    <a:gs pos="100000">
                                      <a:srgbClr val="FFFFFF"/>
                                    </a:gs>
                                  </a:gsLst>
                                  <a:lin ang="0"/>
                                </a:gradFill>
                                <a:ln w="15875">
                                  <a:solidFill>
                                    <a:schemeClr val="tx1"/>
                                  </a:solidFill>
                                  <a:miter lim="800000"/>
                                </a:ln>
                              </wps:spPr>
                              <wps:txbx>
                                <w:txbxContent>
                                  <w:p>
                                    <w:pPr>
                                      <w:jc w:val="center"/>
                                    </w:pPr>
                                    <w:r>
                                      <w:rPr>
                                        <w:rFonts w:hint="eastAsia"/>
                                      </w:rPr>
                                      <w:t>锅炉</w:t>
                                    </w:r>
                                  </w:p>
                                </w:txbxContent>
                              </wps:txbx>
                              <wps:bodyPr rot="0" vert="horz" wrap="square" lIns="91440" tIns="45720" rIns="91440" bIns="45720" anchor="t" anchorCtr="0" upright="1">
                                <a:noAutofit/>
                              </wps:bodyPr>
                            </wps:wsp>
                            <wps:wsp>
                              <wps:cNvPr id="113" name="自选图形 379"/>
                              <wps:cNvCnPr>
                                <a:cxnSpLocks noChangeShapeType="1"/>
                              </wps:cNvCnPr>
                              <wps:spPr bwMode="auto">
                                <a:xfrm rot="10800000" flipV="1">
                                  <a:off x="2062480" y="2212975"/>
                                  <a:ext cx="736600" cy="396240"/>
                                </a:xfrm>
                                <a:prstGeom prst="bentConnector2">
                                  <a:avLst/>
                                </a:prstGeom>
                                <a:noFill/>
                                <a:ln w="15875">
                                  <a:solidFill>
                                    <a:schemeClr val="tx1"/>
                                  </a:solidFill>
                                  <a:miter lim="800000"/>
                                  <a:tailEnd type="triangle" w="med" len="med"/>
                                </a:ln>
                              </wps:spPr>
                              <wps:bodyPr/>
                            </wps:wsp>
                            <wps:wsp>
                              <wps:cNvPr id="114" name="Rectangle 1115"/>
                              <wps:cNvSpPr>
                                <a:spLocks noChangeArrowheads="1"/>
                              </wps:cNvSpPr>
                              <wps:spPr bwMode="auto">
                                <a:xfrm>
                                  <a:off x="3922395" y="2027555"/>
                                  <a:ext cx="526415" cy="399415"/>
                                </a:xfrm>
                                <a:prstGeom prst="rect">
                                  <a:avLst/>
                                </a:prstGeom>
                                <a:gradFill rotWithShape="0">
                                  <a:gsLst>
                                    <a:gs pos="0">
                                      <a:srgbClr val="FFFFFF"/>
                                    </a:gs>
                                    <a:gs pos="100000">
                                      <a:srgbClr val="FFFFFF"/>
                                    </a:gs>
                                  </a:gsLst>
                                  <a:lin ang="0"/>
                                </a:gradFill>
                                <a:ln>
                                  <a:noFill/>
                                </a:ln>
                              </wps:spPr>
                              <wps:txbx>
                                <w:txbxContent>
                                  <w:p>
                                    <w:pPr>
                                      <w:jc w:val="center"/>
                                      <w:rPr>
                                        <w:rFonts w:hint="default" w:eastAsia="宋体"/>
                                        <w:lang w:val="en-US" w:eastAsia="zh-CN"/>
                                      </w:rPr>
                                    </w:pPr>
                                    <w:r>
                                      <w:rPr>
                                        <w:rFonts w:hint="eastAsia"/>
                                      </w:rPr>
                                      <w:t>损耗</w:t>
                                    </w:r>
                                    <w:r>
                                      <w:rPr>
                                        <w:rFonts w:hint="eastAsia"/>
                                        <w:lang w:val="en-US" w:eastAsia="zh-CN"/>
                                      </w:rPr>
                                      <w:t>1.26</w:t>
                                    </w:r>
                                  </w:p>
                                </w:txbxContent>
                              </wps:txbx>
                              <wps:bodyPr rot="0" vert="horz" wrap="square" lIns="91440" tIns="45720" rIns="91440" bIns="45720" anchor="t" anchorCtr="0" upright="1">
                                <a:noAutofit/>
                              </wps:bodyPr>
                            </wps:wsp>
                            <wps:wsp>
                              <wps:cNvPr id="115" name="Rectangle 1117"/>
                              <wps:cNvSpPr>
                                <a:spLocks noChangeArrowheads="1"/>
                              </wps:cNvSpPr>
                              <wps:spPr bwMode="auto">
                                <a:xfrm>
                                  <a:off x="1703918" y="3189843"/>
                                  <a:ext cx="736692" cy="451609"/>
                                </a:xfrm>
                                <a:prstGeom prst="rect">
                                  <a:avLst/>
                                </a:prstGeom>
                                <a:gradFill rotWithShape="0">
                                  <a:gsLst>
                                    <a:gs pos="0">
                                      <a:srgbClr val="FFFFFF"/>
                                    </a:gs>
                                    <a:gs pos="100000">
                                      <a:srgbClr val="FFFFFF"/>
                                    </a:gs>
                                  </a:gsLst>
                                  <a:lin ang="0"/>
                                </a:gradFill>
                                <a:ln w="15875">
                                  <a:solidFill>
                                    <a:schemeClr val="tx1"/>
                                  </a:solidFill>
                                  <a:miter lim="800000"/>
                                </a:ln>
                              </wps:spPr>
                              <wps:txbx>
                                <w:txbxContent>
                                  <w:p>
                                    <w:pPr>
                                      <w:jc w:val="center"/>
                                    </w:pPr>
                                    <w:r>
                                      <w:rPr>
                                        <w:rFonts w:hint="eastAsia"/>
                                      </w:rPr>
                                      <w:t>锅炉清洗用水</w:t>
                                    </w:r>
                                  </w:p>
                                </w:txbxContent>
                              </wps:txbx>
                              <wps:bodyPr rot="0" vert="horz" wrap="square" lIns="91440" tIns="45720" rIns="91440" bIns="45720" anchor="t" anchorCtr="0" upright="1">
                                <a:noAutofit/>
                              </wps:bodyPr>
                            </wps:wsp>
                            <wps:wsp>
                              <wps:cNvPr id="116" name="自选图形 350"/>
                              <wps:cNvCnPr>
                                <a:cxnSpLocks noChangeShapeType="1"/>
                              </wps:cNvCnPr>
                              <wps:spPr bwMode="auto">
                                <a:xfrm>
                                  <a:off x="2446960" y="3389922"/>
                                  <a:ext cx="342308" cy="0"/>
                                </a:xfrm>
                                <a:prstGeom prst="straightConnector1">
                                  <a:avLst/>
                                </a:prstGeom>
                                <a:noFill/>
                                <a:ln w="15875">
                                  <a:solidFill>
                                    <a:schemeClr val="tx1"/>
                                  </a:solidFill>
                                  <a:round/>
                                  <a:tailEnd type="triangle" w="med" len="med"/>
                                </a:ln>
                              </wps:spPr>
                              <wps:bodyPr/>
                            </wps:wsp>
                            <wps:wsp>
                              <wps:cNvPr id="123" name="Rectangle 1119"/>
                              <wps:cNvSpPr>
                                <a:spLocks noChangeArrowheads="1"/>
                              </wps:cNvSpPr>
                              <wps:spPr bwMode="auto">
                                <a:xfrm>
                                  <a:off x="2798794" y="3200005"/>
                                  <a:ext cx="1041530" cy="487813"/>
                                </a:xfrm>
                                <a:prstGeom prst="rect">
                                  <a:avLst/>
                                </a:prstGeom>
                                <a:gradFill rotWithShape="0">
                                  <a:gsLst>
                                    <a:gs pos="0">
                                      <a:srgbClr val="FFFFFF"/>
                                    </a:gs>
                                    <a:gs pos="100000">
                                      <a:srgbClr val="FFFFFF"/>
                                    </a:gs>
                                  </a:gsLst>
                                  <a:lin ang="0"/>
                                </a:gradFill>
                                <a:ln w="15875">
                                  <a:solidFill>
                                    <a:schemeClr val="tx1"/>
                                  </a:solidFill>
                                  <a:miter lim="800000"/>
                                </a:ln>
                              </wps:spPr>
                              <wps:txbx>
                                <w:txbxContent>
                                  <w:p>
                                    <w:pPr>
                                      <w:jc w:val="center"/>
                                    </w:pPr>
                                    <w:r>
                                      <w:rPr>
                                        <w:rFonts w:hint="eastAsia"/>
                                      </w:rPr>
                                      <w:t>委托有处理能力单位处理</w:t>
                                    </w:r>
                                  </w:p>
                                </w:txbxContent>
                              </wps:txbx>
                              <wps:bodyPr rot="0" vert="horz" wrap="square" lIns="91440" tIns="45720" rIns="91440" bIns="45720" anchor="t" anchorCtr="0" upright="1">
                                <a:noAutofit/>
                              </wps:bodyPr>
                            </wps:wsp>
                            <wps:wsp>
                              <wps:cNvPr id="125" name="矩形 491"/>
                              <wps:cNvSpPr>
                                <a:spLocks noChangeArrowheads="1"/>
                              </wps:cNvSpPr>
                              <wps:spPr bwMode="auto">
                                <a:xfrm>
                                  <a:off x="868680" y="1421130"/>
                                  <a:ext cx="1216660" cy="266700"/>
                                </a:xfrm>
                                <a:prstGeom prst="rect">
                                  <a:avLst/>
                                </a:prstGeom>
                                <a:gradFill rotWithShape="0">
                                  <a:gsLst>
                                    <a:gs pos="0">
                                      <a:srgbClr val="FFFFFF"/>
                                    </a:gs>
                                    <a:gs pos="100000">
                                      <a:srgbClr val="FFFFFF"/>
                                    </a:gs>
                                  </a:gsLst>
                                  <a:lin ang="0"/>
                                </a:gradFill>
                                <a:ln w="15875">
                                  <a:solidFill>
                                    <a:schemeClr val="tx1"/>
                                  </a:solidFill>
                                </a:ln>
                              </wps:spPr>
                              <wps:txbx>
                                <w:txbxContent>
                                  <w:p>
                                    <w:pPr>
                                      <w:rPr>
                                        <w:rFonts w:hint="default" w:eastAsia="宋体"/>
                                        <w:lang w:val="en-US" w:eastAsia="zh-CN"/>
                                      </w:rPr>
                                    </w:pPr>
                                    <w:r>
                                      <w:rPr>
                                        <w:rFonts w:hint="eastAsia"/>
                                      </w:rPr>
                                      <w:t>纯水</w:t>
                                    </w:r>
                                    <w:r>
                                      <w:rPr>
                                        <w:rFonts w:hint="eastAsia"/>
                                        <w:lang w:val="en-US" w:eastAsia="zh-CN"/>
                                      </w:rPr>
                                      <w:t>制备机1.93</w:t>
                                    </w:r>
                                  </w:p>
                                </w:txbxContent>
                              </wps:txbx>
                              <wps:bodyPr rot="0" vert="horz" wrap="square" lIns="91440" tIns="45720" rIns="91440" bIns="45720" anchor="t" anchorCtr="0" upright="1">
                                <a:noAutofit/>
                              </wps:bodyPr>
                            </wps:wsp>
                            <wps:wsp>
                              <wps:cNvPr id="126" name="Rectangle 1121"/>
                              <wps:cNvSpPr>
                                <a:spLocks noChangeArrowheads="1"/>
                              </wps:cNvSpPr>
                              <wps:spPr bwMode="auto">
                                <a:xfrm>
                                  <a:off x="2389505" y="2506980"/>
                                  <a:ext cx="571500" cy="266700"/>
                                </a:xfrm>
                                <a:prstGeom prst="rect">
                                  <a:avLst/>
                                </a:prstGeom>
                                <a:noFill/>
                                <a:ln>
                                  <a:noFill/>
                                </a:ln>
                              </wps:spPr>
                              <wps:txbx>
                                <w:txbxContent>
                                  <w:p>
                                    <w:pPr>
                                      <w:pStyle w:val="2"/>
                                      <w:rPr>
                                        <w:rFonts w:hint="default" w:eastAsia="宋体"/>
                                        <w:lang w:val="en-US" w:eastAsia="zh-CN"/>
                                      </w:rPr>
                                    </w:pPr>
                                    <w:r>
                                      <w:rPr>
                                        <w:rFonts w:hint="eastAsia"/>
                                        <w:lang w:val="en-US" w:eastAsia="zh-CN"/>
                                      </w:rPr>
                                      <w:t>11.97</w:t>
                                    </w:r>
                                  </w:p>
                                </w:txbxContent>
                              </wps:txbx>
                              <wps:bodyPr rot="0" vert="horz" wrap="square" lIns="91440" tIns="45720" rIns="91440" bIns="45720" anchor="t" anchorCtr="0" upright="1">
                                <a:noAutofit/>
                              </wps:bodyPr>
                            </wps:wsp>
                            <wps:wsp>
                              <wps:cNvPr id="127" name="Rectangle 1122"/>
                              <wps:cNvSpPr>
                                <a:spLocks noChangeArrowheads="1"/>
                              </wps:cNvSpPr>
                              <wps:spPr bwMode="auto">
                                <a:xfrm>
                                  <a:off x="3605530" y="2560955"/>
                                  <a:ext cx="495300" cy="266700"/>
                                </a:xfrm>
                                <a:prstGeom prst="rect">
                                  <a:avLst/>
                                </a:prstGeom>
                                <a:noFill/>
                                <a:ln>
                                  <a:noFill/>
                                </a:ln>
                              </wps:spPr>
                              <wps:txbx>
                                <w:txbxContent>
                                  <w:p>
                                    <w:pPr>
                                      <w:rPr>
                                        <w:rFonts w:hint="default" w:eastAsia="宋体"/>
                                        <w:lang w:val="en-US" w:eastAsia="zh-CN"/>
                                      </w:rPr>
                                    </w:pPr>
                                    <w:r>
                                      <w:rPr>
                                        <w:rFonts w:hint="eastAsia"/>
                                        <w:lang w:val="en-US" w:eastAsia="zh-CN"/>
                                      </w:rPr>
                                      <w:t>0.57</w:t>
                                    </w:r>
                                  </w:p>
                                </w:txbxContent>
                              </wps:txbx>
                              <wps:bodyPr rot="0" vert="horz" wrap="square" lIns="91440" tIns="45720" rIns="91440" bIns="45720" anchor="t" anchorCtr="0" upright="1">
                                <a:noAutofit/>
                              </wps:bodyPr>
                            </wps:wsp>
                            <wps:wsp>
                              <wps:cNvPr id="128" name="Rectangle 1124"/>
                              <wps:cNvSpPr>
                                <a:spLocks noChangeArrowheads="1"/>
                              </wps:cNvSpPr>
                              <wps:spPr bwMode="auto">
                                <a:xfrm>
                                  <a:off x="2421255" y="3173730"/>
                                  <a:ext cx="508000" cy="266700"/>
                                </a:xfrm>
                                <a:prstGeom prst="rect">
                                  <a:avLst/>
                                </a:prstGeom>
                                <a:noFill/>
                                <a:ln>
                                  <a:noFill/>
                                </a:ln>
                              </wps:spPr>
                              <wps:txbx>
                                <w:txbxContent>
                                  <w:p>
                                    <w:r>
                                      <w:rPr>
                                        <w:rFonts w:hint="eastAsia"/>
                                      </w:rPr>
                                      <w:t>0.01</w:t>
                                    </w:r>
                                  </w:p>
                                </w:txbxContent>
                              </wps:txbx>
                              <wps:bodyPr rot="0" vert="horz" wrap="square" lIns="91440" tIns="45720" rIns="91440" bIns="45720" anchor="t" anchorCtr="0" upright="1">
                                <a:noAutofit/>
                              </wps:bodyPr>
                            </wps:wsp>
                            <wps:wsp>
                              <wps:cNvPr id="129" name="Rectangle 1125"/>
                              <wps:cNvSpPr>
                                <a:spLocks noChangeArrowheads="1"/>
                              </wps:cNvSpPr>
                              <wps:spPr bwMode="auto">
                                <a:xfrm>
                                  <a:off x="4493260" y="2859405"/>
                                  <a:ext cx="495300" cy="266700"/>
                                </a:xfrm>
                                <a:prstGeom prst="rect">
                                  <a:avLst/>
                                </a:prstGeom>
                                <a:noFill/>
                                <a:ln>
                                  <a:noFill/>
                                </a:ln>
                              </wps:spPr>
                              <wps:txbx>
                                <w:txbxContent>
                                  <w:p>
                                    <w:pPr>
                                      <w:rPr>
                                        <w:rFonts w:hint="default" w:eastAsia="宋体"/>
                                        <w:lang w:val="en-US" w:eastAsia="zh-CN"/>
                                      </w:rPr>
                                    </w:pPr>
                                    <w:r>
                                      <w:rPr>
                                        <w:rFonts w:hint="eastAsia"/>
                                        <w:lang w:val="en-US" w:eastAsia="zh-CN"/>
                                      </w:rPr>
                                      <w:t>0.</w:t>
                                    </w:r>
                                    <w:r>
                                      <w:rPr>
                                        <w:rFonts w:hint="eastAsia"/>
                                      </w:rPr>
                                      <w:t>7</w:t>
                                    </w:r>
                                    <w:r>
                                      <w:rPr>
                                        <w:rFonts w:hint="eastAsia"/>
                                        <w:lang w:val="en-US" w:eastAsia="zh-CN"/>
                                      </w:rPr>
                                      <w:t>23</w:t>
                                    </w:r>
                                  </w:p>
                                </w:txbxContent>
                              </wps:txbx>
                              <wps:bodyPr rot="0" vert="horz" wrap="square" lIns="91440" tIns="45720" rIns="91440" bIns="45720" anchor="t" anchorCtr="0" upright="1">
                                <a:noAutofit/>
                              </wps:bodyPr>
                            </wps:wsp>
                            <wps:wsp>
                              <wps:cNvPr id="130" name="自选图形 353"/>
                              <wps:cNvCnPr>
                                <a:cxnSpLocks noChangeShapeType="1"/>
                              </wps:cNvCnPr>
                              <wps:spPr bwMode="auto">
                                <a:xfrm rot="16200000" flipV="1">
                                  <a:off x="3081020" y="2501900"/>
                                  <a:ext cx="180340" cy="3175"/>
                                </a:xfrm>
                                <a:prstGeom prst="bentConnector3">
                                  <a:avLst>
                                    <a:gd name="adj1" fmla="val 49648"/>
                                  </a:avLst>
                                </a:prstGeom>
                                <a:noFill/>
                                <a:ln w="15875">
                                  <a:solidFill>
                                    <a:schemeClr val="tx1"/>
                                  </a:solidFill>
                                  <a:miter lim="800000"/>
                                  <a:tailEnd type="triangle" w="med" len="med"/>
                                </a:ln>
                              </wps:spPr>
                              <wps:bodyPr/>
                            </wps:wsp>
                            <wps:wsp>
                              <wps:cNvPr id="131" name="Rectangle 1098"/>
                              <wps:cNvSpPr>
                                <a:spLocks noChangeArrowheads="1"/>
                              </wps:cNvSpPr>
                              <wps:spPr bwMode="auto">
                                <a:xfrm>
                                  <a:off x="2799080" y="1990090"/>
                                  <a:ext cx="774700" cy="445770"/>
                                </a:xfrm>
                                <a:prstGeom prst="rect">
                                  <a:avLst/>
                                </a:prstGeom>
                                <a:gradFill rotWithShape="0">
                                  <a:gsLst>
                                    <a:gs pos="0">
                                      <a:srgbClr val="FFFFFF"/>
                                    </a:gs>
                                    <a:gs pos="100000">
                                      <a:srgbClr val="FFFFFF"/>
                                    </a:gs>
                                  </a:gsLst>
                                  <a:lin ang="0"/>
                                </a:gradFill>
                                <a:ln w="15875">
                                  <a:solidFill>
                                    <a:schemeClr val="tx1"/>
                                  </a:solidFill>
                                  <a:miter lim="800000"/>
                                </a:ln>
                              </wps:spPr>
                              <wps:txbx>
                                <w:txbxContent>
                                  <w:p>
                                    <w:pPr>
                                      <w:jc w:val="center"/>
                                      <w:rPr>
                                        <w:rFonts w:hint="default"/>
                                        <w:lang w:val="en-US" w:eastAsia="zh-CN"/>
                                      </w:rPr>
                                    </w:pPr>
                                    <w:r>
                                      <w:rPr>
                                        <w:rFonts w:hint="eastAsia"/>
                                      </w:rPr>
                                      <w:t>用汽企业</w:t>
                                    </w:r>
                                    <w:r>
                                      <w:rPr>
                                        <w:rFonts w:hint="eastAsia"/>
                                        <w:lang w:val="en-US" w:eastAsia="zh-CN"/>
                                      </w:rPr>
                                      <w:t>11.4</w:t>
                                    </w:r>
                                  </w:p>
                                </w:txbxContent>
                              </wps:txbx>
                              <wps:bodyPr rot="0" vert="horz" wrap="square" lIns="91440" tIns="45720" rIns="91440" bIns="45720" anchor="t" anchorCtr="0" upright="1">
                                <a:noAutofit/>
                              </wps:bodyPr>
                            </wps:wsp>
                            <wps:wsp>
                              <wps:cNvPr id="132" name="直接箭头连接符 7"/>
                              <wps:cNvCnPr/>
                              <wps:spPr>
                                <a:xfrm>
                                  <a:off x="1254125" y="2752725"/>
                                  <a:ext cx="433070" cy="0"/>
                                </a:xfrm>
                                <a:prstGeom prst="straightConnector1">
                                  <a:avLst/>
                                </a:prstGeom>
                                <a:ln w="15875">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133" name="直接连接符 12"/>
                              <wps:cNvCnPr/>
                              <wps:spPr>
                                <a:xfrm flipV="1">
                                  <a:off x="1254125" y="1680845"/>
                                  <a:ext cx="0" cy="1077595"/>
                                </a:xfrm>
                                <a:prstGeom prst="line">
                                  <a:avLst/>
                                </a:prstGeom>
                                <a:ln w="1524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34" name="直接箭头连接符 14"/>
                              <wps:cNvCnPr/>
                              <wps:spPr>
                                <a:xfrm>
                                  <a:off x="532130" y="1588770"/>
                                  <a:ext cx="356870" cy="1270"/>
                                </a:xfrm>
                                <a:prstGeom prst="straightConnector1">
                                  <a:avLst/>
                                </a:prstGeom>
                                <a:ln w="1524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5" name="矩形 355"/>
                              <wps:cNvSpPr>
                                <a:spLocks noChangeArrowheads="1"/>
                              </wps:cNvSpPr>
                              <wps:spPr bwMode="auto">
                                <a:xfrm>
                                  <a:off x="3004185" y="1418590"/>
                                  <a:ext cx="812800" cy="276860"/>
                                </a:xfrm>
                                <a:prstGeom prst="rect">
                                  <a:avLst/>
                                </a:prstGeom>
                                <a:noFill/>
                                <a:ln w="15875">
                                  <a:solidFill>
                                    <a:schemeClr val="tx1"/>
                                  </a:solidFill>
                                </a:ln>
                              </wps:spPr>
                              <wps:txbx>
                                <w:txbxContent>
                                  <w:p>
                                    <w:pPr>
                                      <w:rPr>
                                        <w:rFonts w:hint="default" w:eastAsia="宋体"/>
                                        <w:lang w:val="en-US" w:eastAsia="zh-CN"/>
                                      </w:rPr>
                                    </w:pPr>
                                    <w:r>
                                      <w:rPr>
                                        <w:rFonts w:hint="eastAsia"/>
                                        <w:lang w:val="en-US" w:eastAsia="zh-CN"/>
                                      </w:rPr>
                                      <w:t>浓水0.1</w:t>
                                    </w:r>
                                  </w:p>
                                </w:txbxContent>
                              </wps:txbx>
                              <wps:bodyPr rot="0" vert="horz" wrap="square" lIns="91440" tIns="45720" rIns="91440" bIns="45720" anchor="t" anchorCtr="0" upright="1">
                                <a:noAutofit/>
                              </wps:bodyPr>
                            </wps:wsp>
                            <wps:wsp>
                              <wps:cNvPr id="136" name="直接箭头连接符 36"/>
                              <wps:cNvCnPr/>
                              <wps:spPr>
                                <a:xfrm flipV="1">
                                  <a:off x="534670" y="1564005"/>
                                  <a:ext cx="12700" cy="1822450"/>
                                </a:xfrm>
                                <a:prstGeom prst="straightConnector1">
                                  <a:avLst/>
                                </a:prstGeom>
                                <a:ln w="1524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37" name="直接箭头连接符 37"/>
                              <wps:cNvCnPr/>
                              <wps:spPr>
                                <a:xfrm>
                                  <a:off x="528320" y="3386455"/>
                                  <a:ext cx="1181100" cy="6350"/>
                                </a:xfrm>
                                <a:prstGeom prst="straightConnector1">
                                  <a:avLst/>
                                </a:prstGeom>
                                <a:ln w="1524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8" name="AutoShape 1097"/>
                              <wps:cNvCnPr>
                                <a:cxnSpLocks noChangeShapeType="1"/>
                              </wps:cNvCnPr>
                              <wps:spPr bwMode="auto">
                                <a:xfrm>
                                  <a:off x="3584575" y="2231390"/>
                                  <a:ext cx="385445" cy="1270"/>
                                </a:xfrm>
                                <a:prstGeom prst="straightConnector1">
                                  <a:avLst/>
                                </a:prstGeom>
                                <a:noFill/>
                                <a:ln w="15875">
                                  <a:solidFill>
                                    <a:schemeClr val="tx1"/>
                                  </a:solidFill>
                                  <a:round/>
                                  <a:tailEnd type="triangle" w="med" len="med"/>
                                </a:ln>
                              </wps:spPr>
                              <wps:bodyPr/>
                            </wps:wsp>
                            <wps:wsp>
                              <wps:cNvPr id="139" name="直接箭头连接符 37"/>
                              <wps:cNvCnPr/>
                              <wps:spPr>
                                <a:xfrm flipV="1">
                                  <a:off x="2077720" y="1560195"/>
                                  <a:ext cx="920750" cy="3810"/>
                                </a:xfrm>
                                <a:prstGeom prst="straightConnector1">
                                  <a:avLst/>
                                </a:prstGeom>
                                <a:ln w="1524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40" name="直接箭头连接符 37"/>
                              <wps:cNvCnPr/>
                              <wps:spPr>
                                <a:xfrm>
                                  <a:off x="2903220" y="528955"/>
                                  <a:ext cx="1911350" cy="6985"/>
                                </a:xfrm>
                                <a:prstGeom prst="straightConnector1">
                                  <a:avLst/>
                                </a:prstGeom>
                                <a:ln w="1524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41" name="直接箭头连接符 37"/>
                              <wps:cNvCnPr/>
                              <wps:spPr>
                                <a:xfrm flipV="1">
                                  <a:off x="3811270" y="1550670"/>
                                  <a:ext cx="1009650" cy="635"/>
                                </a:xfrm>
                                <a:prstGeom prst="straightConnector1">
                                  <a:avLst/>
                                </a:prstGeom>
                                <a:ln w="1524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42" name="直接箭头连接符 37"/>
                              <wps:cNvCnPr/>
                              <wps:spPr>
                                <a:xfrm>
                                  <a:off x="4822190" y="511810"/>
                                  <a:ext cx="5080" cy="2079625"/>
                                </a:xfrm>
                                <a:prstGeom prst="straightConnector1">
                                  <a:avLst/>
                                </a:prstGeom>
                                <a:ln w="1524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画布 310" o:spid="_x0000_s1026" o:spt="203" style="height:374.5pt;width:400.55pt;" coordsize="5086985,4756150" editas="canvas" o:gfxdata="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">
                      <o:lock v:ext="edit" aspectratio="f"/>
                      <v:shape id="画布 310" o:spid="_x0000_s1026" style="position:absolute;left:0;top:0;height:4756150;width:5086985;" filled="f" stroked="f" coordsize="21600,21600" o:gfxdata="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">
                        <v:fill on="f" focussize="0,0"/>
                        <v:stroke on="f"/>
                        <v:imagedata o:title=""/>
                        <o:lock v:ext="edit" aspectratio="f"/>
                      </v:shape>
                      <v:rect id="矩形 491" o:spid="_x0000_s1026" o:spt="1" style="position:absolute;left:843280;top:3189605;height:276860;width:580390;" fillcolor="#FFFFFF" filled="t" stroked="f" coordsize="21600,21600" o:gfxdata="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992adcAAAAFAQAADwAAAAAAAAABACAAAAAiAAAAZHJzL2Rvd25yZXYueG1sUEsBAhQAFAAAAAgA&#10;h07iQKdJawdfAgAAuAQAAA4AAAAAAAAAAQAgAAAAJgEAAGRycy9lMm9Eb2MueG1sUEsFBgAAAAAG&#10;AAYAWQEAAPcFAAAAAA==&#10;">
                        <v:fill type="gradient" on="t" color2="#FFFFFF" angle="90" focus="100%" focussize="0,0">
                          <o:fill type="gradientUnscaled" v:ext="backwardCompatible"/>
                        </v:fill>
                        <v:stroke on="f"/>
                        <v:imagedata o:title=""/>
                        <o:lock v:ext="edit" aspectratio="f"/>
                        <v:textbox>
                          <w:txbxContent>
                            <w:p>
                              <w:pPr>
                                <w:rPr>
                                  <w:rFonts w:hint="default" w:eastAsia="宋体"/>
                                  <w:lang w:val="en-US" w:eastAsia="zh-CN"/>
                                </w:rPr>
                              </w:pPr>
                              <w:r>
                                <w:rPr>
                                  <w:rFonts w:hint="eastAsia"/>
                                  <w:lang w:val="en-US" w:eastAsia="zh-CN"/>
                                </w:rPr>
                                <w:t>0.01</w:t>
                              </w:r>
                            </w:p>
                          </w:txbxContent>
                        </v:textbox>
                      </v:rect>
                      <v:rect id="矩形 491" o:spid="_x0000_s1026" o:spt="1" style="position:absolute;left:503555;top:1360805;height:276860;width:580390;" fillcolor="#FFFFFF" filled="t" stroked="f" coordsize="21600,21600" o:gfxdata="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vf&#10;dmnXAAAABQEAAA8AAAAAAAAAAQAgAAAAIgAAAGRycy9kb3ducmV2LnhtbFBLAQIUABQAAAAIAIdO&#10;4kC31VVkXQIAALgEAAAOAAAAAAAAAAEAIAAAACYBAABkcnMvZTJvRG9jLnhtbFBLBQYAAAAABgAG&#10;AFkBAAD1BQAAAAA=&#10;">
                        <v:fill type="gradient" on="t" color2="#FFFFFF" angle="90" focus="100%" focussize="0,0">
                          <o:fill type="gradientUnscaled" v:ext="backwardCompatible"/>
                        </v:fill>
                        <v:stroke on="f"/>
                        <v:imagedata o:title=""/>
                        <o:lock v:ext="edit" aspectratio="f"/>
                        <v:textbox>
                          <w:txbxContent>
                            <w:p>
                              <w:pPr>
                                <w:rPr>
                                  <w:rFonts w:hint="default" w:eastAsia="宋体"/>
                                  <w:lang w:val="en-US" w:eastAsia="zh-CN"/>
                                </w:rPr>
                              </w:pPr>
                              <w:r>
                                <w:rPr>
                                  <w:rFonts w:hint="eastAsia"/>
                                  <w:lang w:val="en-US" w:eastAsia="zh-CN"/>
                                </w:rPr>
                                <w:t>1.93</w:t>
                              </w:r>
                            </w:p>
                          </w:txbxContent>
                        </v:textbox>
                      </v:rect>
                      <v:rect id="矩形 325" o:spid="_x0000_s1026" o:spt="1" style="position:absolute;left:3910965;top:305435;height:276860;width:514350;" fillcolor="#FFFFFF" filled="t" stroked="f" coordsize="21600,21600" o:gfxdata="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992adcAAAAFAQAADwAAAAAAAAABACAAAAAiAAAAZHJzL2Rvd25yZXYueG1sUEsBAhQAFAAAAAgA&#10;h07iQDFoU3ZfAgAAuAQAAA4AAAAAAAAAAQAgAAAAJgEAAGRycy9lMm9Eb2MueG1sUEsFBgAAAAAG&#10;AAYAWQEAAPcFAAAAAA==&#10;">
                        <v:fill type="gradient" on="t" color2="#FFFFFF" angle="90" focus="100%" focussize="0,0">
                          <o:fill type="gradientUnscaled" v:ext="backwardCompatible"/>
                        </v:fill>
                        <v:stroke on="f"/>
                        <v:imagedata o:title=""/>
                        <o:lock v:ext="edit" aspectratio="f"/>
                        <v:textbox>
                          <w:txbxContent>
                            <w:p>
                              <w:pPr>
                                <w:rPr>
                                  <w:rFonts w:hint="default" w:eastAsia="宋体"/>
                                  <w:lang w:val="en-US" w:eastAsia="zh-CN"/>
                                </w:rPr>
                              </w:pPr>
                              <w:r>
                                <w:rPr>
                                  <w:rFonts w:hint="eastAsia"/>
                                </w:rPr>
                                <w:t>0.</w:t>
                              </w:r>
                              <w:r>
                                <w:rPr>
                                  <w:rFonts w:hint="eastAsia"/>
                                  <w:lang w:val="en-US" w:eastAsia="zh-CN"/>
                                </w:rPr>
                                <w:t>053</w:t>
                              </w:r>
                            </w:p>
                          </w:txbxContent>
                        </v:textbox>
                      </v:rect>
                      <v:rect id="矩形 491" o:spid="_x0000_s1026" o:spt="1" style="position:absolute;left:836295;top:1880235;height:276860;width:580390;" fillcolor="#FFFFFF" filled="t" stroked="f" coordsize="21600,21600" o:gfxdata="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L&#10;33Zp1wAAAAUBAAAPAAAAAAAAAAEAIAAAACIAAABkcnMvZG93bnJldi54bWxQSwECFAAUAAAACACH&#10;TuJAcqRYJF4CAAC4BAAADgAAAAAAAAABACAAAAAmAQAAZHJzL2Uyb0RvYy54bWxQSwUGAAAAAAYA&#10;BgBZAQAA9gUAAAAA&#10;">
                        <v:fill type="gradient" on="t" color2="#FFFFFF" angle="90" focus="100%" focussize="0,0">
                          <o:fill type="gradientUnscaled" v:ext="backwardCompatible"/>
                        </v:fill>
                        <v:stroke on="f"/>
                        <v:imagedata o:title=""/>
                        <o:lock v:ext="edit" aspectratio="f"/>
                        <v:textbox>
                          <w:txbxContent>
                            <w:p>
                              <w:pPr>
                                <w:rPr>
                                  <w:rFonts w:hint="default" w:eastAsia="宋体"/>
                                  <w:lang w:val="en-US" w:eastAsia="zh-CN"/>
                                </w:rPr>
                              </w:pPr>
                              <w:r>
                                <w:rPr>
                                  <w:rFonts w:hint="eastAsia"/>
                                  <w:lang w:val="en-US" w:eastAsia="zh-CN"/>
                                </w:rPr>
                                <w:t>1.83</w:t>
                              </w:r>
                            </w:p>
                          </w:txbxContent>
                        </v:textbox>
                      </v:rect>
                      <v:rect id="矩形 311" o:spid="_x0000_s1026" o:spt="1" style="position:absolute;left:4124325;top:2597150;height:275590;width:762635;" fillcolor="#FFFFFF" filled="t" stroked="t" coordsize="21600,21600" o:gfxdata="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V6+NtYAAAAFAQAADwAAAAAAAAABACAAAAAiAAAAZHJz&#10;L2Rvd25yZXYueG1sUEsBAhQAFAAAAAgAh07iQMSjo9J4AgAAAwUAAA4AAAAAAAAAAQAgAAAAJQEA&#10;AGRycy9lMm9Eb2MueG1sUEsFBgAAAAAGAAYAWQEAAA8GAAAAAA==&#10;">
                        <v:fill type="gradient" on="t" color2="#FFFFFF" angle="90" focus="100%" focussize="0,0">
                          <o:fill type="gradientUnscaled" v:ext="backwardCompatible"/>
                        </v:fill>
                        <v:stroke weight="1.25pt" color="#000000 [3213]" miterlimit="8" joinstyle="miter"/>
                        <v:imagedata o:title=""/>
                        <o:lock v:ext="edit" aspectratio="f"/>
                        <v:textbox>
                          <w:txbxContent>
                            <w:p>
                              <w:pPr>
                                <w:jc w:val="center"/>
                              </w:pPr>
                              <w:r>
                                <w:rPr>
                                  <w:rFonts w:hint="eastAsia"/>
                                </w:rPr>
                                <w:t>预处理池</w:t>
                              </w:r>
                            </w:p>
                          </w:txbxContent>
                        </v:textbox>
                      </v:rect>
                      <v:rect id="矩形 312" o:spid="_x0000_s1026" o:spt="1" style="position:absolute;left:1711539;top:329020;height:362684;width:1181247;" fillcolor="#FFFFFF" filled="t" stroked="t" coordsize="21600,21600" o:gfxdata="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Xr421gAAAAUBAAAPAAAAAAAAAAEAIAAAACIAAABk&#10;cnMvZG93bnJldi54bWxQSwECFAAUAAAACACHTuJAXR3L9XoCAAADBQAADgAAAAAAAAABACAAAAAl&#10;AQAAZHJzL2Uyb0RvYy54bWxQSwUGAAAAAAYABgBZAQAAEQYAAAAA&#10;">
                        <v:fill type="gradient" on="t" color2="#FFFFFF" angle="90" focus="100%" focussize="0,0">
                          <o:fill type="gradientUnscaled" v:ext="backwardCompatible"/>
                        </v:fill>
                        <v:stroke weight="1.25pt" color="#000000 [3213]" miterlimit="8" joinstyle="miter"/>
                        <v:imagedata o:title=""/>
                        <o:lock v:ext="edit" aspectratio="f"/>
                        <v:textbox>
                          <w:txbxContent>
                            <w:p>
                              <w:pPr>
                                <w:jc w:val="center"/>
                              </w:pPr>
                              <w:r>
                                <w:rPr>
                                  <w:rFonts w:hint="eastAsia"/>
                                </w:rPr>
                                <w:t>生活</w:t>
                              </w:r>
                              <w:r>
                                <w:t>用水</w:t>
                              </w:r>
                            </w:p>
                          </w:txbxContent>
                        </v:textbox>
                      </v:rect>
                      <v:rect id="矩形 315" o:spid="_x0000_s1026" o:spt="1" style="position:absolute;left:4032250;top:3095625;height:438150;width:845820;" filled="f" stroked="t" coordsize="21600,21600" o:gfxdata="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KOnmtUAAAAFAQAADwAAAAAAAAABACAAAAAiAAAAZHJz&#10;L2Rvd25yZXYueG1sUEsBAhQAFAAAAAgAh07iQLwjcXlAAgAAYAQAAA4AAAAAAAAAAQAgAAAAJAEA&#10;AGRycy9lMm9Eb2MueG1sUEsFBgAAAAAGAAYAWQEAANYFAAAAAA==&#10;">
                        <v:fill on="f" focussize="0,0"/>
                        <v:stroke weight="1.25pt" color="#000000 [3213]" miterlimit="8" joinstyle="miter"/>
                        <v:imagedata o:title=""/>
                        <o:lock v:ext="edit" aspectratio="f"/>
                        <v:textbox>
                          <w:txbxContent>
                            <w:p>
                              <w:pPr>
                                <w:jc w:val="center"/>
                                <w:rPr>
                                  <w:rFonts w:hint="default"/>
                                  <w:lang w:val="en-US"/>
                                </w:rPr>
                              </w:pPr>
                              <w:r>
                                <w:rPr>
                                  <w:rFonts w:hint="eastAsia"/>
                                  <w:lang w:val="en-US" w:eastAsia="zh-CN"/>
                                </w:rPr>
                                <w:t>园区污水管网</w:t>
                              </w:r>
                            </w:p>
                            <w:p>
                              <w:pPr>
                                <w:jc w:val="center"/>
                                <w:rPr>
                                  <w:color w:val="auto"/>
                                  <w14:textOutline w14:w="9525">
                                    <w14:solidFill>
                                      <w14:schemeClr w14:val="accent1"/>
                                    </w14:solidFill>
                                    <w14:round/>
                                  </w14:textOutline>
                                </w:rPr>
                              </w:pPr>
                            </w:p>
                          </w:txbxContent>
                        </v:textbox>
                      </v:rect>
                      <v:rect id="矩形 317" o:spid="_x0000_s1026" o:spt="1" style="position:absolute;left:4015740;top:4391660;height:285750;width:913765;" fillcolor="#FFFFFF" filled="t" stroked="t" coordsize="21600,21600" o:gfxdata="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V6+NtYAAAAFAQAADwAAAAAAAAABACAAAAAiAAAA&#10;ZHJzL2Rvd25yZXYueG1sUEsBAhQAFAAAAAgAh07iQFR8VaJ7AgAAAwUAAA4AAAAAAAAAAQAgAAAA&#10;JQEAAGRycy9lMm9Eb2MueG1sUEsFBgAAAAAGAAYAWQEAABIGAAAAAA==&#10;">
                        <v:fill type="gradient" on="t" color2="#FFFFFF" angle="90" focus="100%" focussize="0,0">
                          <o:fill type="gradientUnscaled" v:ext="backwardCompatible"/>
                        </v:fill>
                        <v:stroke weight="1.25pt" color="#000000 [3213]" miterlimit="8" joinstyle="miter"/>
                        <v:imagedata o:title=""/>
                        <o:lock v:ext="edit" aspectratio="f"/>
                        <v:textbox>
                          <w:txbxContent>
                            <w:p>
                              <w:pPr>
                                <w:jc w:val="center"/>
                                <w:rPr>
                                  <w:rFonts w:hint="eastAsia" w:eastAsia="宋体"/>
                                  <w:sz w:val="18"/>
                                  <w:lang w:eastAsia="zh-CN"/>
                                </w:rPr>
                              </w:pPr>
                              <w:r>
                                <w:rPr>
                                  <w:rFonts w:hint="eastAsia"/>
                                  <w:kern w:val="0"/>
                                  <w:lang w:eastAsia="zh-CN"/>
                                </w:rPr>
                                <w:t>郪江</w:t>
                              </w:r>
                            </w:p>
                          </w:txbxContent>
                        </v:textbox>
                      </v:rect>
                      <v:rect id="矩形 318" o:spid="_x0000_s1026" o:spt="1" style="position:absolute;left:3966210;top:3726180;height:424815;width:1120775;" fillcolor="#FFFFFF" filled="t" stroked="t" coordsize="21600,21600" o:gfxdata="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V6+NtYAAAAFAQAADwAAAAAAAAABACAAAAAiAAAA&#10;ZHJzL2Rvd25yZXYueG1sUEsBAhQAFAAAAAgAh07iQBsWt2d7AgAABAUAAA4AAAAAAAAAAQAgAAAA&#10;JQEAAGRycy9lMm9Eb2MueG1sUEsFBgAAAAAGAAYAWQEAABIGAAAAAA==&#10;">
                        <v:fill type="gradient" on="t" color2="#FFFFFF" angle="90" focus="100%" focussize="0,0">
                          <o:fill type="gradientUnscaled" v:ext="backwardCompatible"/>
                        </v:fill>
                        <v:stroke weight="1.25pt" color="#000000 [3213]" miterlimit="8" joinstyle="miter"/>
                        <v:imagedata o:title=""/>
                        <o:lock v:ext="edit" aspectratio="f"/>
                        <v:textbox>
                          <w:txbxContent>
                            <w:p>
                              <w:pPr>
                                <w:jc w:val="center"/>
                                <w:rPr>
                                  <w:rFonts w:hint="default" w:eastAsia="宋体"/>
                                  <w:lang w:val="en-US" w:eastAsia="zh-CN"/>
                                </w:rPr>
                              </w:pPr>
                              <w:r>
                                <w:rPr>
                                  <w:rFonts w:hint="eastAsia"/>
                                </w:rPr>
                                <w:t>大英工业集中区</w:t>
                              </w:r>
                              <w:r>
                                <w:rPr>
                                  <w:rFonts w:hint="eastAsia"/>
                                  <w:lang w:val="en-US" w:eastAsia="zh-CN"/>
                                </w:rPr>
                                <w:t>污水处理厂</w:t>
                              </w:r>
                            </w:p>
                          </w:txbxContent>
                        </v:textbox>
                      </v:rect>
                      <v:rect id="矩形 321" o:spid="_x0000_s1026" o:spt="1" style="position:absolute;left:53340;top:1576070;height:276860;width:514350;" fillcolor="#FFFFFF" filled="t" stroked="f" coordsize="21600,21600" o:gfxdata="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vfdmnX&#10;AAAABQEAAA8AAAAAAAAAAQAgAAAAIgAAAGRycy9kb3ducmV2LnhtbFBLAQIUABQAAAAIAIdO4kBK&#10;/xwqWgIAALcEAAAOAAAAAAAAAAEAIAAAACYBAABkcnMvZTJvRG9jLnhtbFBLBQYAAAAABgAGAFkB&#10;AADyBQAAAAA=&#10;">
                        <v:fill type="gradient" on="t" color2="#FFFFFF" angle="90" focus="100%" focussize="0,0">
                          <o:fill type="gradientUnscaled" v:ext="backwardCompatible"/>
                        </v:fill>
                        <v:stroke on="f"/>
                        <v:imagedata o:title=""/>
                        <o:lock v:ext="edit" aspectratio="f"/>
                        <v:textbox>
                          <w:txbxContent>
                            <w:p>
                              <w:pPr>
                                <w:rPr>
                                  <w:rFonts w:hint="default" w:eastAsia="宋体"/>
                                  <w:lang w:val="en-US" w:eastAsia="zh-CN"/>
                                </w:rPr>
                              </w:pPr>
                              <w:r>
                                <w:rPr>
                                  <w:rFonts w:hint="eastAsia"/>
                                  <w:lang w:val="en-US" w:eastAsia="zh-CN"/>
                                </w:rPr>
                                <w:t>2.007</w:t>
                              </w:r>
                            </w:p>
                          </w:txbxContent>
                        </v:textbox>
                      </v:rect>
                      <v:rect id="矩形 322" o:spid="_x0000_s1026" o:spt="1" style="position:absolute;left:0;top:1322070;height:274320;width:599440;" fillcolor="#FFFFFF" filled="t" stroked="f" coordsize="21600,21600" o:gfxdata="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992adcAAAAF&#10;AQAADwAAAAAAAAABACAAAAAiAAAAZHJzL2Rvd25yZXYueG1sUEsBAhQAFAAAAAgAh07iQJsdnHNW&#10;AgAAswQAAA4AAAAAAAAAAQAgAAAAJgEAAGRycy9lMm9Eb2MueG1sUEsFBgAAAAAGAAYAWQEAAO4F&#10;AAAAAA==&#10;">
                        <v:fill type="gradient" on="t" color2="#FFFFFF" angle="90" focus="100%" focussize="0,0">
                          <o:fill type="gradientUnscaled" v:ext="backwardCompatible"/>
                        </v:fill>
                        <v:stroke on="f"/>
                        <v:imagedata o:title=""/>
                        <o:lock v:ext="edit" aspectratio="f"/>
                        <v:textbox>
                          <w:txbxContent>
                            <w:p>
                              <w:r>
                                <w:rPr>
                                  <w:rFonts w:hint="eastAsia"/>
                                </w:rPr>
                                <w:t>自来水</w:t>
                              </w:r>
                            </w:p>
                          </w:txbxContent>
                        </v:textbox>
                      </v:rect>
                      <v:rect id="矩形 325" o:spid="_x0000_s1026" o:spt="1" style="position:absolute;left:1083445;top:243907;height:276936;width:514414;" fillcolor="#FFFFFF" filled="t" stroked="f" coordsize="21600,21600" o:gfxdata="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L&#10;33Zp1wAAAAUBAAAPAAAAAAAAAAEAIAAAACIAAABkcnMvZG93bnJldi54bWxQSwECFAAUAAAACACH&#10;TuJAZcO0dV4CAAC5BAAADgAAAAAAAAABACAAAAAmAQAAZHJzL2Uyb0RvYy54bWxQSwUGAAAAAAYA&#10;BgBZAQAA9gUAAAAA&#10;">
                        <v:fill type="gradient" on="t" color2="#FFFFFF" angle="90" focus="100%" focussize="0,0">
                          <o:fill type="gradientUnscaled" v:ext="backwardCompatible"/>
                        </v:fill>
                        <v:stroke on="f"/>
                        <v:imagedata o:title=""/>
                        <o:lock v:ext="edit" aspectratio="f"/>
                        <v:textbox>
                          <w:txbxContent>
                            <w:p>
                              <w:pPr>
                                <w:rPr>
                                  <w:rFonts w:hint="default" w:eastAsia="宋体"/>
                                  <w:lang w:val="en-US" w:eastAsia="zh-CN"/>
                                </w:rPr>
                              </w:pPr>
                              <w:r>
                                <w:rPr>
                                  <w:rFonts w:hint="eastAsia"/>
                                </w:rPr>
                                <w:t>0.</w:t>
                              </w:r>
                              <w:r>
                                <w:rPr>
                                  <w:rFonts w:hint="eastAsia"/>
                                  <w:lang w:val="en-US" w:eastAsia="zh-CN"/>
                                </w:rPr>
                                <w:t>067</w:t>
                              </w:r>
                            </w:p>
                          </w:txbxContent>
                        </v:textbox>
                      </v:rect>
                      <v:shape id="自选图形 339" o:spid="_x0000_s1026" o:spt="34" type="#_x0000_t34" style="position:absolute;left:0;top:510540;flip:y;height:1076960;width:1711325;" filled="f" stroked="t" coordsize="21600,21600" o:gfxdata="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&#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ke8DdQAAAAFAQAADwAAAAAAAAABACAAAAAiAAAA&#10;ZHJzL2Rvd25yZXYueG1sUEsBAhQAFAAAAAgAh07iQKYzTyVEAgAATwQAAA4AAAAAAAAAAQAgAAAA&#10;IwEAAGRycy9lMm9Eb2MueG1sUEsFBgAAAAAGAAYAWQEAANkFAAAAAA==&#10;" adj="6885">
                        <v:fill on="f" focussize="0,0"/>
                        <v:stroke weight="1.25pt" color="#000000 [3213]" miterlimit="8" joinstyle="miter" endarrow="block"/>
                        <v:imagedata o:title=""/>
                        <o:lock v:ext="edit" aspectratio="f"/>
                      </v:shape>
                      <v:shape id="自选图形 350" o:spid="_x0000_s1026" o:spt="32" type="#_x0000_t32" style="position:absolute;left:2453005;top:2745105;height:635;width:354965;" filled="f" stroked="t" coordsize="21600,21600" o:gfxdata="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GLcz9UAAAAFAQAADwAA&#10;AAAAAAABACAAAAAiAAAAZHJzL2Rvd25yZXYueG1sUEsBAhQAFAAAAAgAh07iQOSgLusZAgAA9QMA&#10;AA4AAAAAAAAAAQAgAAAAJAEAAGRycy9lMm9Eb2MueG1sUEsFBgAAAAAGAAYAWQEAAK8FAAAAAA==&#10;">
                        <v:fill on="f" focussize="0,0"/>
                        <v:stroke weight="1.25pt" color="#000000 [3213]" joinstyle="round" endarrow="block"/>
                        <v:imagedata o:title=""/>
                        <o:lock v:ext="edit" aspectratio="f"/>
                      </v:shape>
                      <v:shape id="自选图形 351" o:spid="_x0000_s1026" o:spt="34" type="#_x0000_t34" style="position:absolute;left:4385310;top:4304030;height:1905;width:217170;rotation:5898240f;" filled="f" stroked="t" coordsize="21600,21600" o:gfxdata="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oSpZbWAAAABQEAAA8AAAAAAAAAAQAgAAAAIgAAAGRycy9k&#10;b3ducmV2LnhtbFBLAQIUABQAAAAIAIdO4kDtb3p8PQIAADsEAAAOAAAAAAAAAAEAIAAAACUBAABk&#10;cnMvZTJvRG9jLnhtbFBLBQYAAAAABgAGAFkBAADUBQAAAAA=&#10;" adj="-2368">
                        <v:fill on="f" focussize="0,0"/>
                        <v:stroke weight="1.25pt" color="#000000 [3213]" miterlimit="8" joinstyle="miter" endarrow="block"/>
                        <v:imagedata o:title=""/>
                        <o:lock v:ext="edit" aspectratio="f"/>
                      </v:shape>
                      <v:shape id="自选图形 352" o:spid="_x0000_s1026" o:spt="34" type="#_x0000_t34" style="position:absolute;left:4377055;top:2983230;flip:x;height:635;width:212725;rotation:5898240f;" filled="f" stroked="t" coordsize="21600,21600" o:gfxdata="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Zxk+tUAAAAFAQAADwAAAAAAAAABACAAAAAi&#10;AAAAZHJzL2Rvd25yZXYueG1sUEsBAhQAFAAAAAgAh07iQOHZlhBGAgAARAQAAA4AAAAAAAAAAQAg&#10;AAAAJAEAAGRycy9lMm9Eb2MueG1sUEsFBgAAAAAGAAYAWQEAANwFAAAAAA==&#10;" adj="10768">
                        <v:fill on="f" focussize="0,0"/>
                        <v:stroke weight="1.25pt" color="#000000 [3213]" miterlimit="8" joinstyle="miter" endarrow="block"/>
                        <v:imagedata o:title=""/>
                        <o:lock v:ext="edit" aspectratio="f"/>
                      </v:shape>
                      <v:shape id="自选图形 353" o:spid="_x0000_s1026" o:spt="34" type="#_x0000_t34" style="position:absolute;left:4408170;top:3623945;height:3175;width:171450;rotation:5898240f;" filled="f" stroked="t" coordsize="21600,21600" o:gfxdata="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Rtn7vWAAAABQEAAA8AAAAAAAAAAQAgAAAAIgAAAGRycy9kb3du&#10;cmV2LnhtbFBLAQIUABQAAAAIAIdO4kD+J2I8OgIAADoEAAAOAAAAAAAAAAEAIAAAACUBAABkcnMv&#10;ZTJvRG9jLnhtbFBLBQYAAAAABgAGAFkBAADRBQAAAAA=&#10;" adj="10840">
                        <v:fill on="f" focussize="0,0"/>
                        <v:stroke weight="1.25pt" color="#000000 [3213]" miterlimit="8" joinstyle="miter" endarrow="block"/>
                        <v:imagedata o:title=""/>
                        <o:lock v:ext="edit" aspectratio="f"/>
                      </v:shape>
                      <v:rect id="矩形 355" o:spid="_x0000_s1026" o:spt="1" style="position:absolute;left:2525710;top:0;height:276936;width:812266;" fillcolor="#FFFFFF" filled="t" stroked="f" coordsize="21600,21600" o:gfxdata="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33Zp1wAA&#10;AAUBAAAPAAAAAAAAAAEAIAAAACIAAABkcnMvZG93bnJldi54bWxQSwECFAAUAAAACACHTuJAF8PW&#10;xFgCAAC0BAAADgAAAAAAAAABACAAAAAmAQAAZHJzL2Uyb0RvYy54bWxQSwUGAAAAAAYABgBZAQAA&#10;8AUAAAAA&#10;">
                        <v:fill type="gradient" on="t" color2="#FFFFFF" angle="90" focus="100%" focussize="0,0">
                          <o:fill type="gradientUnscaled" v:ext="backwardCompatible"/>
                        </v:fill>
                        <v:stroke on="f"/>
                        <v:imagedata o:title=""/>
                        <o:lock v:ext="edit" aspectratio="f"/>
                        <v:textbox>
                          <w:txbxContent>
                            <w:p>
                              <w:pPr>
                                <w:rPr>
                                  <w:rFonts w:hint="default" w:eastAsia="宋体"/>
                                  <w:lang w:val="en-US" w:eastAsia="zh-CN"/>
                                </w:rPr>
                              </w:pPr>
                              <w:r>
                                <w:rPr>
                                  <w:rFonts w:hint="eastAsia"/>
                                </w:rPr>
                                <w:t>损耗0.</w:t>
                              </w:r>
                              <w:r>
                                <w:rPr>
                                  <w:rFonts w:hint="eastAsia"/>
                                  <w:lang w:val="en-US" w:eastAsia="zh-CN"/>
                                </w:rPr>
                                <w:t>014</w:t>
                              </w:r>
                            </w:p>
                          </w:txbxContent>
                        </v:textbox>
                      </v:rect>
                      <v:shape id="自选图形 357" o:spid="_x0000_s1026" o:spt="37" type="#_x0000_t37" style="position:absolute;left:2322471;top:118159;height:223548;width:182930;rotation:-5898240f;" filled="f" stroked="t" coordsize="21600,21600" o:gfxdata="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HkgWnW&#10;AAAABQEAAA8AAAAAAAAAAQAgAAAAIgAAAGRycy9kb3ducmV2LnhtbFBLAQIUABQAAAAIAIdO4kBO&#10;hDgLIgIAAAQEAAAOAAAAAAAAAAEAIAAAACUBAABkcnMvZTJvRG9jLnhtbFBLBQYAAAAABgAGAFkB&#10;AAC5BQAAAAA=&#10;">
                        <v:fill on="f" focussize="0,0"/>
                        <v:stroke weight="1.25pt" color="#000000 [3213]" joinstyle="round" endarrow="block"/>
                        <v:imagedata o:title=""/>
                        <o:lock v:ext="edit" aspectratio="f"/>
                      </v:shape>
                      <v:rect id="Rectangle 1096" o:spid="_x0000_s1026" o:spt="1" style="position:absolute;left:1694180;top:2609215;height:355600;width:736600;" fillcolor="#FFFFFF" filled="t" stroked="t" coordsize="21600,21600" o:gfxdata="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V6+NtYAAAAFAQAADwAAAAAAAAABACAAAAAiAAAAZHJzL2Rvd25yZXYu&#10;eG1sUEsBAhQAFAAAAAgAh07iQMlpQ6BvAgAACAUAAA4AAAAAAAAAAQAgAAAAJQEAAGRycy9lMm9E&#10;b2MueG1sUEsFBgAAAAAGAAYAWQEAAAYGAAAAAA==&#10;">
                        <v:fill type="gradient" on="t" color2="#FFFFFF" angle="90" focus="100%" focussize="0,0">
                          <o:fill type="gradientUnscaled" v:ext="backwardCompatible"/>
                        </v:fill>
                        <v:stroke weight="1.25pt" color="#000000 [3213]" miterlimit="8" joinstyle="miter"/>
                        <v:imagedata o:title=""/>
                        <o:lock v:ext="edit" aspectratio="f"/>
                        <v:textbox>
                          <w:txbxContent>
                            <w:p>
                              <w:pPr>
                                <w:jc w:val="center"/>
                              </w:pPr>
                              <w:r>
                                <w:rPr>
                                  <w:rFonts w:hint="eastAsia"/>
                                </w:rPr>
                                <w:t>凝结水箱</w:t>
                              </w:r>
                            </w:p>
                          </w:txbxContent>
                        </v:textbox>
                      </v:rect>
                      <v:shape id="AutoShape 1097" o:spid="_x0000_s1026" o:spt="32" type="#_x0000_t32" style="position:absolute;left:3451225;top:2766060;flip:y;height:5080;width:664845;" filled="f" stroked="t" coordsize="21600,21600" o:gfxdata="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DUIk2AAAAAUBAAAPAAAAAAAAAAEAIAAAACIA&#10;AABkcnMvZG93bnJldi54bWxQSwECFAAUAAAACACHTuJA4NiFcwkCAAD+AwAADgAAAAAAAAABACAA&#10;AAAnAQAAZHJzL2Uyb0RvYy54bWxQSwUGAAAAAAYABgBZAQAAogUAAAAA&#10;">
                        <v:fill on="f" focussize="0,0"/>
                        <v:stroke weight="1.25pt" color="#000000 [3213]" joinstyle="round" endarrow="block"/>
                        <v:imagedata o:title=""/>
                        <o:lock v:ext="edit" aspectratio="f"/>
                      </v:shape>
                      <v:rect id="Rectangle 1098" o:spid="_x0000_s1026" o:spt="1" style="position:absolute;left:1713230;top:1957705;height:389255;width:1050925;" filled="f" stroked="f" coordsize="21600,21600" o:gfxdata="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NvwoPXAAAABQEAAA8AAAAAAAAA&#10;AQAgAAAAIgAAAGRycy9kb3ducmV2LnhtbFBLAQIUABQAAAAIAIdO4kCzAIQJEgIAABwEAAAOAAAA&#10;AAAAAAEAIAAAACYBAABkcnMvZTJvRG9jLnhtbFBLBQYAAAAABgAGAFkBAACqBQAAAAA=&#10;">
                        <v:fill on="f" focussize="0,0"/>
                        <v:stroke on="f"/>
                        <v:imagedata o:title=""/>
                        <o:lock v:ext="edit" aspectratio="f"/>
                        <v:textbox>
                          <w:txbxContent>
                            <w:p>
                              <w:pPr>
                                <w:rPr>
                                  <w:rFonts w:hint="default" w:eastAsia="宋体"/>
                                  <w:lang w:val="en-US" w:eastAsia="zh-CN"/>
                                </w:rPr>
                              </w:pPr>
                              <w:r>
                                <w:rPr>
                                  <w:rFonts w:hint="eastAsia"/>
                                </w:rPr>
                                <w:t>冷凝回用</w:t>
                              </w:r>
                              <w:r>
                                <w:rPr>
                                  <w:rFonts w:hint="eastAsia"/>
                                  <w:lang w:val="en-US" w:eastAsia="zh-CN"/>
                                </w:rPr>
                                <w:t>10.14</w:t>
                              </w:r>
                            </w:p>
                          </w:txbxContent>
                        </v:textbox>
                      </v:rect>
                      <v:rect id="Rectangle 1108" o:spid="_x0000_s1026" o:spt="1" style="position:absolute;left:2799080;top:2608580;height:355600;width:660400;" fillcolor="#FFFFFF" filled="t" stroked="t" coordsize="21600,21600" o:gfxdata="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tXr421gAAAAUBAAAPAAAAAAAAAAEAIAAAACIAAABkcnMvZG93bnJldi54&#10;bWxQSwECFAAUAAAACACHTuJAG074/m4CAAAIBQAADgAAAAAAAAABACAAAAAlAQAAZHJzL2Uyb0Rv&#10;Yy54bWxQSwUGAAAAAAYABgBZAQAABQYAAAAA&#10;">
                        <v:fill type="gradient" on="t" color2="#FFFFFF" angle="90" focus="100%" focussize="0,0">
                          <o:fill type="gradientUnscaled" v:ext="backwardCompatible"/>
                        </v:fill>
                        <v:stroke weight="1.25pt" color="#000000 [3213]" miterlimit="8" joinstyle="miter"/>
                        <v:imagedata o:title=""/>
                        <o:lock v:ext="edit" aspectratio="f"/>
                        <v:textbox>
                          <w:txbxContent>
                            <w:p>
                              <w:pPr>
                                <w:jc w:val="center"/>
                              </w:pPr>
                              <w:r>
                                <w:rPr>
                                  <w:rFonts w:hint="eastAsia"/>
                                </w:rPr>
                                <w:t>锅炉</w:t>
                              </w:r>
                            </w:p>
                          </w:txbxContent>
                        </v:textbox>
                      </v:rect>
                      <v:shape id="自选图形 379" o:spid="_x0000_s1026" o:spt="33" type="#_x0000_t33" style="position:absolute;left:2062480;top:2212975;flip:y;height:396240;width:736600;rotation:11796480f;" filled="f" stroked="t" coordsize="21600,21600" o:gfxdata="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S7e6nWAAAABQEAAA8AAAAAAAAAAQAgAAAAIgAAAGRycy9kb3ducmV2LnhtbFBLAQIUABQA&#10;AAAIAIdO4kCkDK32KwIAABoEAAAOAAAAAAAAAAEAIAAAACUBAABkcnMvZTJvRG9jLnhtbFBLBQYA&#10;AAAABgAGAFkBAADCBQAAAAA=&#10;">
                        <v:fill on="f" focussize="0,0"/>
                        <v:stroke weight="1.25pt" color="#000000 [3213]" miterlimit="8" joinstyle="miter" endarrow="block"/>
                        <v:imagedata o:title=""/>
                        <o:lock v:ext="edit" aspectratio="f"/>
                      </v:shape>
                      <v:rect id="Rectangle 1115" o:spid="_x0000_s1026" o:spt="1" style="position:absolute;left:3922395;top:2027555;height:399415;width:526415;" fillcolor="#FFFFFF" filled="t" stroked="f" coordsize="21600,21600" o:gfxdata="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vfdmnXAAAABQEA&#10;AA8AAAAAAAAAAQAgAAAAIgAAAGRycy9kb3ducmV2LnhtbFBLAQIUABQAAAAIAIdO4kDxCkUEVAIA&#10;AL4EAAAOAAAAAAAAAAEAIAAAACYBAABkcnMvZTJvRG9jLnhtbFBLBQYAAAAABgAGAFkBAADsBQAA&#10;AAA=&#10;">
                        <v:fill type="gradient" on="t" color2="#FFFFFF" angle="90" focus="100%" focussize="0,0">
                          <o:fill type="gradientUnscaled" v:ext="backwardCompatible"/>
                        </v:fill>
                        <v:stroke on="f"/>
                        <v:imagedata o:title=""/>
                        <o:lock v:ext="edit" aspectratio="f"/>
                        <v:textbox>
                          <w:txbxContent>
                            <w:p>
                              <w:pPr>
                                <w:jc w:val="center"/>
                                <w:rPr>
                                  <w:rFonts w:hint="default" w:eastAsia="宋体"/>
                                  <w:lang w:val="en-US" w:eastAsia="zh-CN"/>
                                </w:rPr>
                              </w:pPr>
                              <w:r>
                                <w:rPr>
                                  <w:rFonts w:hint="eastAsia"/>
                                </w:rPr>
                                <w:t>损耗</w:t>
                              </w:r>
                              <w:r>
                                <w:rPr>
                                  <w:rFonts w:hint="eastAsia"/>
                                  <w:lang w:val="en-US" w:eastAsia="zh-CN"/>
                                </w:rPr>
                                <w:t>1.26</w:t>
                              </w:r>
                            </w:p>
                          </w:txbxContent>
                        </v:textbox>
                      </v:rect>
                      <v:rect id="Rectangle 1117" o:spid="_x0000_s1026" o:spt="1" style="position:absolute;left:1703918;top:3189843;height:451609;width:736692;" fillcolor="#FFFFFF" filled="t" stroked="t" coordsize="21600,21600" o:gfxdata="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1evjbWAAAABQEAAA8AAAAAAAAAAQAgAAAAIgAAAGRycy9kb3du&#10;cmV2LnhtbFBLAQIUABQAAAAIAIdO4kCEzv2McwIAAAgFAAAOAAAAAAAAAAEAIAAAACUBAABkcnMv&#10;ZTJvRG9jLnhtbFBLBQYAAAAABgAGAFkBAAAKBgAAAAA=&#10;">
                        <v:fill type="gradient" on="t" color2="#FFFFFF" angle="90" focus="100%" focussize="0,0">
                          <o:fill type="gradientUnscaled" v:ext="backwardCompatible"/>
                        </v:fill>
                        <v:stroke weight="1.25pt" color="#000000 [3213]" miterlimit="8" joinstyle="miter"/>
                        <v:imagedata o:title=""/>
                        <o:lock v:ext="edit" aspectratio="f"/>
                        <v:textbox>
                          <w:txbxContent>
                            <w:p>
                              <w:pPr>
                                <w:jc w:val="center"/>
                              </w:pPr>
                              <w:r>
                                <w:rPr>
                                  <w:rFonts w:hint="eastAsia"/>
                                </w:rPr>
                                <w:t>锅炉清洗用水</w:t>
                              </w:r>
                            </w:p>
                          </w:txbxContent>
                        </v:textbox>
                      </v:rect>
                      <v:shape id="自选图形 350" o:spid="_x0000_s1026" o:spt="32" type="#_x0000_t32" style="position:absolute;left:2446960;top:3389922;height:0;width:342308;" filled="f" stroked="t" coordsize="21600,21600" o:gfxdata="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YtzP1QAAAAUBAAAP&#10;AAAAAAAAAAEAIAAAACIAAABkcnMvZG93bnJldi54bWxQSwECFAAUAAAACACHTuJAr4kmqxsCAADz&#10;AwAADgAAAAAAAAABACAAAAAkAQAAZHJzL2Uyb0RvYy54bWxQSwUGAAAAAAYABgBZAQAAsQUAAAAA&#10;">
                        <v:fill on="f" focussize="0,0"/>
                        <v:stroke weight="1.25pt" color="#000000 [3213]" joinstyle="round" endarrow="block"/>
                        <v:imagedata o:title=""/>
                        <o:lock v:ext="edit" aspectratio="f"/>
                      </v:shape>
                      <v:rect id="Rectangle 1119" o:spid="_x0000_s1026" o:spt="1" style="position:absolute;left:2798794;top:3200005;height:487813;width:1041530;" fillcolor="#FFFFFF" filled="t" stroked="t" coordsize="21600,21600" o:gfxdata="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V6+NtYAAAAFAQAADwAAAAAAAAABACAAAAAiAAAAZHJzL2Rvd25y&#10;ZXYueG1sUEsBAhQAFAAAAAgAh07iQI0JnjdyAgAACQUAAA4AAAAAAAAAAQAgAAAAJQEAAGRycy9l&#10;Mm9Eb2MueG1sUEsFBgAAAAAGAAYAWQEAAAkGAAAAAA==&#10;">
                        <v:fill type="gradient" on="t" color2="#FFFFFF" angle="90" focus="100%" focussize="0,0">
                          <o:fill type="gradientUnscaled" v:ext="backwardCompatible"/>
                        </v:fill>
                        <v:stroke weight="1.25pt" color="#000000 [3213]" miterlimit="8" joinstyle="miter"/>
                        <v:imagedata o:title=""/>
                        <o:lock v:ext="edit" aspectratio="f"/>
                        <v:textbox>
                          <w:txbxContent>
                            <w:p>
                              <w:pPr>
                                <w:jc w:val="center"/>
                              </w:pPr>
                              <w:r>
                                <w:rPr>
                                  <w:rFonts w:hint="eastAsia"/>
                                </w:rPr>
                                <w:t>委托有处理能力单位处理</w:t>
                              </w:r>
                            </w:p>
                          </w:txbxContent>
                        </v:textbox>
                      </v:rect>
                      <v:rect id="矩形 491" o:spid="_x0000_s1026" o:spt="1" style="position:absolute;left:868680;top:1421130;height:266700;width:1216660;" fillcolor="#FFFFFF" filled="t" stroked="t" coordsize="21600,21600" o:gfxdata="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tXr421gAAAAUBAAAPAAAAAAAAAAEAIAAAACIAAABkcnMvZG93bnJldi54&#10;bWxQSwECFAAUAAAACACHTuJAAyqcX24CAADtBAAADgAAAAAAAAABACAAAAAlAQAAZHJzL2Uyb0Rv&#10;Yy54bWxQSwUGAAAAAAYABgBZAQAABQYAAAAA&#10;">
                        <v:fill type="gradient" on="t" color2="#FFFFFF" angle="90" focus="100%" focussize="0,0">
                          <o:fill type="gradientUnscaled" v:ext="backwardCompatible"/>
                        </v:fill>
                        <v:stroke weight="1.25pt" color="#000000 [3213]" joinstyle="round"/>
                        <v:imagedata o:title=""/>
                        <o:lock v:ext="edit" aspectratio="f"/>
                        <v:textbox>
                          <w:txbxContent>
                            <w:p>
                              <w:pPr>
                                <w:rPr>
                                  <w:rFonts w:hint="default" w:eastAsia="宋体"/>
                                  <w:lang w:val="en-US" w:eastAsia="zh-CN"/>
                                </w:rPr>
                              </w:pPr>
                              <w:r>
                                <w:rPr>
                                  <w:rFonts w:hint="eastAsia"/>
                                </w:rPr>
                                <w:t>纯水</w:t>
                              </w:r>
                              <w:r>
                                <w:rPr>
                                  <w:rFonts w:hint="eastAsia"/>
                                  <w:lang w:val="en-US" w:eastAsia="zh-CN"/>
                                </w:rPr>
                                <w:t>制备机1.93</w:t>
                              </w:r>
                            </w:p>
                          </w:txbxContent>
                        </v:textbox>
                      </v:rect>
                      <v:rect id="Rectangle 1121" o:spid="_x0000_s1026" o:spt="1" style="position:absolute;left:2389505;top:2506980;height:266700;width:571500;" filled="f" stroked="f" coordsize="21600,21600" o:gfxdata="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jb8KD1wAAAAUBAAAPAAAAAAAAAAEA&#10;IAAAACIAAABkcnMvZG93bnJldi54bWxQSwECFAAUAAAACACHTuJAsJrEZRACAAAbBAAADgAAAAAA&#10;AAABACAAAAAmAQAAZHJzL2Uyb0RvYy54bWxQSwUGAAAAAAYABgBZAQAAqAUAAAAA&#10;">
                        <v:fill on="f" focussize="0,0"/>
                        <v:stroke on="f"/>
                        <v:imagedata o:title=""/>
                        <o:lock v:ext="edit" aspectratio="f"/>
                        <v:textbox>
                          <w:txbxContent>
                            <w:p>
                              <w:pPr>
                                <w:pStyle w:val="2"/>
                                <w:rPr>
                                  <w:rFonts w:hint="default" w:eastAsia="宋体"/>
                                  <w:lang w:val="en-US" w:eastAsia="zh-CN"/>
                                </w:rPr>
                              </w:pPr>
                              <w:r>
                                <w:rPr>
                                  <w:rFonts w:hint="eastAsia"/>
                                  <w:lang w:val="en-US" w:eastAsia="zh-CN"/>
                                </w:rPr>
                                <w:t>11.97</w:t>
                              </w:r>
                            </w:p>
                          </w:txbxContent>
                        </v:textbox>
                      </v:rect>
                      <v:rect id="Rectangle 1122" o:spid="_x0000_s1026" o:spt="1" style="position:absolute;left:3605530;top:2560955;height:266700;width:495300;" filled="f" stroked="f" coordsize="21600,21600" o:gfxdata="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2/Cg9cAAAAFAQAADwAAAAAAAAAB&#10;ACAAAAAiAAAAZHJzL2Rvd25yZXYueG1sUEsBAhQAFAAAAAgAh07iQLQ/olQRAgAAGwQAAA4AAAAA&#10;AAAAAQAgAAAAJgEAAGRycy9lMm9Eb2MueG1sUEsFBgAAAAAGAAYAWQEAAKkFAAAAAA==&#10;">
                        <v:fill on="f" focussize="0,0"/>
                        <v:stroke on="f"/>
                        <v:imagedata o:title=""/>
                        <o:lock v:ext="edit" aspectratio="f"/>
                        <v:textbox>
                          <w:txbxContent>
                            <w:p>
                              <w:pPr>
                                <w:rPr>
                                  <w:rFonts w:hint="default" w:eastAsia="宋体"/>
                                  <w:lang w:val="en-US" w:eastAsia="zh-CN"/>
                                </w:rPr>
                              </w:pPr>
                              <w:r>
                                <w:rPr>
                                  <w:rFonts w:hint="eastAsia"/>
                                  <w:lang w:val="en-US" w:eastAsia="zh-CN"/>
                                </w:rPr>
                                <w:t>0.57</w:t>
                              </w:r>
                            </w:p>
                          </w:txbxContent>
                        </v:textbox>
                      </v:rect>
                      <v:rect id="Rectangle 1124" o:spid="_x0000_s1026" o:spt="1" style="position:absolute;left:2421255;top:3173730;height:266700;width:508000;" filled="f" stroked="f" coordsize="21600,21600" o:gfxdata="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2/Cg9cAAAAFAQAADwAAAAAAAAAB&#10;ACAAAAAiAAAAZHJzL2Rvd25yZXYueG1sUEsBAhQAFAAAAAgAh07iQA+pOEkRAgAAGwQAAA4AAAAA&#10;AAAAAQAgAAAAJgEAAGRycy9lMm9Eb2MueG1sUEsFBgAAAAAGAAYAWQEAAKkFAAAAAA==&#10;">
                        <v:fill on="f" focussize="0,0"/>
                        <v:stroke on="f"/>
                        <v:imagedata o:title=""/>
                        <o:lock v:ext="edit" aspectratio="f"/>
                        <v:textbox>
                          <w:txbxContent>
                            <w:p>
                              <w:r>
                                <w:rPr>
                                  <w:rFonts w:hint="eastAsia"/>
                                </w:rPr>
                                <w:t>0.01</w:t>
                              </w:r>
                            </w:p>
                          </w:txbxContent>
                        </v:textbox>
                      </v:rect>
                      <v:rect id="Rectangle 1125" o:spid="_x0000_s1026" o:spt="1" style="position:absolute;left:4493260;top:2859405;height:266700;width:495300;" filled="f" stroked="f" coordsize="21600,21600" o:gfxdata="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2/Cg9cAAAAFAQAADwAAAAAAAAAB&#10;ACAAAAAiAAAAZHJzL2Rvd25yZXYueG1sUEsBAhQAFAAAAAgAh07iQCIFFwoRAgAAGwQAAA4AAAAA&#10;AAAAAQAgAAAAJgEAAGRycy9lMm9Eb2MueG1sUEsFBgAAAAAGAAYAWQEAAKkFAAAAAA==&#10;">
                        <v:fill on="f" focussize="0,0"/>
                        <v:stroke on="f"/>
                        <v:imagedata o:title=""/>
                        <o:lock v:ext="edit" aspectratio="f"/>
                        <v:textbox>
                          <w:txbxContent>
                            <w:p>
                              <w:pPr>
                                <w:rPr>
                                  <w:rFonts w:hint="default" w:eastAsia="宋体"/>
                                  <w:lang w:val="en-US" w:eastAsia="zh-CN"/>
                                </w:rPr>
                              </w:pPr>
                              <w:r>
                                <w:rPr>
                                  <w:rFonts w:hint="eastAsia"/>
                                  <w:lang w:val="en-US" w:eastAsia="zh-CN"/>
                                </w:rPr>
                                <w:t>0.</w:t>
                              </w:r>
                              <w:r>
                                <w:rPr>
                                  <w:rFonts w:hint="eastAsia"/>
                                </w:rPr>
                                <w:t>7</w:t>
                              </w:r>
                              <w:r>
                                <w:rPr>
                                  <w:rFonts w:hint="eastAsia"/>
                                  <w:lang w:val="en-US" w:eastAsia="zh-CN"/>
                                </w:rPr>
                                <w:t>23</w:t>
                              </w:r>
                            </w:p>
                          </w:txbxContent>
                        </v:textbox>
                      </v:rect>
                      <v:shape id="自选图形 353" o:spid="_x0000_s1026" o:spt="34" type="#_x0000_t34" style="position:absolute;left:3081020;top:2501900;flip:y;height:3175;width:180340;rotation:5898240f;" filled="f" stroked="t" coordsize="21600,21600" o:gfxdata="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UpGoy1QAAAAUBAAAPAAAAAAAAAAEAIAAAACIAAABk&#10;cnMvZG93bnJldi54bWxQSwECFAAUAAAACACHTuJAhk4fxkICAABFBAAADgAAAAAAAAABACAAAAAk&#10;AQAAZHJzL2Uyb0RvYy54bWxQSwUGAAAAAAYABgBZAQAA2AUAAAAA&#10;" adj="10724">
                        <v:fill on="f" focussize="0,0"/>
                        <v:stroke weight="1.25pt" color="#000000 [3213]" miterlimit="8" joinstyle="miter" endarrow="block"/>
                        <v:imagedata o:title=""/>
                        <o:lock v:ext="edit" aspectratio="f"/>
                      </v:shape>
                      <v:rect id="Rectangle 1098" o:spid="_x0000_s1026" o:spt="1" style="position:absolute;left:2799080;top:1990090;height:445770;width:774700;" fillcolor="#FFFFFF" filled="t" stroked="t" coordsize="21600,21600" o:gfxdata="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V6+NtYAAAAFAQAADwAAAAAAAAABACAAAAAiAAAAZHJzL2Rvd25yZXYu&#10;eG1sUEsBAhQAFAAAAAgAh07iQMlYbetvAgAACAUAAA4AAAAAAAAAAQAgAAAAJQEAAGRycy9lMm9E&#10;b2MueG1sUEsFBgAAAAAGAAYAWQEAAAYGAAAAAA==&#10;">
                        <v:fill type="gradient" on="t" color2="#FFFFFF" angle="90" focus="100%" focussize="0,0">
                          <o:fill type="gradientUnscaled" v:ext="backwardCompatible"/>
                        </v:fill>
                        <v:stroke weight="1.25pt" color="#000000 [3213]" miterlimit="8" joinstyle="miter"/>
                        <v:imagedata o:title=""/>
                        <o:lock v:ext="edit" aspectratio="f"/>
                        <v:textbox>
                          <w:txbxContent>
                            <w:p>
                              <w:pPr>
                                <w:jc w:val="center"/>
                                <w:rPr>
                                  <w:rFonts w:hint="default"/>
                                  <w:lang w:val="en-US" w:eastAsia="zh-CN"/>
                                </w:rPr>
                              </w:pPr>
                              <w:r>
                                <w:rPr>
                                  <w:rFonts w:hint="eastAsia"/>
                                </w:rPr>
                                <w:t>用汽企业</w:t>
                              </w:r>
                              <w:r>
                                <w:rPr>
                                  <w:rFonts w:hint="eastAsia"/>
                                  <w:lang w:val="en-US" w:eastAsia="zh-CN"/>
                                </w:rPr>
                                <w:t>11.4</w:t>
                              </w:r>
                            </w:p>
                          </w:txbxContent>
                        </v:textbox>
                      </v:rect>
                      <v:shape id="直接箭头连接符 7" o:spid="_x0000_s1026" o:spt="32" type="#_x0000_t32" style="position:absolute;left:1254125;top:2752725;height:0;width:433070;" filled="f" stroked="t" coordsize="21600,21600" o:gfxdata="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YtzP1QAAAAUBAAAPAAAAAAAAAAEA&#10;IAAAACIAAABkcnMvZG93bnJldi54bWxQSwECFAAUAAAACACHTuJASk9arRICAADqAwAADgAAAAAA&#10;AAABACAAAAAkAQAAZHJzL2Uyb0RvYy54bWxQSwUGAAAAAAYABgBZAQAAqAUAAAAA&#10;">
                        <v:fill on="f" focussize="0,0"/>
                        <v:stroke weight="1.25pt" color="#000000 [3213]" joinstyle="round" endarrow="block"/>
                        <v:imagedata o:title=""/>
                        <o:lock v:ext="edit" aspectratio="f"/>
                      </v:shape>
                      <v:line id="直接连接符 12" o:spid="_x0000_s1026" o:spt="20" style="position:absolute;left:1254125;top:1680845;flip:y;height:1077595;width:0;" filled="f" stroked="t" coordsize="21600,21600" o:gfxdata="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CD8ytYAAAAFAQAADwAAAAAAAAABACAAAAAiAAAAZHJzL2Rvd25yZXYueG1sUEsBAhQAFAAAAAgA&#10;h07iQImVM83uAQAAtAMAAA4AAAAAAAAAAQAgAAAAJQEAAGRycy9lMm9Eb2MueG1sUEsFBgAAAAAG&#10;AAYAWQEAAIUFAAAAAA==&#10;">
                        <v:fill on="f" focussize="0,0"/>
                        <v:stroke weight="1.2pt" color="#000000 [3213]" joinstyle="round"/>
                        <v:imagedata o:title=""/>
                        <o:lock v:ext="edit" aspectratio="f"/>
                      </v:line>
                      <v:shape id="直接箭头连接符 14" o:spid="_x0000_s1026" o:spt="32" type="#_x0000_t32" style="position:absolute;left:532130;top:1588770;height:1270;width:356870;" filled="f" stroked="t" coordsize="21600,21600" o:gfxdata="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eQBe1AAAAAUBAAAPAAAAAAAAAAEAIAAAACIAAABkcnMv&#10;ZG93bnJldi54bWxQSwECFAAUAAAACACHTuJAVS8/+AcCAADbAwAADgAAAAAAAAABACAAAAAjAQAA&#10;ZHJzL2Uyb0RvYy54bWxQSwUGAAAAAAYABgBZAQAAnAUAAAAA&#10;">
                        <v:fill on="f" focussize="0,0"/>
                        <v:stroke weight="1.2pt" color="#000000 [3213]" joinstyle="round" endarrow="block"/>
                        <v:imagedata o:title=""/>
                        <o:lock v:ext="edit" aspectratio="f"/>
                      </v:shape>
                      <v:rect id="矩形 355" o:spid="_x0000_s1026" o:spt="1" style="position:absolute;left:3004185;top:1418590;height:276860;width:812800;" filled="f" stroked="t" coordsize="21600,21600" o:gfxdata="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Ao6ea1QAAAAUBAAAPAAAAAAAAAAEAIAAAACIAAABkcnMvZG93bnJl&#10;di54bWxQSwECFAAUAAAACACHTuJAWCY8iDkCAABKBAAADgAAAAAAAAABACAAAAAkAQAAZHJzL2Uy&#10;b0RvYy54bWxQSwUGAAAAAAYABgBZAQAAzwUAAAAA&#10;">
                        <v:fill on="f" focussize="0,0"/>
                        <v:stroke weight="1.25pt" color="#000000 [3213]" joinstyle="round"/>
                        <v:imagedata o:title=""/>
                        <o:lock v:ext="edit" aspectratio="f"/>
                        <v:textbox>
                          <w:txbxContent>
                            <w:p>
                              <w:pPr>
                                <w:rPr>
                                  <w:rFonts w:hint="default" w:eastAsia="宋体"/>
                                  <w:lang w:val="en-US" w:eastAsia="zh-CN"/>
                                </w:rPr>
                              </w:pPr>
                              <w:r>
                                <w:rPr>
                                  <w:rFonts w:hint="eastAsia"/>
                                  <w:lang w:val="en-US" w:eastAsia="zh-CN"/>
                                </w:rPr>
                                <w:t>浓水0.1</w:t>
                              </w:r>
                            </w:p>
                          </w:txbxContent>
                        </v:textbox>
                      </v:rect>
                      <v:shape id="直接箭头连接符 36" o:spid="_x0000_s1026" o:spt="32" type="#_x0000_t32" style="position:absolute;left:534670;top:1564005;flip:y;height:1822450;width:12700;" filled="f" stroked="t" coordsize="21600,21600" o:gfxdata="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IHQEdQAAAAFAQAADwAAAAAAAAABACAAAAAi&#10;AAAAZHJzL2Rvd25yZXYueG1sUEsBAhQAFAAAAAgAh07iQDYteQ8OAgAA4wMAAA4AAAAAAAAAAQAg&#10;AAAAIwEAAGRycy9lMm9Eb2MueG1sUEsFBgAAAAAGAAYAWQEAAKMFAAAAAA==&#10;">
                        <v:fill on="f" focussize="0,0"/>
                        <v:stroke weight="1.2pt" color="#000000 [3213]" joinstyle="round"/>
                        <v:imagedata o:title=""/>
                        <o:lock v:ext="edit" aspectratio="f"/>
                      </v:shape>
                      <v:shape id="直接箭头连接符 37" o:spid="_x0000_s1026" o:spt="32" type="#_x0000_t32" style="position:absolute;left:528320;top:3386455;height:6350;width:1181100;" filled="f" stroked="t" coordsize="21600,21600" o:gfxdata="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5AF7UAAAABQEAAA8AAAAAAAAAAQAgAAAAIgAA&#10;AGRycy9kb3ducmV2LnhtbFBLAQIUABQAAAAIAIdO4kCpKQH+DAIAANwDAAAOAAAAAAAAAAEAIAAA&#10;ACMBAABkcnMvZTJvRG9jLnhtbFBLBQYAAAAABgAGAFkBAAChBQAAAAA=&#10;">
                        <v:fill on="f" focussize="0,0"/>
                        <v:stroke weight="1.2pt" color="#000000 [3213]" joinstyle="round" endarrow="block"/>
                        <v:imagedata o:title=""/>
                        <o:lock v:ext="edit" aspectratio="f"/>
                      </v:shape>
                      <v:shape id="AutoShape 1097" o:spid="_x0000_s1026" o:spt="32" type="#_x0000_t32" style="position:absolute;left:3584575;top:2231390;height:1270;width:385445;" filled="f" stroked="t" coordsize="21600,21600" o:gfxdata="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Ri3M/VAAAABQEAAA8AAAAAAAAAAQAgAAAAIgAAAGRycy9kb3du&#10;cmV2LnhtbFBLAQIUABQAAAAIAIdO4kA0RZgoAgIAAPQDAAAOAAAAAAAAAAEAIAAAACQBAABkcnMv&#10;ZTJvRG9jLnhtbFBLBQYAAAAABgAGAFkBAACYBQAAAAA=&#10;">
                        <v:fill on="f" focussize="0,0"/>
                        <v:stroke weight="1.25pt" color="#000000 [3213]" joinstyle="round" endarrow="block"/>
                        <v:imagedata o:title=""/>
                        <o:lock v:ext="edit" aspectratio="f"/>
                      </v:shape>
                      <v:shape id="直接箭头连接符 37" o:spid="_x0000_s1026" o:spt="32" type="#_x0000_t32" style="position:absolute;left:2077720;top:1560195;flip:y;height:3810;width:920750;" filled="f" stroked="t" coordsize="21600,21600" o:gfxdata="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mTjpdQAAAAFAQAADwAAAAAAAAABACAA&#10;AAAiAAAAZHJzL2Rvd25yZXYueG1sUEsBAhQAFAAAAAgAh07iQOQyH4IRAgAA5gMAAA4AAAAAAAAA&#10;AQAgAAAAIwEAAGRycy9lMm9Eb2MueG1sUEsFBgAAAAAGAAYAWQEAAKYFAAAAAA==&#10;">
                        <v:fill on="f" focussize="0,0"/>
                        <v:stroke weight="1.2pt" color="#000000 [3213]" joinstyle="round" endarrow="block"/>
                        <v:imagedata o:title=""/>
                        <o:lock v:ext="edit" aspectratio="f"/>
                      </v:shape>
                      <v:shape id="直接箭头连接符 37" o:spid="_x0000_s1026" o:spt="32" type="#_x0000_t32" style="position:absolute;left:2903220;top:528955;height:6985;width:1911350;" filled="f" stroked="t" coordsize="21600,21600" o:gfxdata="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yTRj0gAAAAUBAAAPAAAAAAAAAAEAIAAAACIAAABkcnMv&#10;ZG93bnJldi54bWxQSwECFAAUAAAACACHTuJAl4kxTgkCAADYAwAADgAAAAAAAAABACAAAAAhAQAA&#10;ZHJzL2Uyb0RvYy54bWxQSwUGAAAAAAYABgBZAQAAnAUAAAAA&#10;">
                        <v:fill on="f" focussize="0,0"/>
                        <v:stroke weight="1.2pt" color="#000000 [3213]" joinstyle="round"/>
                        <v:imagedata o:title=""/>
                        <o:lock v:ext="edit" aspectratio="f"/>
                      </v:shape>
                      <v:shape id="直接箭头连接符 37" o:spid="_x0000_s1026" o:spt="32" type="#_x0000_t32" style="position:absolute;left:3811270;top:1550670;flip:y;height:635;width:1009650;" filled="f" stroked="t" coordsize="21600,21600" o:gfxdata="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gdAR1AAAAAUBAAAPAAAAAAAAAAEAIAAAACIA&#10;AABkcnMvZG93bnJldi54bWxQSwECFAAUAAAACACHTuJAHBeuIg0CAADiAwAADgAAAAAAAAABACAA&#10;AAAjAQAAZHJzL2Uyb0RvYy54bWxQSwUGAAAAAAYABgBZAQAAogUAAAAA&#10;">
                        <v:fill on="f" focussize="0,0"/>
                        <v:stroke weight="1.2pt" color="#000000 [3213]" joinstyle="round"/>
                        <v:imagedata o:title=""/>
                        <o:lock v:ext="edit" aspectratio="f"/>
                      </v:shape>
                      <v:shape id="直接箭头连接符 37" o:spid="_x0000_s1026" o:spt="32" type="#_x0000_t32" style="position:absolute;left:4822190;top:511810;height:2079625;width:5080;" filled="f" stroked="t" coordsize="21600,21600" o:gfxdata="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HkAXtQAAAAFAQAADwAAAAAAAAABACAAAAAiAAAA&#10;ZHJzL2Rvd25yZXYueG1sUEsBAhQAFAAAAAgAh07iQJOfHUoLAgAA3AMAAA4AAAAAAAAAAQAgAAAA&#10;IwEAAGRycy9lMm9Eb2MueG1sUEsFBgAAAAAGAAYAWQEAAKAFAAAAAA==&#10;">
                        <v:fill on="f" focussize="0,0"/>
                        <v:stroke weight="1.2pt" color="#000000 [3213]" joinstyle="round" endarrow="block"/>
                        <v:imagedata o:title=""/>
                        <o:lock v:ext="edit" aspectratio="f"/>
                      </v:shape>
                      <w10:wrap type="none"/>
                      <w10:anchorlock/>
                    </v:group>
                  </w:pict>
                </mc:Fallback>
              </mc:AlternateContent>
            </w:r>
          </w:p>
          <w:p>
            <w:pPr>
              <w:adjustRightInd w:val="0"/>
              <w:snapToGrid w:val="0"/>
              <w:spacing w:line="360" w:lineRule="auto"/>
              <w:ind w:firstLine="422" w:firstLineChars="200"/>
              <w:jc w:val="center"/>
              <w:rPr>
                <w:rFonts w:hint="default" w:ascii="Times New Roman" w:hAnsi="Times New Roman" w:cs="Times New Roman"/>
                <w:b/>
                <w:bCs/>
                <w:szCs w:val="21"/>
              </w:rPr>
            </w:pPr>
            <w:r>
              <w:rPr>
                <w:rFonts w:hint="default" w:ascii="Times New Roman" w:hAnsi="Times New Roman" w:cs="Times New Roman"/>
                <w:b/>
                <w:bCs/>
                <w:kern w:val="0"/>
                <w:szCs w:val="21"/>
              </w:rPr>
              <w:t>图4-1 项目水平衡图（单位：m</w:t>
            </w:r>
            <w:r>
              <w:rPr>
                <w:rFonts w:hint="default" w:ascii="Times New Roman" w:hAnsi="Times New Roman" w:cs="Times New Roman"/>
                <w:b/>
                <w:bCs/>
                <w:kern w:val="0"/>
                <w:szCs w:val="21"/>
                <w:vertAlign w:val="superscript"/>
              </w:rPr>
              <w:t>3</w:t>
            </w:r>
            <w:r>
              <w:rPr>
                <w:rFonts w:hint="default" w:ascii="Times New Roman" w:hAnsi="Times New Roman" w:cs="Times New Roman"/>
                <w:b/>
                <w:bCs/>
                <w:kern w:val="0"/>
                <w:szCs w:val="21"/>
              </w:rPr>
              <w:t>/</w:t>
            </w:r>
            <w:r>
              <w:rPr>
                <w:rFonts w:hint="default" w:ascii="Times New Roman" w:hAnsi="Times New Roman" w:cs="Times New Roman"/>
                <w:b/>
                <w:bCs/>
                <w:kern w:val="0"/>
                <w:szCs w:val="21"/>
                <w:lang w:val="en-US" w:eastAsia="zh-CN"/>
              </w:rPr>
              <w:t>h</w:t>
            </w:r>
            <w:r>
              <w:rPr>
                <w:rFonts w:hint="default" w:ascii="Times New Roman" w:hAnsi="Times New Roman" w:cs="Times New Roman"/>
                <w:b/>
                <w:bCs/>
                <w:kern w:val="0"/>
                <w:szCs w:val="21"/>
              </w:rPr>
              <w:t>）</w:t>
            </w:r>
          </w:p>
          <w:p>
            <w:pPr>
              <w:adjustRightInd w:val="0"/>
              <w:snapToGrid w:val="0"/>
              <w:spacing w:line="360" w:lineRule="auto"/>
              <w:ind w:left="420" w:leftChars="200"/>
              <w:rPr>
                <w:rFonts w:hint="default" w:ascii="Times New Roman" w:hAnsi="Times New Roman" w:cs="Times New Roman"/>
                <w:b/>
                <w:sz w:val="24"/>
              </w:rPr>
            </w:pPr>
            <w:r>
              <w:rPr>
                <w:rFonts w:hint="default" w:ascii="Times New Roman" w:hAnsi="Times New Roman" w:cs="Times New Roman"/>
                <w:b/>
                <w:sz w:val="24"/>
              </w:rPr>
              <w:t>3、依托可行性分析</w:t>
            </w:r>
          </w:p>
          <w:p>
            <w:pPr>
              <w:pStyle w:val="2"/>
              <w:adjustRightInd w:val="0"/>
              <w:spacing w:before="0" w:after="0" w:line="360" w:lineRule="auto"/>
              <w:ind w:right="0" w:firstLine="482" w:firstLineChars="200"/>
              <w:rPr>
                <w:rFonts w:hint="default" w:ascii="Times New Roman" w:hAnsi="Times New Roman" w:cs="Times New Roman"/>
                <w:kern w:val="2"/>
                <w:sz w:val="24"/>
              </w:rPr>
            </w:pPr>
            <w:r>
              <w:rPr>
                <w:rFonts w:hint="default" w:ascii="Times New Roman" w:hAnsi="Times New Roman" w:cs="Times New Roman"/>
                <w:b/>
                <w:bCs/>
                <w:kern w:val="2"/>
                <w:sz w:val="24"/>
              </w:rPr>
              <w:t>（1）预处理池依托可行性</w:t>
            </w:r>
            <w:r>
              <w:rPr>
                <w:rFonts w:hint="default" w:ascii="Times New Roman" w:hAnsi="Times New Roman" w:cs="Times New Roman"/>
                <w:kern w:val="2"/>
                <w:sz w:val="24"/>
              </w:rPr>
              <w:t>：</w:t>
            </w:r>
          </w:p>
          <w:p>
            <w:pPr>
              <w:pStyle w:val="2"/>
              <w:adjustRightInd w:val="0"/>
              <w:spacing w:before="0" w:after="0" w:line="360" w:lineRule="auto"/>
              <w:ind w:right="0" w:firstLine="480" w:firstLineChars="200"/>
              <w:rPr>
                <w:rFonts w:hint="default" w:ascii="Times New Roman" w:hAnsi="Times New Roman" w:cs="Times New Roman"/>
                <w:kern w:val="2"/>
                <w:sz w:val="24"/>
              </w:rPr>
            </w:pPr>
            <w:r>
              <w:rPr>
                <w:rFonts w:hint="default" w:ascii="Times New Roman" w:hAnsi="Times New Roman" w:cs="Times New Roman"/>
                <w:sz w:val="24"/>
                <w:lang w:eastAsia="zh-CN" w:bidi="ar"/>
              </w:rPr>
              <w:t>四川鸿鹏新材料有限公司</w:t>
            </w:r>
            <w:r>
              <w:rPr>
                <w:rFonts w:hint="default" w:ascii="Times New Roman" w:hAnsi="Times New Roman" w:cs="Times New Roman"/>
                <w:kern w:val="2"/>
                <w:sz w:val="24"/>
              </w:rPr>
              <w:t>已设置1座预处理池，容积约</w:t>
            </w:r>
            <w:r>
              <w:rPr>
                <w:rFonts w:hint="default" w:ascii="Times New Roman" w:hAnsi="Times New Roman" w:cs="Times New Roman"/>
                <w:kern w:val="2"/>
                <w:sz w:val="24"/>
                <w:lang w:val="en-US" w:eastAsia="zh-CN"/>
              </w:rPr>
              <w:t>1</w:t>
            </w:r>
            <w:r>
              <w:rPr>
                <w:rFonts w:hint="default" w:ascii="Times New Roman" w:hAnsi="Times New Roman" w:cs="Times New Roman"/>
                <w:kern w:val="2"/>
                <w:sz w:val="24"/>
              </w:rPr>
              <w:t>00m</w:t>
            </w:r>
            <w:r>
              <w:rPr>
                <w:rFonts w:hint="default" w:ascii="Times New Roman" w:hAnsi="Times New Roman" w:cs="Times New Roman"/>
                <w:kern w:val="2"/>
                <w:sz w:val="24"/>
                <w:vertAlign w:val="superscript"/>
              </w:rPr>
              <w:t>3</w:t>
            </w:r>
            <w:r>
              <w:rPr>
                <w:rFonts w:hint="default" w:ascii="Times New Roman" w:hAnsi="Times New Roman" w:cs="Times New Roman"/>
                <w:kern w:val="2"/>
                <w:sz w:val="24"/>
              </w:rPr>
              <w:t>，项目废水经预处理池处理达标后排入</w:t>
            </w:r>
            <w:r>
              <w:rPr>
                <w:rFonts w:hint="default" w:ascii="Times New Roman" w:hAnsi="Times New Roman" w:cs="Times New Roman"/>
                <w:kern w:val="2"/>
                <w:sz w:val="24"/>
                <w:lang w:eastAsia="zh-CN"/>
              </w:rPr>
              <w:t>园区污水管网</w:t>
            </w:r>
            <w:r>
              <w:rPr>
                <w:rFonts w:hint="default" w:ascii="Times New Roman" w:hAnsi="Times New Roman" w:cs="Times New Roman"/>
                <w:kern w:val="2"/>
                <w:sz w:val="24"/>
              </w:rPr>
              <w:t>，预处理池停留时间为12h，总处理量为</w:t>
            </w:r>
            <w:r>
              <w:rPr>
                <w:rFonts w:hint="default" w:ascii="Times New Roman" w:hAnsi="Times New Roman" w:cs="Times New Roman"/>
                <w:kern w:val="2"/>
                <w:sz w:val="24"/>
                <w:lang w:val="en-US" w:eastAsia="zh-CN"/>
              </w:rPr>
              <w:t>2</w:t>
            </w:r>
            <w:r>
              <w:rPr>
                <w:rFonts w:hint="default" w:ascii="Times New Roman" w:hAnsi="Times New Roman" w:cs="Times New Roman"/>
                <w:kern w:val="2"/>
                <w:sz w:val="24"/>
              </w:rPr>
              <w:t>00m</w:t>
            </w:r>
            <w:r>
              <w:rPr>
                <w:rFonts w:hint="default" w:ascii="Times New Roman" w:hAnsi="Times New Roman" w:cs="Times New Roman"/>
                <w:kern w:val="2"/>
                <w:sz w:val="24"/>
                <w:vertAlign w:val="superscript"/>
              </w:rPr>
              <w:t>3</w:t>
            </w:r>
            <w:r>
              <w:rPr>
                <w:rFonts w:hint="default" w:ascii="Times New Roman" w:hAnsi="Times New Roman" w:cs="Times New Roman"/>
                <w:kern w:val="2"/>
                <w:sz w:val="24"/>
              </w:rPr>
              <w:t>/d，</w:t>
            </w:r>
            <w:r>
              <w:rPr>
                <w:rFonts w:hint="default" w:ascii="Times New Roman" w:hAnsi="Times New Roman" w:cs="Times New Roman"/>
                <w:kern w:val="2"/>
                <w:sz w:val="24"/>
                <w:lang w:val="en-US" w:eastAsia="zh-CN"/>
              </w:rPr>
              <w:t>目前已使用量为25.6</w:t>
            </w:r>
            <w:r>
              <w:rPr>
                <w:rFonts w:hint="default" w:ascii="Times New Roman" w:hAnsi="Times New Roman" w:cs="Times New Roman"/>
                <w:kern w:val="2"/>
                <w:sz w:val="24"/>
              </w:rPr>
              <w:t>m</w:t>
            </w:r>
            <w:r>
              <w:rPr>
                <w:rFonts w:hint="default" w:ascii="Times New Roman" w:hAnsi="Times New Roman" w:cs="Times New Roman"/>
                <w:kern w:val="2"/>
                <w:sz w:val="24"/>
                <w:vertAlign w:val="superscript"/>
              </w:rPr>
              <w:t>3</w:t>
            </w:r>
            <w:r>
              <w:rPr>
                <w:rFonts w:hint="default" w:ascii="Times New Roman" w:hAnsi="Times New Roman" w:cs="Times New Roman"/>
                <w:kern w:val="2"/>
                <w:sz w:val="24"/>
              </w:rPr>
              <w:t>/d，剩余处理量为</w:t>
            </w:r>
            <w:r>
              <w:rPr>
                <w:rFonts w:hint="default" w:ascii="Times New Roman" w:hAnsi="Times New Roman" w:cs="Times New Roman"/>
                <w:kern w:val="2"/>
                <w:sz w:val="24"/>
                <w:lang w:val="en-US" w:eastAsia="zh-CN"/>
              </w:rPr>
              <w:t>174.4</w:t>
            </w:r>
            <w:r>
              <w:rPr>
                <w:rFonts w:hint="default" w:ascii="Times New Roman" w:hAnsi="Times New Roman" w:cs="Times New Roman"/>
                <w:kern w:val="2"/>
                <w:sz w:val="24"/>
              </w:rPr>
              <w:t>m</w:t>
            </w:r>
            <w:r>
              <w:rPr>
                <w:rFonts w:hint="default" w:ascii="Times New Roman" w:hAnsi="Times New Roman" w:cs="Times New Roman"/>
                <w:kern w:val="2"/>
                <w:sz w:val="24"/>
                <w:vertAlign w:val="superscript"/>
              </w:rPr>
              <w:t>3</w:t>
            </w:r>
            <w:r>
              <w:rPr>
                <w:rFonts w:hint="default" w:ascii="Times New Roman" w:hAnsi="Times New Roman" w:cs="Times New Roman"/>
                <w:kern w:val="2"/>
                <w:sz w:val="24"/>
              </w:rPr>
              <w:t>/d，本项目污水排放量约</w:t>
            </w:r>
            <w:r>
              <w:rPr>
                <w:rFonts w:hint="default" w:ascii="Times New Roman" w:hAnsi="Times New Roman" w:cs="Times New Roman"/>
                <w:kern w:val="2"/>
                <w:sz w:val="24"/>
                <w:lang w:val="en-US" w:eastAsia="zh-CN"/>
              </w:rPr>
              <w:t>1.28</w:t>
            </w:r>
            <w:r>
              <w:rPr>
                <w:rFonts w:hint="default" w:ascii="Times New Roman" w:hAnsi="Times New Roman" w:cs="Times New Roman"/>
                <w:kern w:val="2"/>
                <w:sz w:val="24"/>
              </w:rPr>
              <w:t>m</w:t>
            </w:r>
            <w:r>
              <w:rPr>
                <w:rFonts w:hint="default" w:ascii="Times New Roman" w:hAnsi="Times New Roman" w:cs="Times New Roman"/>
                <w:kern w:val="2"/>
                <w:sz w:val="24"/>
                <w:vertAlign w:val="superscript"/>
              </w:rPr>
              <w:t>3</w:t>
            </w:r>
            <w:r>
              <w:rPr>
                <w:rFonts w:hint="default" w:ascii="Times New Roman" w:hAnsi="Times New Roman" w:cs="Times New Roman"/>
                <w:kern w:val="2"/>
                <w:sz w:val="24"/>
              </w:rPr>
              <w:t>/d，该预处理池有足够的剩余能力接纳本项目排放的废水。</w:t>
            </w:r>
          </w:p>
          <w:p>
            <w:pPr>
              <w:pStyle w:val="2"/>
              <w:numPr>
                <w:ilvl w:val="0"/>
                <w:numId w:val="0"/>
              </w:numPr>
              <w:adjustRightInd w:val="0"/>
              <w:spacing w:before="0" w:after="0" w:line="360" w:lineRule="auto"/>
              <w:ind w:right="0" w:rightChars="0" w:firstLine="482" w:firstLineChars="200"/>
              <w:rPr>
                <w:rFonts w:hint="default" w:ascii="Times New Roman" w:hAnsi="Times New Roman" w:cs="Times New Roman"/>
                <w:b/>
                <w:bCs/>
                <w:kern w:val="2"/>
                <w:sz w:val="24"/>
              </w:rPr>
            </w:pPr>
            <w:r>
              <w:rPr>
                <w:rFonts w:hint="default" w:ascii="Times New Roman" w:hAnsi="Times New Roman" w:cs="Times New Roman"/>
                <w:b/>
                <w:bCs/>
                <w:kern w:val="2"/>
                <w:sz w:val="24"/>
                <w:lang w:eastAsia="zh-CN"/>
              </w:rPr>
              <w:t>（</w:t>
            </w:r>
            <w:r>
              <w:rPr>
                <w:rFonts w:hint="default" w:ascii="Times New Roman" w:hAnsi="Times New Roman" w:cs="Times New Roman"/>
                <w:b/>
                <w:bCs/>
                <w:kern w:val="2"/>
                <w:sz w:val="24"/>
                <w:lang w:val="en-US" w:eastAsia="zh-CN"/>
              </w:rPr>
              <w:t>2</w:t>
            </w:r>
            <w:r>
              <w:rPr>
                <w:rFonts w:hint="default" w:ascii="Times New Roman" w:hAnsi="Times New Roman" w:cs="Times New Roman"/>
                <w:b/>
                <w:bCs/>
                <w:kern w:val="2"/>
                <w:sz w:val="24"/>
                <w:lang w:eastAsia="zh-CN"/>
              </w:rPr>
              <w:t>）大英工业集中区污水处理厂</w:t>
            </w:r>
            <w:r>
              <w:rPr>
                <w:rFonts w:hint="default" w:ascii="Times New Roman" w:hAnsi="Times New Roman" w:cs="Times New Roman"/>
                <w:b/>
                <w:bCs/>
                <w:kern w:val="2"/>
                <w:sz w:val="24"/>
              </w:rPr>
              <w:t>依托可行性分析</w:t>
            </w:r>
          </w:p>
          <w:p>
            <w:pPr>
              <w:adjustRightInd w:val="0"/>
              <w:snapToGrid w:val="0"/>
              <w:spacing w:line="360" w:lineRule="auto"/>
              <w:ind w:firstLine="480" w:firstLineChars="200"/>
              <w:jc w:val="left"/>
              <w:rPr>
                <w:rFonts w:hint="default" w:ascii="Times New Roman" w:hAnsi="Times New Roman" w:cs="Times New Roman"/>
                <w:kern w:val="0"/>
                <w:sz w:val="24"/>
                <w:szCs w:val="20"/>
                <w:lang w:bidi="ar"/>
              </w:rPr>
            </w:pPr>
            <w:r>
              <w:rPr>
                <w:rFonts w:hint="default" w:ascii="Times New Roman" w:hAnsi="Times New Roman" w:cs="Times New Roman"/>
                <w:sz w:val="24"/>
                <w:szCs w:val="24"/>
              </w:rPr>
              <w:t>大英工业集中区内现设有完善的排水管网，园区污水处理厂</w:t>
            </w:r>
            <w:r>
              <w:rPr>
                <w:rFonts w:hint="default" w:ascii="Times New Roman" w:hAnsi="Times New Roman" w:cs="Times New Roman"/>
                <w:sz w:val="24"/>
                <w:szCs w:val="24"/>
                <w:lang w:val="en-US" w:eastAsia="zh-CN"/>
              </w:rPr>
              <w:t>于</w:t>
            </w:r>
            <w:r>
              <w:rPr>
                <w:rFonts w:hint="default" w:ascii="Times New Roman" w:hAnsi="Times New Roman" w:cs="Times New Roman"/>
                <w:sz w:val="24"/>
                <w:szCs w:val="24"/>
              </w:rPr>
              <w:t>2019年6月建设完成并投入运行。园区污水处理厂建设项目总处理规模3万m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/d，废水处理工艺为“收集、预处理+水解酸化+ A</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/O 一体化自回流改良型氧化沟+MBR+中性催化+化学除磷（含高效沉淀池、精密过滤）+垂直潜流人工湿地”组合工艺，处理后达《地表水环境质量标准》（GB3838-2002）中Ⅲ类水体标准（总氮按照《四川省岷江、沱江流域水污染物排放标准》（DB51/2311-2016）“工业园区集中式污水处理厂排放”标准控制），尾水经拟设排口排入郪江。根据大英县工业集中发展区对本项目出具的《关于四川鸿鹏新材料有限公司6万吨/年表面活性剂生产项目的情况说明》可知：</w:t>
            </w:r>
            <w:r>
              <w:rPr>
                <w:rFonts w:hint="default" w:ascii="Times New Roman" w:hAnsi="Times New Roman" w:cs="Times New Roman"/>
                <w:bCs/>
                <w:sz w:val="24"/>
                <w:szCs w:val="24"/>
              </w:rPr>
              <w:t>园区污水处理厂建设完成后，项目产生的污水可经污水管网进入污水处理厂进行处理。本项目拟于2019年12月完成建设，届时园区污水处理厂一期项目已投入运行，可接纳本项目产生的生产、生活污水。</w:t>
            </w:r>
          </w:p>
          <w:p>
            <w:pPr>
              <w:adjustRightInd w:val="0"/>
              <w:snapToGrid w:val="0"/>
              <w:spacing w:line="360" w:lineRule="auto"/>
              <w:ind w:left="420" w:leftChars="200"/>
              <w:rPr>
                <w:rFonts w:hint="default" w:ascii="Times New Roman" w:hAnsi="Times New Roman" w:cs="Times New Roman"/>
                <w:b/>
                <w:sz w:val="24"/>
              </w:rPr>
            </w:pPr>
            <w:r>
              <w:rPr>
                <w:rFonts w:hint="default" w:ascii="Times New Roman" w:hAnsi="Times New Roman" w:cs="Times New Roman"/>
                <w:b/>
                <w:sz w:val="24"/>
              </w:rPr>
              <w:t>4、废水环境监测计划</w:t>
            </w:r>
          </w:p>
          <w:p>
            <w:pPr>
              <w:pStyle w:val="2"/>
              <w:adjustRightInd w:val="0"/>
              <w:spacing w:before="0" w:after="0" w:line="360" w:lineRule="auto"/>
              <w:ind w:left="420" w:leftChars="200" w:right="0"/>
              <w:rPr>
                <w:rFonts w:hint="default" w:ascii="Times New Roman" w:hAnsi="Times New Roman" w:cs="Times New Roman"/>
                <w:sz w:val="24"/>
                <w:szCs w:val="24"/>
              </w:rPr>
            </w:pPr>
            <w:r>
              <w:rPr>
                <w:rFonts w:hint="default" w:ascii="Times New Roman" w:hAnsi="Times New Roman" w:cs="Times New Roman"/>
                <w:sz w:val="24"/>
                <w:szCs w:val="24"/>
              </w:rPr>
              <w:t>本项目废水环境监测计划如下表所示。</w:t>
            </w:r>
          </w:p>
          <w:p>
            <w:pPr>
              <w:pStyle w:val="2"/>
              <w:adjustRightInd w:val="0"/>
              <w:spacing w:before="0" w:after="0" w:line="240" w:lineRule="auto"/>
              <w:ind w:left="420" w:leftChars="20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表4-</w:t>
            </w:r>
            <w:r>
              <w:rPr>
                <w:rFonts w:hint="eastAsia" w:cs="Times New Roman"/>
                <w:b/>
                <w:bCs/>
                <w:sz w:val="21"/>
                <w:szCs w:val="21"/>
                <w:lang w:val="en-US" w:eastAsia="zh-CN"/>
              </w:rPr>
              <w:t>4</w:t>
            </w:r>
            <w:r>
              <w:rPr>
                <w:rFonts w:hint="default" w:ascii="Times New Roman" w:hAnsi="Times New Roman" w:cs="Times New Roman"/>
                <w:b/>
                <w:bCs/>
                <w:sz w:val="21"/>
                <w:szCs w:val="21"/>
              </w:rPr>
              <w:t xml:space="preserve"> 废水环境监测计划</w:t>
            </w:r>
          </w:p>
          <w:tbl>
            <w:tblPr>
              <w:tblStyle w:val="26"/>
              <w:tblW w:w="851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529"/>
              <w:gridCol w:w="3706"/>
              <w:gridCol w:w="1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5" w:type="dxa"/>
                  <w:tcBorders>
                    <w:tl2br w:val="nil"/>
                    <w:tr2bl w:val="nil"/>
                  </w:tcBorders>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类别</w:t>
                  </w:r>
                </w:p>
              </w:tc>
              <w:tc>
                <w:tcPr>
                  <w:tcW w:w="1529" w:type="dxa"/>
                  <w:tcBorders>
                    <w:tl2br w:val="nil"/>
                    <w:tr2bl w:val="nil"/>
                  </w:tcBorders>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监测位置</w:t>
                  </w:r>
                </w:p>
              </w:tc>
              <w:tc>
                <w:tcPr>
                  <w:tcW w:w="3706" w:type="dxa"/>
                  <w:tcBorders>
                    <w:tl2br w:val="nil"/>
                    <w:tr2bl w:val="nil"/>
                  </w:tcBorders>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监测项目</w:t>
                  </w:r>
                </w:p>
              </w:tc>
              <w:tc>
                <w:tcPr>
                  <w:tcW w:w="1832" w:type="dxa"/>
                  <w:tcBorders>
                    <w:tl2br w:val="nil"/>
                    <w:tr2bl w:val="nil"/>
                  </w:tcBorders>
                </w:tcPr>
                <w:p>
                  <w:pPr>
                    <w:widowControl/>
                    <w:textAlignment w:val="center"/>
                    <w:rPr>
                      <w:rFonts w:hint="default" w:ascii="Times New Roman" w:hAnsi="Times New Roman" w:cs="Times New Roman"/>
                      <w:kern w:val="0"/>
                      <w:szCs w:val="21"/>
                    </w:rPr>
                  </w:pPr>
                  <w:r>
                    <w:rPr>
                      <w:rFonts w:hint="default" w:ascii="Times New Roman" w:hAnsi="Times New Roman" w:cs="Times New Roman"/>
                      <w:kern w:val="0"/>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5" w:type="dxa"/>
                  <w:tcBorders>
                    <w:tl2br w:val="nil"/>
                    <w:tr2bl w:val="nil"/>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综合废水</w:t>
                  </w:r>
                </w:p>
              </w:tc>
              <w:tc>
                <w:tcPr>
                  <w:tcW w:w="1529" w:type="dxa"/>
                  <w:tcBorders>
                    <w:tl2br w:val="nil"/>
                    <w:tr2bl w:val="nil"/>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厂区总排口</w:t>
                  </w:r>
                </w:p>
              </w:tc>
              <w:tc>
                <w:tcPr>
                  <w:tcW w:w="3706" w:type="dxa"/>
                  <w:tcBorders>
                    <w:tl2br w:val="nil"/>
                    <w:tr2bl w:val="nil"/>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pH、COD、BOD</w:t>
                  </w:r>
                  <w:r>
                    <w:rPr>
                      <w:rFonts w:hint="default" w:ascii="Times New Roman" w:hAnsi="Times New Roman" w:cs="Times New Roman"/>
                      <w:kern w:val="0"/>
                      <w:szCs w:val="21"/>
                      <w:vertAlign w:val="subscript"/>
                    </w:rPr>
                    <w:t>5</w:t>
                  </w:r>
                  <w:r>
                    <w:rPr>
                      <w:rFonts w:hint="default" w:ascii="Times New Roman" w:hAnsi="Times New Roman" w:cs="Times New Roman"/>
                      <w:kern w:val="0"/>
                      <w:szCs w:val="21"/>
                    </w:rPr>
                    <w:t>、SS、NH</w:t>
                  </w:r>
                  <w:r>
                    <w:rPr>
                      <w:rFonts w:hint="default" w:ascii="Times New Roman" w:hAnsi="Times New Roman" w:cs="Times New Roman"/>
                      <w:kern w:val="0"/>
                      <w:szCs w:val="21"/>
                      <w:vertAlign w:val="subscript"/>
                    </w:rPr>
                    <w:t>3</w:t>
                  </w:r>
                  <w:r>
                    <w:rPr>
                      <w:rFonts w:hint="default" w:ascii="Times New Roman" w:hAnsi="Times New Roman" w:cs="Times New Roman"/>
                      <w:kern w:val="0"/>
                      <w:szCs w:val="21"/>
                    </w:rPr>
                    <w:t>-N、TP、LAS、石油类、溶解性总固体（全盐量）</w:t>
                  </w:r>
                </w:p>
              </w:tc>
              <w:tc>
                <w:tcPr>
                  <w:tcW w:w="1832" w:type="dxa"/>
                  <w:tcBorders>
                    <w:tl2br w:val="nil"/>
                    <w:tr2bl w:val="nil"/>
                  </w:tcBorders>
                  <w:vAlign w:val="center"/>
                </w:tcPr>
                <w:p>
                  <w:pPr>
                    <w:widowControl/>
                    <w:textAlignment w:val="center"/>
                    <w:rPr>
                      <w:rFonts w:hint="default" w:ascii="Times New Roman" w:hAnsi="Times New Roman" w:cs="Times New Roman"/>
                      <w:kern w:val="0"/>
                      <w:szCs w:val="21"/>
                    </w:rPr>
                  </w:pPr>
                  <w:r>
                    <w:rPr>
                      <w:rFonts w:hint="default" w:ascii="Times New Roman" w:hAnsi="Times New Roman" w:cs="Times New Roman"/>
                      <w:kern w:val="0"/>
                      <w:szCs w:val="21"/>
                    </w:rPr>
                    <w:t>1季度/年</w:t>
                  </w:r>
                </w:p>
              </w:tc>
            </w:tr>
          </w:tbl>
          <w:p>
            <w:pPr>
              <w:adjustRightInd w:val="0"/>
              <w:snapToGrid w:val="0"/>
              <w:spacing w:before="120" w:beforeLines="50" w:line="360" w:lineRule="auto"/>
              <w:ind w:firstLine="482" w:firstLineChars="200"/>
              <w:rPr>
                <w:rFonts w:hint="default" w:ascii="Times New Roman" w:hAnsi="Times New Roman" w:cs="Times New Roman"/>
                <w:b/>
                <w:sz w:val="24"/>
                <w:szCs w:val="28"/>
              </w:rPr>
            </w:pPr>
            <w:r>
              <w:rPr>
                <w:rFonts w:hint="default" w:ascii="Times New Roman" w:hAnsi="Times New Roman" w:cs="Times New Roman"/>
                <w:b/>
                <w:sz w:val="24"/>
                <w:szCs w:val="28"/>
              </w:rPr>
              <w:t>1.3</w:t>
            </w:r>
            <w:r>
              <w:rPr>
                <w:rFonts w:hint="default" w:ascii="Times New Roman" w:hAnsi="Times New Roman" w:cs="Times New Roman"/>
                <w:b/>
                <w:sz w:val="24"/>
              </w:rPr>
              <w:t>营运</w:t>
            </w:r>
            <w:r>
              <w:rPr>
                <w:rFonts w:hint="default" w:ascii="Times New Roman" w:hAnsi="Times New Roman" w:cs="Times New Roman"/>
                <w:b/>
                <w:sz w:val="24"/>
                <w:szCs w:val="28"/>
              </w:rPr>
              <w:t>期噪声影响分析</w:t>
            </w:r>
          </w:p>
          <w:p>
            <w:pPr>
              <w:pStyle w:val="2"/>
              <w:adjustRightInd w:val="0"/>
              <w:spacing w:before="0" w:after="0" w:line="360" w:lineRule="auto"/>
              <w:ind w:left="420" w:leftChars="200" w:right="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 xml:space="preserve">噪声源强 </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cs="Times New Roman"/>
                <w:kern w:val="2"/>
                <w:sz w:val="24"/>
              </w:rPr>
              <w:t>本项目噪声主要来源为锅炉、水泵、燃烧风机等设备运转产生的噪声。根据类比分析，项目噪声声源强度范围为78~90dB</w:t>
            </w:r>
            <w:r>
              <w:rPr>
                <w:rFonts w:hint="eastAsia" w:cs="Times New Roman"/>
                <w:kern w:val="2"/>
                <w:sz w:val="24"/>
                <w:lang w:eastAsia="zh-CN"/>
              </w:rPr>
              <w:t>（</w:t>
            </w:r>
            <w:r>
              <w:rPr>
                <w:rFonts w:hint="default" w:ascii="Times New Roman" w:hAnsi="Times New Roman" w:cs="Times New Roman"/>
                <w:kern w:val="2"/>
                <w:sz w:val="24"/>
              </w:rPr>
              <w:t>A</w:t>
            </w:r>
            <w:r>
              <w:rPr>
                <w:rFonts w:hint="eastAsia" w:cs="Times New Roman"/>
                <w:kern w:val="2"/>
                <w:sz w:val="24"/>
                <w:lang w:eastAsia="zh-CN"/>
              </w:rPr>
              <w:t>）</w:t>
            </w:r>
            <w:r>
              <w:rPr>
                <w:rFonts w:hint="default" w:ascii="Times New Roman" w:hAnsi="Times New Roman" w:eastAsia="宋体" w:cs="Times New Roman"/>
                <w:sz w:val="24"/>
                <w:szCs w:val="24"/>
              </w:rPr>
              <w:t>，项目噪声设备分布及源强统计见下表4-</w:t>
            </w:r>
            <w:r>
              <w:rPr>
                <w:rFonts w:hint="eastAsia" w:cs="Times New Roman"/>
                <w:sz w:val="24"/>
                <w:szCs w:val="24"/>
                <w:lang w:val="en-US" w:eastAsia="zh-CN"/>
              </w:rPr>
              <w:t>5</w:t>
            </w:r>
          </w:p>
          <w:p>
            <w:pPr>
              <w:keepNext w:val="0"/>
              <w:keepLines w:val="0"/>
              <w:pageBreakBefore w:val="0"/>
              <w:kinsoku/>
              <w:wordWrap/>
              <w:overflowPunct/>
              <w:topLinePunct w:val="0"/>
              <w:autoSpaceDE/>
              <w:autoSpaceDN/>
              <w:bidi w:val="0"/>
              <w:adjustRightInd/>
              <w:ind w:left="0" w:right="0" w:firstLine="0"/>
              <w:jc w:val="center"/>
              <w:rPr>
                <w:rFonts w:hint="default" w:ascii="Times New Roman" w:hAnsi="Times New Roman" w:eastAsia="宋体" w:cs="Times New Roman"/>
                <w:b/>
                <w:bCs w:val="0"/>
                <w:sz w:val="21"/>
                <w:szCs w:val="21"/>
                <w:highlight w:val="none"/>
                <w:u w:val="none"/>
              </w:rPr>
            </w:pPr>
          </w:p>
          <w:p>
            <w:pPr>
              <w:keepNext w:val="0"/>
              <w:keepLines w:val="0"/>
              <w:pageBreakBefore w:val="0"/>
              <w:kinsoku/>
              <w:wordWrap/>
              <w:overflowPunct/>
              <w:topLinePunct w:val="0"/>
              <w:autoSpaceDE/>
              <w:autoSpaceDN/>
              <w:bidi w:val="0"/>
              <w:adjustRightInd/>
              <w:ind w:left="0" w:right="0" w:firstLine="0"/>
              <w:jc w:val="center"/>
              <w:rPr>
                <w:rFonts w:hint="default" w:ascii="Times New Roman" w:hAnsi="Times New Roman" w:eastAsia="宋体" w:cs="Times New Roman"/>
                <w:b/>
                <w:bCs w:val="0"/>
                <w:sz w:val="21"/>
                <w:szCs w:val="21"/>
                <w:highlight w:val="none"/>
                <w:u w:val="none"/>
              </w:rPr>
            </w:pPr>
          </w:p>
          <w:p>
            <w:pPr>
              <w:keepNext w:val="0"/>
              <w:keepLines w:val="0"/>
              <w:pageBreakBefore w:val="0"/>
              <w:kinsoku/>
              <w:wordWrap/>
              <w:overflowPunct/>
              <w:topLinePunct w:val="0"/>
              <w:autoSpaceDE/>
              <w:autoSpaceDN/>
              <w:bidi w:val="0"/>
              <w:adjustRightInd/>
              <w:ind w:left="0" w:right="0" w:firstLine="0"/>
              <w:jc w:val="center"/>
              <w:rPr>
                <w:rFonts w:hint="default" w:ascii="Times New Roman" w:hAnsi="Times New Roman" w:eastAsia="宋体" w:cs="Times New Roman"/>
                <w:b/>
                <w:bCs w:val="0"/>
                <w:sz w:val="21"/>
                <w:szCs w:val="21"/>
                <w:highlight w:val="none"/>
                <w:u w:val="none"/>
              </w:rPr>
            </w:pPr>
          </w:p>
          <w:p>
            <w:pPr>
              <w:keepNext w:val="0"/>
              <w:keepLines w:val="0"/>
              <w:pageBreakBefore w:val="0"/>
              <w:kinsoku/>
              <w:wordWrap/>
              <w:overflowPunct/>
              <w:topLinePunct w:val="0"/>
              <w:autoSpaceDE/>
              <w:autoSpaceDN/>
              <w:bidi w:val="0"/>
              <w:adjustRightInd/>
              <w:ind w:left="0" w:right="0" w:firstLine="0"/>
              <w:jc w:val="center"/>
              <w:rPr>
                <w:rFonts w:hint="default" w:ascii="Times New Roman" w:hAnsi="Times New Roman" w:eastAsia="宋体" w:cs="Times New Roman"/>
                <w:b/>
                <w:bCs w:val="0"/>
                <w:sz w:val="21"/>
                <w:szCs w:val="21"/>
                <w:highlight w:val="none"/>
                <w:u w:val="none"/>
              </w:rPr>
            </w:pPr>
            <w:r>
              <w:rPr>
                <w:rFonts w:hint="default" w:ascii="Times New Roman" w:hAnsi="Times New Roman" w:eastAsia="宋体" w:cs="Times New Roman"/>
                <w:b/>
                <w:bCs w:val="0"/>
                <w:sz w:val="21"/>
                <w:szCs w:val="21"/>
                <w:highlight w:val="none"/>
                <w:u w:val="none"/>
              </w:rPr>
              <w:t>表4-</w:t>
            </w:r>
            <w:r>
              <w:rPr>
                <w:rFonts w:hint="eastAsia" w:cs="Times New Roman"/>
                <w:b/>
                <w:bCs w:val="0"/>
                <w:sz w:val="21"/>
                <w:szCs w:val="21"/>
                <w:highlight w:val="none"/>
                <w:u w:val="none"/>
                <w:lang w:val="en-US" w:eastAsia="zh-CN"/>
              </w:rPr>
              <w:t>5</w:t>
            </w:r>
            <w:r>
              <w:rPr>
                <w:rFonts w:hint="default" w:ascii="Times New Roman" w:hAnsi="Times New Roman" w:eastAsia="宋体" w:cs="Times New Roman"/>
                <w:b/>
                <w:bCs w:val="0"/>
                <w:sz w:val="21"/>
                <w:szCs w:val="21"/>
                <w:highlight w:val="none"/>
                <w:u w:val="none"/>
              </w:rPr>
              <w:t>工业企业噪声源强调查清单（室内声源）</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
              <w:gridCol w:w="625"/>
              <w:gridCol w:w="878"/>
              <w:gridCol w:w="421"/>
              <w:gridCol w:w="771"/>
              <w:gridCol w:w="958"/>
              <w:gridCol w:w="414"/>
              <w:gridCol w:w="414"/>
              <w:gridCol w:w="336"/>
              <w:gridCol w:w="840"/>
              <w:gridCol w:w="843"/>
              <w:gridCol w:w="577"/>
              <w:gridCol w:w="4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Merge w:val="restar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序号</w:t>
                  </w:r>
                </w:p>
              </w:tc>
              <w:tc>
                <w:tcPr>
                  <w:tcW w:w="392" w:type="pct"/>
                  <w:vMerge w:val="restar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建筑物名称</w:t>
                  </w:r>
                </w:p>
              </w:tc>
              <w:tc>
                <w:tcPr>
                  <w:tcW w:w="551" w:type="pct"/>
                  <w:vMerge w:val="restar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声源名称</w:t>
                  </w:r>
                </w:p>
              </w:tc>
              <w:tc>
                <w:tcPr>
                  <w:tcW w:w="264" w:type="pct"/>
                  <w:vMerge w:val="restar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型号</w:t>
                  </w:r>
                </w:p>
              </w:tc>
              <w:tc>
                <w:tcPr>
                  <w:tcW w:w="484" w:type="pct"/>
                  <w:vMerge w:val="restar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声功率级</w:t>
                  </w:r>
                </w:p>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dB（A）</w:t>
                  </w:r>
                </w:p>
              </w:tc>
              <w:tc>
                <w:tcPr>
                  <w:tcW w:w="601" w:type="pct"/>
                  <w:vMerge w:val="restar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声源控制措施</w:t>
                  </w:r>
                </w:p>
              </w:tc>
              <w:tc>
                <w:tcPr>
                  <w:tcW w:w="731" w:type="pct"/>
                  <w:gridSpan w:val="3"/>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空间相对位置</w:t>
                  </w:r>
                </w:p>
              </w:tc>
              <w:tc>
                <w:tcPr>
                  <w:tcW w:w="527" w:type="pct"/>
                  <w:vMerge w:val="restar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室内边界声级/dB（A）</w:t>
                  </w:r>
                </w:p>
              </w:tc>
              <w:tc>
                <w:tcPr>
                  <w:tcW w:w="529" w:type="pct"/>
                  <w:vMerge w:val="restar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建筑插入损失/ dB（A）</w:t>
                  </w:r>
                </w:p>
              </w:tc>
              <w:tc>
                <w:tcPr>
                  <w:tcW w:w="655" w:type="pct"/>
                  <w:gridSpan w:val="2"/>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262"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392"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551"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264"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484"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601"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260"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X</w:t>
                  </w:r>
                </w:p>
              </w:tc>
              <w:tc>
                <w:tcPr>
                  <w:tcW w:w="260"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Y</w:t>
                  </w:r>
                </w:p>
              </w:tc>
              <w:tc>
                <w:tcPr>
                  <w:tcW w:w="211"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Z</w:t>
                  </w:r>
                </w:p>
              </w:tc>
              <w:tc>
                <w:tcPr>
                  <w:tcW w:w="527"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529"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362"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声压级</w:t>
                  </w:r>
                </w:p>
              </w:tc>
              <w:tc>
                <w:tcPr>
                  <w:tcW w:w="293"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tcBorders>
                    <w:tl2br w:val="nil"/>
                    <w:tr2bl w:val="nil"/>
                  </w:tcBorders>
                  <w:noWrap w:val="0"/>
                  <w:vAlign w:val="center"/>
                </w:tcPr>
                <w:p>
                  <w:pPr>
                    <w:pStyle w:val="2"/>
                    <w:keepNext w:val="0"/>
                    <w:keepLines w:val="0"/>
                    <w:pageBreakBefore w:val="0"/>
                    <w:numPr>
                      <w:ilvl w:val="0"/>
                      <w:numId w:val="5"/>
                    </w:numPr>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392" w:type="pct"/>
                  <w:vMerge w:val="restar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锅炉房</w:t>
                  </w:r>
                </w:p>
              </w:tc>
              <w:tc>
                <w:tcPr>
                  <w:tcW w:w="551" w:type="pct"/>
                  <w:tcBorders>
                    <w:tl2br w:val="nil"/>
                    <w:tr2bl w:val="nil"/>
                  </w:tcBorders>
                  <w:noWrap w:val="0"/>
                  <w:vAlign w:val="center"/>
                </w:tcPr>
                <w:p>
                  <w:pPr>
                    <w:widowControl/>
                    <w:jc w:val="center"/>
                    <w:textAlignment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Cs w:val="21"/>
                    </w:rPr>
                    <w:t>锅炉</w:t>
                  </w:r>
                </w:p>
              </w:tc>
              <w:tc>
                <w:tcPr>
                  <w:tcW w:w="264"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w:t>
                  </w:r>
                </w:p>
              </w:tc>
              <w:tc>
                <w:tcPr>
                  <w:tcW w:w="484"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75</w:t>
                  </w:r>
                </w:p>
              </w:tc>
              <w:tc>
                <w:tcPr>
                  <w:tcW w:w="601" w:type="pct"/>
                  <w:vMerge w:val="restar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lang w:eastAsia="zh-CN"/>
                    </w:rPr>
                  </w:pPr>
                  <w:r>
                    <w:rPr>
                      <w:rFonts w:hint="default" w:ascii="Times New Roman" w:hAnsi="Times New Roman" w:eastAsia="宋体" w:cs="Times New Roman"/>
                      <w:sz w:val="21"/>
                      <w:szCs w:val="21"/>
                      <w:highlight w:val="none"/>
                      <w:u w:val="none"/>
                    </w:rPr>
                    <w:t>厂房隔声、、合理布置、距离衰减</w:t>
                  </w:r>
                  <w:r>
                    <w:rPr>
                      <w:rFonts w:hint="default" w:ascii="Times New Roman" w:hAnsi="Times New Roman" w:eastAsia="宋体" w:cs="Times New Roman"/>
                      <w:sz w:val="21"/>
                      <w:szCs w:val="21"/>
                      <w:highlight w:val="none"/>
                      <w:u w:val="none"/>
                      <w:lang w:eastAsia="zh-CN"/>
                    </w:rPr>
                    <w:t>、</w:t>
                  </w:r>
                  <w:r>
                    <w:rPr>
                      <w:rFonts w:hint="default" w:ascii="Times New Roman" w:hAnsi="Times New Roman" w:eastAsia="宋体" w:cs="Times New Roman"/>
                      <w:sz w:val="21"/>
                      <w:szCs w:val="21"/>
                      <w:highlight w:val="none"/>
                      <w:u w:val="none"/>
                      <w:lang w:val="en-US" w:eastAsia="zh-CN"/>
                    </w:rPr>
                    <w:t>风机</w:t>
                  </w:r>
                  <w:r>
                    <w:rPr>
                      <w:rFonts w:hint="default" w:ascii="Times New Roman" w:hAnsi="Times New Roman" w:eastAsia="宋体" w:cs="Times New Roman"/>
                      <w:sz w:val="21"/>
                      <w:szCs w:val="21"/>
                      <w:highlight w:val="none"/>
                      <w:u w:val="none"/>
                      <w:lang w:eastAsia="zh-CN"/>
                    </w:rPr>
                    <w:t>进风口设消声器，通过距离衰减距离衰减隔声降噪</w:t>
                  </w:r>
                </w:p>
              </w:tc>
              <w:tc>
                <w:tcPr>
                  <w:tcW w:w="260"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rightChars="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63</w:t>
                  </w:r>
                </w:p>
              </w:tc>
              <w:tc>
                <w:tcPr>
                  <w:tcW w:w="260"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rightChars="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35</w:t>
                  </w:r>
                </w:p>
              </w:tc>
              <w:tc>
                <w:tcPr>
                  <w:tcW w:w="211"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left="0" w:right="0" w:rightChars="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1</w:t>
                  </w:r>
                </w:p>
              </w:tc>
              <w:tc>
                <w:tcPr>
                  <w:tcW w:w="527"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63.0</w:t>
                  </w:r>
                </w:p>
              </w:tc>
              <w:tc>
                <w:tcPr>
                  <w:tcW w:w="529"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6</w:t>
                  </w:r>
                </w:p>
              </w:tc>
              <w:tc>
                <w:tcPr>
                  <w:tcW w:w="3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57</w:t>
                  </w:r>
                </w:p>
              </w:tc>
              <w:tc>
                <w:tcPr>
                  <w:tcW w:w="293"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left="0" w:right="0" w:firstLine="0" w:firstLineChars="0"/>
                    <w:jc w:val="center"/>
                    <w:rPr>
                      <w:rFonts w:hint="default" w:ascii="Times New Roman" w:hAnsi="Times New Roman" w:eastAsia="宋体" w:cs="Times New Roman"/>
                      <w:sz w:val="21"/>
                      <w:szCs w:val="21"/>
                      <w:highlight w:val="none"/>
                      <w:u w:val="none"/>
                      <w:lang w:eastAsia="zh-CN"/>
                    </w:rPr>
                  </w:pPr>
                  <w:r>
                    <w:rPr>
                      <w:rFonts w:hint="default" w:ascii="Times New Roman" w:hAnsi="Times New Roman" w:eastAsia="宋体" w:cs="Times New Roman"/>
                      <w:sz w:val="21"/>
                      <w:szCs w:val="21"/>
                      <w:highlight w:val="none"/>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tcBorders>
                    <w:tl2br w:val="nil"/>
                    <w:tr2bl w:val="nil"/>
                  </w:tcBorders>
                  <w:noWrap w:val="0"/>
                  <w:vAlign w:val="center"/>
                </w:tcPr>
                <w:p>
                  <w:pPr>
                    <w:pStyle w:val="2"/>
                    <w:keepNext w:val="0"/>
                    <w:keepLines w:val="0"/>
                    <w:pageBreakBefore w:val="0"/>
                    <w:numPr>
                      <w:ilvl w:val="0"/>
                      <w:numId w:val="5"/>
                    </w:numPr>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392"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551" w:type="pct"/>
                  <w:tcBorders>
                    <w:tl2br w:val="nil"/>
                    <w:tr2bl w:val="nil"/>
                  </w:tcBorders>
                  <w:noWrap w:val="0"/>
                  <w:vAlign w:val="center"/>
                </w:tcPr>
                <w:p>
                  <w:pPr>
                    <w:widowControl/>
                    <w:jc w:val="center"/>
                    <w:textAlignment w:val="center"/>
                    <w:rPr>
                      <w:rFonts w:hint="default" w:ascii="Times New Roman" w:hAnsi="Times New Roman" w:eastAsia="宋体" w:cs="Times New Roman"/>
                      <w:sz w:val="21"/>
                      <w:szCs w:val="21"/>
                      <w:highlight w:val="none"/>
                      <w:u w:val="none"/>
                    </w:rPr>
                  </w:pPr>
                  <w:r>
                    <w:rPr>
                      <w:rFonts w:hint="default" w:ascii="Times New Roman" w:hAnsi="Times New Roman" w:cs="Times New Roman"/>
                      <w:kern w:val="0"/>
                      <w:szCs w:val="21"/>
                    </w:rPr>
                    <w:t>水泵</w:t>
                  </w:r>
                </w:p>
              </w:tc>
              <w:tc>
                <w:tcPr>
                  <w:tcW w:w="264"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w:t>
                  </w:r>
                </w:p>
              </w:tc>
              <w:tc>
                <w:tcPr>
                  <w:tcW w:w="484"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lang w:val="en-US" w:eastAsia="zh-CN"/>
                    </w:rPr>
                    <w:t>75</w:t>
                  </w:r>
                </w:p>
              </w:tc>
              <w:tc>
                <w:tcPr>
                  <w:tcW w:w="601"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260"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rightChars="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65</w:t>
                  </w:r>
                </w:p>
              </w:tc>
              <w:tc>
                <w:tcPr>
                  <w:tcW w:w="260"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rightChars="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28</w:t>
                  </w:r>
                </w:p>
              </w:tc>
              <w:tc>
                <w:tcPr>
                  <w:tcW w:w="211"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left="0" w:right="0" w:rightChars="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1</w:t>
                  </w:r>
                </w:p>
              </w:tc>
              <w:tc>
                <w:tcPr>
                  <w:tcW w:w="527"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63.0</w:t>
                  </w:r>
                </w:p>
              </w:tc>
              <w:tc>
                <w:tcPr>
                  <w:tcW w:w="529"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6</w:t>
                  </w:r>
                </w:p>
              </w:tc>
              <w:tc>
                <w:tcPr>
                  <w:tcW w:w="3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57</w:t>
                  </w:r>
                </w:p>
              </w:tc>
              <w:tc>
                <w:tcPr>
                  <w:tcW w:w="293"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tcBorders>
                    <w:tl2br w:val="nil"/>
                    <w:tr2bl w:val="nil"/>
                  </w:tcBorders>
                  <w:noWrap w:val="0"/>
                  <w:vAlign w:val="center"/>
                </w:tcPr>
                <w:p>
                  <w:pPr>
                    <w:pStyle w:val="2"/>
                    <w:keepNext w:val="0"/>
                    <w:keepLines w:val="0"/>
                    <w:pageBreakBefore w:val="0"/>
                    <w:numPr>
                      <w:ilvl w:val="0"/>
                      <w:numId w:val="5"/>
                    </w:numPr>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392"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551" w:type="pct"/>
                  <w:tcBorders>
                    <w:tl2br w:val="nil"/>
                    <w:tr2bl w:val="nil"/>
                  </w:tcBorders>
                  <w:noWrap w:val="0"/>
                  <w:vAlign w:val="center"/>
                </w:tcPr>
                <w:p>
                  <w:pPr>
                    <w:widowControl/>
                    <w:jc w:val="center"/>
                    <w:textAlignment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汽化炉</w:t>
                  </w:r>
                </w:p>
              </w:tc>
              <w:tc>
                <w:tcPr>
                  <w:tcW w:w="264"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484"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left="0" w:righ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75</w:t>
                  </w:r>
                </w:p>
              </w:tc>
              <w:tc>
                <w:tcPr>
                  <w:tcW w:w="601"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260"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rPr>
                      <w:rFonts w:hint="default" w:ascii="Times New Roman" w:hAnsi="Times New Roman" w:eastAsia="宋体" w:cs="Times New Roman"/>
                      <w:kern w:val="0"/>
                      <w:sz w:val="21"/>
                      <w:szCs w:val="21"/>
                      <w:highlight w:val="none"/>
                      <w:u w:val="none"/>
                      <w:lang w:val="en-US" w:eastAsia="zh-CN" w:bidi="ar-SA"/>
                    </w:rPr>
                  </w:pPr>
                  <w:r>
                    <w:rPr>
                      <w:rFonts w:hint="default" w:ascii="Times New Roman" w:hAnsi="Times New Roman" w:cs="Times New Roman"/>
                      <w:kern w:val="0"/>
                      <w:sz w:val="21"/>
                      <w:szCs w:val="21"/>
                      <w:highlight w:val="none"/>
                      <w:u w:val="none"/>
                      <w:lang w:val="en-US" w:eastAsia="zh-CN" w:bidi="ar-SA"/>
                    </w:rPr>
                    <w:t>30</w:t>
                  </w:r>
                </w:p>
              </w:tc>
              <w:tc>
                <w:tcPr>
                  <w:tcW w:w="260"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rPr>
                      <w:rFonts w:hint="default" w:ascii="Times New Roman" w:hAnsi="Times New Roman" w:eastAsia="宋体" w:cs="Times New Roman"/>
                      <w:kern w:val="0"/>
                      <w:sz w:val="21"/>
                      <w:szCs w:val="21"/>
                      <w:highlight w:val="none"/>
                      <w:u w:val="none"/>
                      <w:lang w:val="en-US" w:eastAsia="zh-CN" w:bidi="ar-SA"/>
                    </w:rPr>
                  </w:pPr>
                  <w:r>
                    <w:rPr>
                      <w:rFonts w:hint="default" w:ascii="Times New Roman" w:hAnsi="Times New Roman" w:cs="Times New Roman"/>
                      <w:kern w:val="0"/>
                      <w:sz w:val="21"/>
                      <w:szCs w:val="21"/>
                      <w:highlight w:val="none"/>
                      <w:u w:val="none"/>
                      <w:lang w:val="en-US" w:eastAsia="zh-CN" w:bidi="ar-SA"/>
                    </w:rPr>
                    <w:t>33</w:t>
                  </w:r>
                </w:p>
              </w:tc>
              <w:tc>
                <w:tcPr>
                  <w:tcW w:w="211"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left="0" w:right="0" w:rightChars="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1</w:t>
                  </w:r>
                </w:p>
              </w:tc>
              <w:tc>
                <w:tcPr>
                  <w:tcW w:w="527"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63.0</w:t>
                  </w:r>
                </w:p>
              </w:tc>
              <w:tc>
                <w:tcPr>
                  <w:tcW w:w="529"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6</w:t>
                  </w:r>
                </w:p>
              </w:tc>
              <w:tc>
                <w:tcPr>
                  <w:tcW w:w="3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57</w:t>
                  </w:r>
                </w:p>
              </w:tc>
              <w:tc>
                <w:tcPr>
                  <w:tcW w:w="293"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left="0" w:righ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tcBorders>
                    <w:tl2br w:val="nil"/>
                    <w:tr2bl w:val="nil"/>
                  </w:tcBorders>
                  <w:noWrap w:val="0"/>
                  <w:vAlign w:val="center"/>
                </w:tcPr>
                <w:p>
                  <w:pPr>
                    <w:pStyle w:val="2"/>
                    <w:keepNext w:val="0"/>
                    <w:keepLines w:val="0"/>
                    <w:pageBreakBefore w:val="0"/>
                    <w:numPr>
                      <w:ilvl w:val="0"/>
                      <w:numId w:val="5"/>
                    </w:numPr>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392"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551" w:type="pct"/>
                  <w:tcBorders>
                    <w:tl2br w:val="nil"/>
                    <w:tr2bl w:val="nil"/>
                  </w:tcBorders>
                  <w:noWrap w:val="0"/>
                  <w:vAlign w:val="center"/>
                </w:tcPr>
                <w:p>
                  <w:pPr>
                    <w:widowControl/>
                    <w:jc w:val="center"/>
                    <w:textAlignment w:val="center"/>
                    <w:rPr>
                      <w:rFonts w:hint="default" w:ascii="Times New Roman" w:hAnsi="Times New Roman" w:eastAsia="宋体" w:cs="Times New Roman"/>
                      <w:sz w:val="21"/>
                      <w:szCs w:val="21"/>
                      <w:highlight w:val="none"/>
                      <w:u w:val="none"/>
                      <w:lang w:eastAsia="zh-CN"/>
                    </w:rPr>
                  </w:pPr>
                  <w:r>
                    <w:rPr>
                      <w:rFonts w:hint="default" w:ascii="Times New Roman" w:hAnsi="Times New Roman" w:cs="Times New Roman"/>
                      <w:kern w:val="0"/>
                      <w:szCs w:val="21"/>
                    </w:rPr>
                    <w:t>燃烧风机</w:t>
                  </w:r>
                </w:p>
              </w:tc>
              <w:tc>
                <w:tcPr>
                  <w:tcW w:w="264"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w:t>
                  </w:r>
                </w:p>
              </w:tc>
              <w:tc>
                <w:tcPr>
                  <w:tcW w:w="484"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left="0" w:right="0" w:firstLine="0" w:firstLineChars="0"/>
                    <w:jc w:val="center"/>
                    <w:rPr>
                      <w:rFonts w:hint="default" w:ascii="Times New Roman" w:hAnsi="Times New Roman" w:eastAsia="宋体" w:cs="Times New Roman"/>
                      <w:sz w:val="21"/>
                      <w:szCs w:val="21"/>
                      <w:highlight w:val="none"/>
                      <w:u w:val="none"/>
                      <w:lang w:val="en-US"/>
                    </w:rPr>
                  </w:pPr>
                  <w:r>
                    <w:rPr>
                      <w:rFonts w:hint="default" w:ascii="Times New Roman" w:hAnsi="Times New Roman" w:eastAsia="宋体" w:cs="Times New Roman"/>
                      <w:sz w:val="21"/>
                      <w:szCs w:val="21"/>
                      <w:highlight w:val="none"/>
                      <w:u w:val="none"/>
                      <w:lang w:val="en-US" w:eastAsia="zh-CN"/>
                    </w:rPr>
                    <w:t>80</w:t>
                  </w:r>
                </w:p>
              </w:tc>
              <w:tc>
                <w:tcPr>
                  <w:tcW w:w="601" w:type="pct"/>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p>
              </w:tc>
              <w:tc>
                <w:tcPr>
                  <w:tcW w:w="260"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rightChars="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42</w:t>
                  </w:r>
                </w:p>
              </w:tc>
              <w:tc>
                <w:tcPr>
                  <w:tcW w:w="260"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rightChars="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3</w:t>
                  </w:r>
                  <w:r>
                    <w:rPr>
                      <w:rFonts w:hint="default" w:ascii="Times New Roman" w:hAnsi="Times New Roman" w:eastAsia="宋体" w:cs="Times New Roman"/>
                      <w:sz w:val="21"/>
                      <w:szCs w:val="21"/>
                      <w:highlight w:val="none"/>
                      <w:u w:val="none"/>
                      <w:lang w:val="en-US" w:eastAsia="zh-CN"/>
                    </w:rPr>
                    <w:t>0</w:t>
                  </w:r>
                </w:p>
              </w:tc>
              <w:tc>
                <w:tcPr>
                  <w:tcW w:w="211"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lang w:val="en-US" w:eastAsia="zh-CN"/>
                    </w:rPr>
                    <w:t>1</w:t>
                  </w:r>
                </w:p>
              </w:tc>
              <w:tc>
                <w:tcPr>
                  <w:tcW w:w="527"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rightChars="0" w:firstLine="0" w:firstLineChars="0"/>
                    <w:jc w:val="center"/>
                    <w:rPr>
                      <w:rFonts w:hint="default" w:ascii="Times New Roman" w:hAnsi="Times New Roman" w:eastAsia="宋体" w:cs="Times New Roman"/>
                      <w:sz w:val="21"/>
                      <w:szCs w:val="21"/>
                      <w:highlight w:val="none"/>
                      <w:u w:val="none"/>
                      <w:lang w:val="en-US"/>
                    </w:rPr>
                  </w:pPr>
                  <w:r>
                    <w:rPr>
                      <w:rFonts w:hint="default" w:ascii="Times New Roman" w:hAnsi="Times New Roman" w:eastAsia="宋体" w:cs="Times New Roman"/>
                      <w:sz w:val="21"/>
                      <w:szCs w:val="21"/>
                      <w:highlight w:val="none"/>
                      <w:u w:val="none"/>
                      <w:lang w:val="en-US" w:eastAsia="zh-CN"/>
                    </w:rPr>
                    <w:t>61.9</w:t>
                  </w:r>
                </w:p>
              </w:tc>
              <w:tc>
                <w:tcPr>
                  <w:tcW w:w="529"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pacing w:before="0" w:after="0"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6</w:t>
                  </w:r>
                </w:p>
              </w:tc>
              <w:tc>
                <w:tcPr>
                  <w:tcW w:w="3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55.9</w:t>
                  </w:r>
                </w:p>
              </w:tc>
              <w:tc>
                <w:tcPr>
                  <w:tcW w:w="293" w:type="pc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left="0" w:righ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lang w:val="en-US" w:eastAsia="zh-CN"/>
                    </w:rPr>
                    <w:t>1</w:t>
                  </w:r>
                </w:p>
              </w:tc>
            </w:tr>
          </w:tbl>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项目拟采取以下措施进行噪声治理：</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1）规划防治对策</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合理进行总平布置，所有产噪设备均布置在厂房内，利用建筑物进行隔声。项目在进行工艺布局时，尽量将高噪声设备集中摆放，布设位置远离厂界，以有效利用距离衰减。</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2）技术防治措施</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锅炉设置专门的锅炉房隔声，同时在厂区四周种植绿植吸声，加强布局，风机进风口设消声器，通过距离衰减距离衰减隔声降噪</w:t>
            </w:r>
            <w:r>
              <w:rPr>
                <w:rFonts w:hint="default" w:ascii="Times New Roman" w:hAnsi="Times New Roman" w:eastAsia="宋体" w:cs="Times New Roman"/>
                <w:sz w:val="24"/>
                <w:szCs w:val="24"/>
                <w:highlight w:val="none"/>
                <w:u w:val="none"/>
                <w:lang w:eastAsia="zh-CN"/>
              </w:rPr>
              <w:t>，</w:t>
            </w:r>
            <w:r>
              <w:rPr>
                <w:rFonts w:hint="default" w:ascii="Times New Roman" w:hAnsi="Times New Roman" w:eastAsia="宋体" w:cs="Times New Roman"/>
                <w:sz w:val="24"/>
                <w:szCs w:val="24"/>
                <w:highlight w:val="none"/>
                <w:u w:val="none"/>
              </w:rPr>
              <w:t>设备定期进行维护和调试。</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从噪声传播途径上采取的降噪措施隔声削减，充分利用厂房进行隔声，本项目车间为采用</w:t>
            </w:r>
            <w:r>
              <w:rPr>
                <w:rFonts w:hint="default" w:ascii="Times New Roman" w:hAnsi="Times New Roman" w:eastAsia="宋体" w:cs="Times New Roman"/>
                <w:sz w:val="24"/>
                <w:szCs w:val="24"/>
                <w:highlight w:val="none"/>
                <w:u w:val="none"/>
                <w:lang w:val="en-US" w:eastAsia="zh-CN"/>
              </w:rPr>
              <w:t>砖混</w:t>
            </w:r>
            <w:r>
              <w:rPr>
                <w:rFonts w:hint="default" w:ascii="Times New Roman" w:hAnsi="Times New Roman" w:eastAsia="宋体" w:cs="Times New Roman"/>
                <w:sz w:val="24"/>
                <w:szCs w:val="24"/>
                <w:highlight w:val="none"/>
                <w:u w:val="none"/>
              </w:rPr>
              <w:t>结构，隔声量大于</w:t>
            </w:r>
            <w:r>
              <w:rPr>
                <w:rFonts w:hint="default" w:ascii="Times New Roman" w:hAnsi="Times New Roman" w:eastAsia="宋体" w:cs="Times New Roman"/>
                <w:sz w:val="24"/>
                <w:szCs w:val="24"/>
                <w:highlight w:val="none"/>
                <w:u w:val="none"/>
                <w:lang w:val="en-US" w:eastAsia="zh-CN"/>
              </w:rPr>
              <w:t>6</w:t>
            </w:r>
            <w:r>
              <w:rPr>
                <w:rFonts w:hint="default" w:ascii="Times New Roman" w:hAnsi="Times New Roman" w:eastAsia="宋体" w:cs="Times New Roman"/>
                <w:sz w:val="24"/>
                <w:szCs w:val="24"/>
                <w:highlight w:val="none"/>
                <w:u w:val="none"/>
              </w:rPr>
              <w:t>dB（A）。</w:t>
            </w:r>
          </w:p>
          <w:p>
            <w:pPr>
              <w:spacing w:line="360" w:lineRule="auto"/>
              <w:ind w:firstLine="482"/>
              <w:rPr>
                <w:rFonts w:hint="default" w:ascii="Times New Roman" w:hAnsi="Times New Roman" w:eastAsia="宋体" w:cs="Times New Roman"/>
                <w:b/>
                <w:bCs/>
                <w:sz w:val="24"/>
                <w:szCs w:val="24"/>
                <w:highlight w:val="none"/>
                <w:u w:val="none"/>
              </w:rPr>
            </w:pPr>
            <w:r>
              <w:rPr>
                <w:rFonts w:hint="default" w:ascii="Times New Roman" w:hAnsi="Times New Roman" w:eastAsia="宋体" w:cs="Times New Roman"/>
                <w:b/>
                <w:bCs/>
                <w:sz w:val="24"/>
                <w:szCs w:val="24"/>
                <w:highlight w:val="none"/>
                <w:u w:val="none"/>
                <w:lang w:eastAsia="zh-CN"/>
              </w:rPr>
              <w:t>（</w:t>
            </w:r>
            <w:r>
              <w:rPr>
                <w:rFonts w:hint="default" w:ascii="Times New Roman" w:hAnsi="Times New Roman" w:eastAsia="宋体" w:cs="Times New Roman"/>
                <w:b/>
                <w:bCs/>
                <w:sz w:val="24"/>
                <w:szCs w:val="24"/>
                <w:highlight w:val="none"/>
                <w:u w:val="none"/>
                <w:lang w:val="en-US" w:eastAsia="zh-CN"/>
              </w:rPr>
              <w:t>2</w:t>
            </w:r>
            <w:r>
              <w:rPr>
                <w:rFonts w:hint="default" w:ascii="Times New Roman" w:hAnsi="Times New Roman" w:eastAsia="宋体" w:cs="Times New Roman"/>
                <w:b/>
                <w:bCs/>
                <w:sz w:val="24"/>
                <w:szCs w:val="24"/>
                <w:highlight w:val="none"/>
                <w:u w:val="none"/>
                <w:lang w:eastAsia="zh-CN"/>
              </w:rPr>
              <w:t>）</w:t>
            </w:r>
            <w:r>
              <w:rPr>
                <w:rFonts w:hint="default" w:ascii="Times New Roman" w:hAnsi="Times New Roman" w:eastAsia="宋体" w:cs="Times New Roman"/>
                <w:b/>
                <w:bCs/>
                <w:sz w:val="24"/>
                <w:szCs w:val="24"/>
                <w:highlight w:val="none"/>
                <w:u w:val="none"/>
              </w:rPr>
              <w:t>噪声预测和评价</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本评价采用噪声距离衰减、叠加模式计算场界的噪声值。多个噪声源对评价点噪声的贡献值。本项目噪声值均以厂界（指</w:t>
            </w:r>
            <w:r>
              <w:rPr>
                <w:rFonts w:hint="eastAsia" w:cs="Times New Roman"/>
                <w:sz w:val="24"/>
                <w:szCs w:val="24"/>
                <w:highlight w:val="none"/>
                <w:u w:val="none"/>
                <w:lang w:val="en-US" w:eastAsia="zh-CN"/>
              </w:rPr>
              <w:t>本项目锅炉房用地红线</w:t>
            </w:r>
            <w:r>
              <w:rPr>
                <w:rFonts w:hint="default" w:ascii="Times New Roman" w:hAnsi="Times New Roman" w:eastAsia="宋体" w:cs="Times New Roman"/>
                <w:sz w:val="24"/>
                <w:szCs w:val="24"/>
                <w:highlight w:val="none"/>
                <w:u w:val="none"/>
              </w:rPr>
              <w:t>，见总平面布置图）噪声计算。具体计算模式如下：</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拟建工程声源对预测点产生的贡献值（Leqg）：</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position w:val="-52"/>
                <w:sz w:val="24"/>
                <w:szCs w:val="24"/>
                <w:highlight w:val="none"/>
                <w:u w:val="none"/>
              </w:rPr>
              <w:object>
                <v:shape id="_x0000_i1025" o:spt="75" type="#_x0000_t75" style="height:57pt;width:198.6pt;" o:ole="t" filled="f" stroked="f" coordsize="21600,21600">
                  <v:path/>
                  <v:fill on="f" focussize="0,0"/>
                  <v:stroke on="f"/>
                  <v:imagedata r:id="rId17" o:title=""/>
                  <o:lock v:ext="edit" aspectratio="t"/>
                  <w10:wrap type="none"/>
                  <w10:anchorlock/>
                </v:shape>
                <o:OLEObject Type="Embed" ProgID="Equation.3" ShapeID="_x0000_i1025" DrawAspect="Content" ObjectID="_1468075725" r:id="rId16">
                  <o:LockedField>false</o:LockedField>
                </o:OLEObject>
              </w:objec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式中：Leqg——建设项目声源在预测点产生的噪声贡献值，dB；</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T——用于计算等效声级的时间，s；</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N——室外声源个数；</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ti——在T时间内i声源工作时间。</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M——等效室外声源个数。</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tj——在T时间内j声源工作时间。</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对于任何一个预测点，其噪声效应是多个叠加声级（即各声源分别在该点的贡献值L2和本底噪声值）的能量总和，其计算式如下：</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position w:val="-30"/>
                <w:sz w:val="24"/>
                <w:szCs w:val="24"/>
                <w:highlight w:val="none"/>
                <w:u w:val="none"/>
              </w:rPr>
              <w:object>
                <v:shape id="_x0000_i1026" o:spt="75" type="#_x0000_t75" style="height:36pt;width:119.4pt;" o:ole="t" filled="f" stroked="f" coordsize="21600,21600">
                  <v:path/>
                  <v:fill on="f" focussize="0,0"/>
                  <v:stroke on="f"/>
                  <v:imagedata r:id="rId19" o:title=""/>
                  <o:lock v:ext="edit" aspectratio="t"/>
                  <w10:wrap type="none"/>
                  <w10:anchorlock/>
                </v:shape>
                <o:OLEObject Type="Embed" ProgID="Equation.3" ShapeID="_x0000_i1026" DrawAspect="Content" ObjectID="_1468075726" r:id="rId18">
                  <o:LockedField>false</o:LockedField>
                </o:OLEObject>
              </w:objec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式中：L——某点噪声贡献值，dB；</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T——用于计算等效声级的时间，s；</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ti——在T时间内i声源工作时间；</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LAi——i声源在预测点产生的等效连续A声级，dB。</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噪声预测值：预测点的贡献值和背景值按能量叠加方法计算得到的声级。噪声预测值（ Leq ）计算公式为：</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position w:val="-14"/>
                <w:sz w:val="24"/>
                <w:szCs w:val="24"/>
                <w:highlight w:val="none"/>
                <w:u w:val="none"/>
              </w:rPr>
              <w:object>
                <v:shape id="_x0000_i1027" o:spt="75" type="#_x0000_t75" style="height:21pt;width:139.2pt;" o:ole="t" filled="f" stroked="f" coordsize="21600,21600">
                  <v:path/>
                  <v:fill on="f" focussize="0,0"/>
                  <v:stroke on="f"/>
                  <v:imagedata r:id="rId21" o:title=""/>
                  <o:lock v:ext="edit" aspectratio="t"/>
                  <w10:wrap type="none"/>
                  <w10:anchorlock/>
                </v:shape>
                <o:OLEObject Type="Embed" ProgID="Equation.3" ShapeID="_x0000_i1027" DrawAspect="Content" ObjectID="_1468075727" r:id="rId20">
                  <o:LockedField>false</o:LockedField>
                </o:OLEObject>
              </w:objec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式中： Leq ——预测点的噪声预测值，dB；</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Leqg ——建设项目声源在预测点产生的噪声贡献值，dB；</w:t>
            </w:r>
          </w:p>
          <w:p>
            <w:pPr>
              <w:spacing w:line="360" w:lineRule="auto"/>
              <w:ind w:firstLine="480"/>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Leqb ——预测点的背景噪声值，dB。</w:t>
            </w:r>
          </w:p>
          <w:p>
            <w:pPr>
              <w:spacing w:line="360" w:lineRule="auto"/>
              <w:ind w:firstLine="48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对于</w:t>
            </w:r>
            <w:r>
              <w:rPr>
                <w:rFonts w:hint="default" w:ascii="Times New Roman" w:hAnsi="Times New Roman" w:eastAsia="宋体" w:cs="Times New Roman"/>
                <w:sz w:val="24"/>
                <w:szCs w:val="24"/>
                <w:highlight w:val="none"/>
              </w:rPr>
              <w:t>室内声源等效室外声源声功率级方法</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计算公式如下：</w:t>
            </w:r>
          </w:p>
          <w:p>
            <w:pPr>
              <w:spacing w:line="360" w:lineRule="auto"/>
              <w:ind w:firstLine="480"/>
              <w:rPr>
                <w:rFonts w:hint="default" w:ascii="Times New Roman" w:hAnsi="Times New Roman" w:eastAsia="宋体" w:cs="Times New Roman"/>
                <w:position w:val="-14"/>
                <w:sz w:val="24"/>
                <w:szCs w:val="24"/>
                <w:highlight w:val="none"/>
                <w:u w:val="none"/>
              </w:rPr>
            </w:pPr>
            <w:r>
              <w:rPr>
                <w:rFonts w:hint="default" w:ascii="Times New Roman" w:hAnsi="Times New Roman" w:eastAsia="宋体" w:cs="Times New Roman"/>
                <w:position w:val="-14"/>
                <w:sz w:val="24"/>
                <w:szCs w:val="24"/>
                <w:highlight w:val="none"/>
                <w:u w:val="none"/>
              </w:rPr>
              <w:object>
                <v:shape id="_x0000_i1028" o:spt="75" type="#_x0000_t75" style="height:19pt;width:96.15pt;" o:ole="t" filled="f" o:preferrelative="t" stroked="f" coordsize="21600,21600">
                  <v:path/>
                  <v:fill on="f" focussize="0,0"/>
                  <v:stroke on="f"/>
                  <v:imagedata r:id="rId23" o:title=""/>
                  <o:lock v:ext="edit" aspectratio="t"/>
                  <w10:wrap type="none"/>
                  <w10:anchorlock/>
                </v:shape>
                <o:OLEObject Type="Embed" ProgID="Equation.3" ShapeID="_x0000_i1028" DrawAspect="Content" ObjectID="_1468075728" r:id="rId22">
                  <o:LockedField>false</o:LockedField>
                </o:OLEObject>
              </w:object>
            </w:r>
          </w:p>
          <w:p>
            <w:pPr>
              <w:spacing w:line="360" w:lineRule="auto"/>
              <w:ind w:firstLine="48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u w:val="none"/>
                <w:lang w:val="en-US" w:eastAsia="zh-CN"/>
              </w:rPr>
              <w:t>式中：L</w:t>
            </w:r>
            <w:r>
              <w:rPr>
                <w:rFonts w:hint="default" w:ascii="Times New Roman" w:hAnsi="Times New Roman" w:eastAsia="宋体" w:cs="Times New Roman"/>
                <w:sz w:val="24"/>
                <w:szCs w:val="24"/>
                <w:highlight w:val="none"/>
                <w:u w:val="none"/>
                <w:vertAlign w:val="subscript"/>
                <w:lang w:val="en-US" w:eastAsia="zh-CN"/>
              </w:rPr>
              <w:t>p1</w:t>
            </w:r>
            <w:r>
              <w:rPr>
                <w:rFonts w:hint="default" w:ascii="Times New Roman" w:hAnsi="Times New Roman" w:eastAsia="宋体" w:cs="Times New Roman"/>
                <w:sz w:val="24"/>
                <w:szCs w:val="24"/>
                <w:highlight w:val="none"/>
                <w:u w:val="none"/>
                <w:vertAlign w:val="baseline"/>
                <w:lang w:val="en-US" w:eastAsia="zh-CN"/>
              </w:rPr>
              <w:t>——</w:t>
            </w:r>
            <w:r>
              <w:rPr>
                <w:rFonts w:hint="default" w:ascii="Times New Roman" w:hAnsi="Times New Roman" w:eastAsia="宋体" w:cs="Times New Roman"/>
                <w:sz w:val="24"/>
                <w:szCs w:val="24"/>
                <w:highlight w:val="none"/>
              </w:rPr>
              <w:t>靠近开口处（或窗户）室内某倍频带的声压级或 A 声级， dB</w:t>
            </w:r>
            <w:r>
              <w:rPr>
                <w:rFonts w:hint="default" w:ascii="Times New Roman" w:hAnsi="Times New Roman" w:eastAsia="宋体" w:cs="Times New Roman"/>
                <w:sz w:val="24"/>
                <w:szCs w:val="24"/>
                <w:highlight w:val="none"/>
                <w:lang w:eastAsia="zh-CN"/>
              </w:rPr>
              <w:t>。</w:t>
            </w:r>
          </w:p>
          <w:p>
            <w:pPr>
              <w:spacing w:line="360" w:lineRule="auto"/>
              <w:ind w:firstLine="480"/>
              <w:rPr>
                <w:rFonts w:hint="default" w:ascii="Times New Roman" w:hAnsi="Times New Roman" w:eastAsia="宋体" w:cs="Times New Roman"/>
                <w:sz w:val="24"/>
                <w:szCs w:val="24"/>
                <w:highlight w:val="none"/>
                <w:u w:val="none"/>
                <w:lang w:eastAsia="zh-CN"/>
              </w:rPr>
            </w:pPr>
            <w:r>
              <w:rPr>
                <w:rFonts w:hint="default" w:ascii="Times New Roman" w:hAnsi="Times New Roman" w:eastAsia="宋体" w:cs="Times New Roman"/>
                <w:sz w:val="24"/>
                <w:szCs w:val="24"/>
                <w:highlight w:val="none"/>
                <w:u w:val="none"/>
                <w:lang w:val="en-US" w:eastAsia="zh-CN"/>
              </w:rPr>
              <w:t>L</w:t>
            </w:r>
            <w:r>
              <w:rPr>
                <w:rFonts w:hint="default" w:ascii="Times New Roman" w:hAnsi="Times New Roman" w:eastAsia="宋体" w:cs="Times New Roman"/>
                <w:sz w:val="24"/>
                <w:szCs w:val="24"/>
                <w:highlight w:val="none"/>
                <w:u w:val="none"/>
                <w:vertAlign w:val="subscript"/>
                <w:lang w:val="en-US" w:eastAsia="zh-CN"/>
              </w:rPr>
              <w:t>p2</w:t>
            </w:r>
            <w:r>
              <w:rPr>
                <w:rFonts w:hint="default" w:ascii="Times New Roman" w:hAnsi="Times New Roman" w:eastAsia="宋体" w:cs="Times New Roman"/>
                <w:sz w:val="24"/>
                <w:szCs w:val="24"/>
                <w:highlight w:val="none"/>
                <w:u w:val="none"/>
                <w:vertAlign w:val="baseline"/>
                <w:lang w:val="en-US" w:eastAsia="zh-CN"/>
              </w:rPr>
              <w:t>——</w:t>
            </w:r>
            <w:r>
              <w:rPr>
                <w:rFonts w:hint="default" w:ascii="Times New Roman" w:hAnsi="Times New Roman" w:eastAsia="宋体" w:cs="Times New Roman"/>
                <w:sz w:val="24"/>
                <w:szCs w:val="24"/>
                <w:highlight w:val="none"/>
                <w:u w:val="none"/>
              </w:rPr>
              <w:t>靠近开口处（或窗户）室</w:t>
            </w:r>
            <w:r>
              <w:rPr>
                <w:rFonts w:hint="default" w:ascii="Times New Roman" w:hAnsi="Times New Roman" w:eastAsia="宋体" w:cs="Times New Roman"/>
                <w:sz w:val="24"/>
                <w:szCs w:val="24"/>
                <w:highlight w:val="none"/>
                <w:u w:val="none"/>
                <w:lang w:val="en-US" w:eastAsia="zh-CN"/>
              </w:rPr>
              <w:t>外</w:t>
            </w:r>
            <w:r>
              <w:rPr>
                <w:rFonts w:hint="default" w:ascii="Times New Roman" w:hAnsi="Times New Roman" w:eastAsia="宋体" w:cs="Times New Roman"/>
                <w:sz w:val="24"/>
                <w:szCs w:val="24"/>
                <w:highlight w:val="none"/>
                <w:u w:val="none"/>
              </w:rPr>
              <w:t>某倍频带的声压级或 A 声级， dB</w:t>
            </w:r>
            <w:r>
              <w:rPr>
                <w:rFonts w:hint="default" w:ascii="Times New Roman" w:hAnsi="Times New Roman" w:eastAsia="宋体" w:cs="Times New Roman"/>
                <w:sz w:val="24"/>
                <w:szCs w:val="24"/>
                <w:highlight w:val="none"/>
                <w:u w:val="none"/>
                <w:lang w:eastAsia="zh-CN"/>
              </w:rPr>
              <w:t>。</w:t>
            </w:r>
          </w:p>
          <w:p>
            <w:pPr>
              <w:spacing w:line="360" w:lineRule="auto"/>
              <w:ind w:firstLine="480"/>
              <w:rPr>
                <w:rFonts w:hint="default" w:ascii="Times New Roman" w:hAnsi="Times New Roman" w:eastAsia="宋体" w:cs="Times New Roman"/>
                <w:sz w:val="24"/>
                <w:szCs w:val="24"/>
                <w:highlight w:val="none"/>
                <w:u w:val="none"/>
                <w:vertAlign w:val="baseline"/>
                <w:lang w:eastAsia="zh-CN"/>
              </w:rPr>
            </w:pPr>
            <w:r>
              <w:rPr>
                <w:rFonts w:hint="default" w:ascii="Times New Roman" w:hAnsi="Times New Roman" w:eastAsia="宋体" w:cs="Times New Roman"/>
                <w:sz w:val="24"/>
                <w:szCs w:val="24"/>
                <w:highlight w:val="none"/>
                <w:u w:val="none"/>
                <w:lang w:val="en-US" w:eastAsia="zh-CN"/>
              </w:rPr>
              <w:t>TL——</w:t>
            </w:r>
            <w:r>
              <w:rPr>
                <w:rFonts w:hint="default" w:ascii="Times New Roman" w:hAnsi="Times New Roman" w:eastAsia="宋体" w:cs="Times New Roman"/>
                <w:sz w:val="24"/>
                <w:szCs w:val="24"/>
                <w:highlight w:val="none"/>
              </w:rPr>
              <w:t>隔墙（或窗户）倍频带或 A 声级的隔声量， dB</w:t>
            </w:r>
            <w:r>
              <w:rPr>
                <w:rFonts w:hint="default" w:ascii="Times New Roman" w:hAnsi="Times New Roman" w:eastAsia="宋体" w:cs="Times New Roman"/>
                <w:sz w:val="24"/>
                <w:szCs w:val="24"/>
                <w:highlight w:val="none"/>
                <w:lang w:eastAsia="zh-CN"/>
              </w:rPr>
              <w:t>。</w:t>
            </w:r>
          </w:p>
          <w:p>
            <w:pPr>
              <w:pStyle w:val="70"/>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表4-</w:t>
            </w:r>
            <w:r>
              <w:rPr>
                <w:rFonts w:hint="eastAsia" w:cs="Times New Roman"/>
                <w:sz w:val="21"/>
                <w:szCs w:val="21"/>
                <w:highlight w:val="none"/>
                <w:u w:val="none"/>
                <w:lang w:val="en-US" w:eastAsia="zh-CN"/>
              </w:rPr>
              <w:t>6</w:t>
            </w:r>
            <w:r>
              <w:rPr>
                <w:rFonts w:hint="default" w:ascii="Times New Roman" w:hAnsi="Times New Roman" w:eastAsia="宋体" w:cs="Times New Roman"/>
                <w:sz w:val="21"/>
                <w:szCs w:val="21"/>
                <w:highlight w:val="none"/>
                <w:u w:val="none"/>
              </w:rPr>
              <w:t xml:space="preserve">  项目噪声预测结果表  单位：dB（A）</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4"/>
              <w:gridCol w:w="994"/>
              <w:gridCol w:w="696"/>
              <w:gridCol w:w="947"/>
              <w:gridCol w:w="696"/>
              <w:gridCol w:w="947"/>
              <w:gridCol w:w="696"/>
              <w:gridCol w:w="947"/>
              <w:gridCol w:w="696"/>
              <w:gridCol w:w="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restar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设备名称</w:t>
                  </w:r>
                </w:p>
              </w:tc>
              <w:tc>
                <w:tcPr>
                  <w:tcW w:w="624" w:type="pct"/>
                  <w:vMerge w:val="restart"/>
                  <w:noWrap w:val="0"/>
                  <w:tcMar>
                    <w:left w:w="28" w:type="dxa"/>
                    <w:right w:w="28" w:type="dxa"/>
                  </w:tcMar>
                  <w:vAlign w:val="center"/>
                </w:tcPr>
                <w:p>
                  <w:pPr>
                    <w:pStyle w:val="4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降噪后的声压级dB（A）</w:t>
                  </w:r>
                </w:p>
              </w:tc>
              <w:tc>
                <w:tcPr>
                  <w:tcW w:w="1031"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kern w:val="0"/>
                      <w:sz w:val="21"/>
                      <w:szCs w:val="21"/>
                      <w:highlight w:val="none"/>
                      <w:u w:val="none"/>
                      <w:lang w:val="en-US" w:eastAsia="zh-CN" w:bidi="ar-SA"/>
                    </w:rPr>
                  </w:pPr>
                  <w:r>
                    <w:rPr>
                      <w:rFonts w:hint="default" w:ascii="Times New Roman" w:hAnsi="Times New Roman" w:eastAsia="宋体" w:cs="Times New Roman"/>
                      <w:sz w:val="21"/>
                      <w:szCs w:val="21"/>
                      <w:highlight w:val="none"/>
                      <w:u w:val="none"/>
                    </w:rPr>
                    <w:t>东厂界</w:t>
                  </w:r>
                </w:p>
              </w:tc>
              <w:tc>
                <w:tcPr>
                  <w:tcW w:w="1031"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kern w:val="0"/>
                      <w:sz w:val="21"/>
                      <w:szCs w:val="21"/>
                      <w:highlight w:val="none"/>
                      <w:u w:val="none"/>
                      <w:lang w:val="en-US" w:eastAsia="zh-CN" w:bidi="ar-SA"/>
                    </w:rPr>
                  </w:pPr>
                  <w:r>
                    <w:rPr>
                      <w:rFonts w:hint="default" w:ascii="Times New Roman" w:hAnsi="Times New Roman" w:eastAsia="宋体" w:cs="Times New Roman"/>
                      <w:sz w:val="21"/>
                      <w:szCs w:val="21"/>
                      <w:highlight w:val="none"/>
                      <w:u w:val="none"/>
                    </w:rPr>
                    <w:t>南厂界</w:t>
                  </w:r>
                </w:p>
              </w:tc>
              <w:tc>
                <w:tcPr>
                  <w:tcW w:w="1031"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kern w:val="0"/>
                      <w:sz w:val="21"/>
                      <w:szCs w:val="21"/>
                      <w:highlight w:val="none"/>
                      <w:u w:val="none"/>
                      <w:lang w:val="en-US" w:eastAsia="zh-CN" w:bidi="ar-SA"/>
                    </w:rPr>
                  </w:pPr>
                  <w:r>
                    <w:rPr>
                      <w:rFonts w:hint="default" w:ascii="Times New Roman" w:hAnsi="Times New Roman" w:eastAsia="宋体" w:cs="Times New Roman"/>
                      <w:sz w:val="21"/>
                      <w:szCs w:val="21"/>
                      <w:highlight w:val="none"/>
                      <w:u w:val="none"/>
                    </w:rPr>
                    <w:t>西厂界</w:t>
                  </w:r>
                </w:p>
              </w:tc>
              <w:tc>
                <w:tcPr>
                  <w:tcW w:w="1033"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kern w:val="0"/>
                      <w:sz w:val="21"/>
                      <w:szCs w:val="21"/>
                      <w:highlight w:val="none"/>
                      <w:u w:val="none"/>
                      <w:lang w:val="en-US" w:eastAsia="zh-CN" w:bidi="ar-SA"/>
                    </w:rPr>
                  </w:pPr>
                  <w:r>
                    <w:rPr>
                      <w:rFonts w:hint="default" w:ascii="Times New Roman" w:hAnsi="Times New Roman" w:eastAsia="宋体" w:cs="Times New Roman"/>
                      <w:sz w:val="21"/>
                      <w:szCs w:val="21"/>
                      <w:highlight w:val="none"/>
                      <w:u w:val="none"/>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continue"/>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rPr>
                  </w:pPr>
                </w:p>
              </w:tc>
              <w:tc>
                <w:tcPr>
                  <w:tcW w:w="624" w:type="pct"/>
                  <w:vMerge w:val="continue"/>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rPr>
                  </w:pPr>
                </w:p>
              </w:tc>
              <w:tc>
                <w:tcPr>
                  <w:tcW w:w="437"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距离（m）</w:t>
                  </w:r>
                </w:p>
              </w:tc>
              <w:tc>
                <w:tcPr>
                  <w:tcW w:w="594"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cs="Times New Roman"/>
                      <w:sz w:val="21"/>
                      <w:szCs w:val="21"/>
                      <w:highlight w:val="none"/>
                      <w:u w:val="none"/>
                      <w:lang w:val="en-US" w:eastAsia="zh-CN"/>
                    </w:rPr>
                    <w:t>衰减后</w:t>
                  </w:r>
                  <w:r>
                    <w:rPr>
                      <w:rFonts w:hint="default" w:ascii="Times New Roman" w:hAnsi="Times New Roman" w:eastAsia="宋体" w:cs="Times New Roman"/>
                      <w:sz w:val="21"/>
                      <w:szCs w:val="21"/>
                      <w:highlight w:val="none"/>
                      <w:u w:val="none"/>
                    </w:rPr>
                    <w:t>噪声值dB（A）</w:t>
                  </w:r>
                </w:p>
              </w:tc>
              <w:tc>
                <w:tcPr>
                  <w:tcW w:w="437"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cs="Times New Roman"/>
                      <w:sz w:val="21"/>
                      <w:szCs w:val="21"/>
                      <w:highlight w:val="none"/>
                      <w:u w:val="none"/>
                      <w:lang w:val="en-US" w:eastAsia="zh-CN"/>
                    </w:rPr>
                    <w:t>距离（m）</w:t>
                  </w:r>
                </w:p>
              </w:tc>
              <w:tc>
                <w:tcPr>
                  <w:tcW w:w="594"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cs="Times New Roman"/>
                      <w:sz w:val="21"/>
                      <w:szCs w:val="21"/>
                      <w:highlight w:val="none"/>
                      <w:u w:val="none"/>
                      <w:lang w:val="en-US" w:eastAsia="zh-CN"/>
                    </w:rPr>
                    <w:t>衰减后</w:t>
                  </w:r>
                  <w:r>
                    <w:rPr>
                      <w:rFonts w:hint="default" w:ascii="Times New Roman" w:hAnsi="Times New Roman" w:eastAsia="宋体" w:cs="Times New Roman"/>
                      <w:sz w:val="21"/>
                      <w:szCs w:val="21"/>
                      <w:highlight w:val="none"/>
                      <w:u w:val="none"/>
                    </w:rPr>
                    <w:t>噪声值dB（A）</w:t>
                  </w:r>
                </w:p>
              </w:tc>
              <w:tc>
                <w:tcPr>
                  <w:tcW w:w="437"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cs="Times New Roman"/>
                      <w:sz w:val="21"/>
                      <w:szCs w:val="21"/>
                      <w:highlight w:val="none"/>
                      <w:u w:val="none"/>
                      <w:lang w:val="en-US" w:eastAsia="zh-CN"/>
                    </w:rPr>
                    <w:t>距离（m）</w:t>
                  </w:r>
                </w:p>
              </w:tc>
              <w:tc>
                <w:tcPr>
                  <w:tcW w:w="594"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cs="Times New Roman"/>
                      <w:sz w:val="21"/>
                      <w:szCs w:val="21"/>
                      <w:highlight w:val="none"/>
                      <w:u w:val="none"/>
                      <w:lang w:val="en-US" w:eastAsia="zh-CN"/>
                    </w:rPr>
                    <w:t>衰减后</w:t>
                  </w:r>
                  <w:r>
                    <w:rPr>
                      <w:rFonts w:hint="default" w:ascii="Times New Roman" w:hAnsi="Times New Roman" w:eastAsia="宋体" w:cs="Times New Roman"/>
                      <w:sz w:val="21"/>
                      <w:szCs w:val="21"/>
                      <w:highlight w:val="none"/>
                      <w:u w:val="none"/>
                    </w:rPr>
                    <w:t>噪声值dB（A）</w:t>
                  </w:r>
                </w:p>
              </w:tc>
              <w:tc>
                <w:tcPr>
                  <w:tcW w:w="437"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cs="Times New Roman"/>
                      <w:sz w:val="21"/>
                      <w:szCs w:val="21"/>
                      <w:highlight w:val="none"/>
                      <w:u w:val="none"/>
                      <w:lang w:val="en-US" w:eastAsia="zh-CN"/>
                    </w:rPr>
                    <w:t>距离（m）</w:t>
                  </w:r>
                </w:p>
              </w:tc>
              <w:tc>
                <w:tcPr>
                  <w:tcW w:w="595"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cs="Times New Roman"/>
                      <w:sz w:val="21"/>
                      <w:szCs w:val="21"/>
                      <w:highlight w:val="none"/>
                      <w:u w:val="none"/>
                      <w:lang w:val="en-US" w:eastAsia="zh-CN"/>
                    </w:rPr>
                    <w:t>衰减后</w:t>
                  </w:r>
                  <w:r>
                    <w:rPr>
                      <w:rFonts w:hint="default" w:ascii="Times New Roman" w:hAnsi="Times New Roman" w:eastAsia="宋体" w:cs="Times New Roman"/>
                      <w:sz w:val="21"/>
                      <w:szCs w:val="21"/>
                      <w:highlight w:val="none"/>
                      <w:u w:val="none"/>
                    </w:rPr>
                    <w:t>噪声值dB（A）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noWrap w:val="0"/>
                  <w:tcMar>
                    <w:left w:w="28" w:type="dxa"/>
                    <w:right w:w="28" w:type="dxa"/>
                  </w:tcMar>
                  <w:vAlign w:val="center"/>
                </w:tcPr>
                <w:p>
                  <w:pPr>
                    <w:keepNext w:val="0"/>
                    <w:keepLines w:val="0"/>
                    <w:pageBreakBefore w:val="0"/>
                    <w:widowControl/>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Cs w:val="21"/>
                    </w:rPr>
                    <w:t>锅炉</w:t>
                  </w:r>
                </w:p>
              </w:tc>
              <w:tc>
                <w:tcPr>
                  <w:tcW w:w="62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firstLine="0" w:firstLineChars="0"/>
                    <w:jc w:val="center"/>
                    <w:textAlignment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20</w:t>
                  </w:r>
                </w:p>
              </w:tc>
              <w:tc>
                <w:tcPr>
                  <w:tcW w:w="59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30.9</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50</w:t>
                  </w:r>
                </w:p>
              </w:tc>
              <w:tc>
                <w:tcPr>
                  <w:tcW w:w="59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22.8</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26</w:t>
                  </w:r>
                </w:p>
              </w:tc>
              <w:tc>
                <w:tcPr>
                  <w:tcW w:w="59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28.7</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20.6</w:t>
                  </w:r>
                </w:p>
              </w:tc>
              <w:tc>
                <w:tcPr>
                  <w:tcW w:w="595"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30.7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noWrap w:val="0"/>
                  <w:tcMar>
                    <w:left w:w="28" w:type="dxa"/>
                    <w:right w:w="28" w:type="dxa"/>
                  </w:tcMar>
                  <w:vAlign w:val="center"/>
                </w:tcPr>
                <w:p>
                  <w:pPr>
                    <w:keepNext w:val="0"/>
                    <w:keepLines w:val="0"/>
                    <w:pageBreakBefore w:val="0"/>
                    <w:widowControl/>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kern w:val="0"/>
                      <w:szCs w:val="21"/>
                    </w:rPr>
                    <w:t>水泵</w:t>
                  </w:r>
                </w:p>
              </w:tc>
              <w:tc>
                <w:tcPr>
                  <w:tcW w:w="62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firstLine="0" w:firstLineChars="0"/>
                    <w:jc w:val="center"/>
                    <w:textAlignment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22</w:t>
                  </w:r>
                </w:p>
              </w:tc>
              <w:tc>
                <w:tcPr>
                  <w:tcW w:w="59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30.1</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43</w:t>
                  </w:r>
                </w:p>
              </w:tc>
              <w:tc>
                <w:tcPr>
                  <w:tcW w:w="59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24.3</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24</w:t>
                  </w:r>
                </w:p>
              </w:tc>
              <w:tc>
                <w:tcPr>
                  <w:tcW w:w="59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29.4</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28</w:t>
                  </w:r>
                </w:p>
              </w:tc>
              <w:tc>
                <w:tcPr>
                  <w:tcW w:w="595"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noWrap w:val="0"/>
                  <w:tcMar>
                    <w:left w:w="28" w:type="dxa"/>
                    <w:right w:w="28" w:type="dxa"/>
                  </w:tcMar>
                  <w:vAlign w:val="center"/>
                </w:tcPr>
                <w:p>
                  <w:pPr>
                    <w:keepNext w:val="0"/>
                    <w:keepLines w:val="0"/>
                    <w:pageBreakBefore w:val="0"/>
                    <w:widowControl/>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kern w:val="0"/>
                      <w:szCs w:val="21"/>
                      <w:lang w:val="en-US" w:eastAsia="zh-CN"/>
                    </w:rPr>
                    <w:t>汽化炉</w:t>
                  </w:r>
                </w:p>
              </w:tc>
              <w:tc>
                <w:tcPr>
                  <w:tcW w:w="62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firstLine="0" w:firstLineChars="0"/>
                    <w:jc w:val="center"/>
                    <w:textAlignment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42</w:t>
                  </w:r>
                </w:p>
              </w:tc>
              <w:tc>
                <w:tcPr>
                  <w:tcW w:w="59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24.5</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40</w:t>
                  </w:r>
                </w:p>
              </w:tc>
              <w:tc>
                <w:tcPr>
                  <w:tcW w:w="59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25.0</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20</w:t>
                  </w:r>
                </w:p>
              </w:tc>
              <w:tc>
                <w:tcPr>
                  <w:tcW w:w="59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31.0</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66</w:t>
                  </w:r>
                </w:p>
              </w:tc>
              <w:tc>
                <w:tcPr>
                  <w:tcW w:w="595"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noWrap w:val="0"/>
                  <w:tcMar>
                    <w:left w:w="28" w:type="dxa"/>
                    <w:right w:w="28" w:type="dxa"/>
                  </w:tcMar>
                  <w:vAlign w:val="center"/>
                </w:tcPr>
                <w:p>
                  <w:pPr>
                    <w:keepNext w:val="0"/>
                    <w:keepLines w:val="0"/>
                    <w:pageBreakBefore w:val="0"/>
                    <w:widowControl/>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kern w:val="0"/>
                      <w:szCs w:val="21"/>
                    </w:rPr>
                    <w:t>燃烧风机</w:t>
                  </w:r>
                </w:p>
              </w:tc>
              <w:tc>
                <w:tcPr>
                  <w:tcW w:w="62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55.9</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37</w:t>
                  </w:r>
                </w:p>
              </w:tc>
              <w:tc>
                <w:tcPr>
                  <w:tcW w:w="59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24.5</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50</w:t>
                  </w:r>
                </w:p>
              </w:tc>
              <w:tc>
                <w:tcPr>
                  <w:tcW w:w="59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21.9</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22</w:t>
                  </w:r>
                </w:p>
              </w:tc>
              <w:tc>
                <w:tcPr>
                  <w:tcW w:w="594"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29.0</w:t>
                  </w:r>
                </w:p>
              </w:tc>
              <w:tc>
                <w:tcPr>
                  <w:tcW w:w="437"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52</w:t>
                  </w:r>
                </w:p>
              </w:tc>
              <w:tc>
                <w:tcPr>
                  <w:tcW w:w="595" w:type="pct"/>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z w:val="21"/>
                      <w:szCs w:val="21"/>
                      <w:highlight w:val="none"/>
                      <w:u w:val="none"/>
                    </w:rPr>
                  </w:pPr>
                  <w:r>
                    <w:rPr>
                      <w:rFonts w:hint="default" w:ascii="Times New Roman" w:hAnsi="Times New Roman" w:eastAsia="宋体" w:cs="Times New Roman"/>
                      <w:b/>
                      <w:bCs/>
                      <w:sz w:val="21"/>
                      <w:szCs w:val="21"/>
                      <w:highlight w:val="none"/>
                      <w:u w:val="none"/>
                    </w:rPr>
                    <w:t>预测值</w:t>
                  </w:r>
                </w:p>
              </w:tc>
              <w:tc>
                <w:tcPr>
                  <w:tcW w:w="624"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z w:val="21"/>
                      <w:szCs w:val="21"/>
                      <w:highlight w:val="none"/>
                      <w:u w:val="none"/>
                    </w:rPr>
                  </w:pPr>
                  <w:r>
                    <w:rPr>
                      <w:rFonts w:hint="default" w:ascii="Times New Roman" w:hAnsi="Times New Roman" w:eastAsia="宋体" w:cs="Times New Roman"/>
                      <w:b/>
                      <w:bCs/>
                      <w:sz w:val="21"/>
                      <w:szCs w:val="21"/>
                      <w:highlight w:val="none"/>
                      <w:u w:val="none"/>
                    </w:rPr>
                    <w:t>/</w:t>
                  </w:r>
                </w:p>
              </w:tc>
              <w:tc>
                <w:tcPr>
                  <w:tcW w:w="1031" w:type="pct"/>
                  <w:gridSpan w:val="2"/>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center"/>
                    <w:rPr>
                      <w:rFonts w:hint="default" w:ascii="Times New Roman" w:hAnsi="Times New Roman" w:eastAsia="宋体" w:cs="Times New Roman"/>
                      <w:b/>
                      <w:bCs/>
                      <w:sz w:val="21"/>
                      <w:szCs w:val="21"/>
                      <w:highlight w:val="none"/>
                      <w:u w:val="none"/>
                      <w:lang w:val="en-US" w:eastAsia="zh-CN"/>
                    </w:rPr>
                  </w:pPr>
                  <w:r>
                    <w:rPr>
                      <w:rFonts w:hint="default" w:ascii="Times New Roman" w:hAnsi="Times New Roman" w:cs="Times New Roman"/>
                      <w:b/>
                      <w:bCs/>
                      <w:sz w:val="21"/>
                      <w:szCs w:val="21"/>
                      <w:highlight w:val="none"/>
                      <w:u w:val="none"/>
                      <w:lang w:val="en-US" w:eastAsia="zh-CN"/>
                    </w:rPr>
                    <w:t>34.5</w:t>
                  </w:r>
                </w:p>
              </w:tc>
              <w:tc>
                <w:tcPr>
                  <w:tcW w:w="1031" w:type="pct"/>
                  <w:gridSpan w:val="2"/>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center"/>
                    <w:rPr>
                      <w:rFonts w:hint="default" w:ascii="Times New Roman" w:hAnsi="Times New Roman" w:eastAsia="宋体" w:cs="Times New Roman"/>
                      <w:b/>
                      <w:bCs/>
                      <w:sz w:val="21"/>
                      <w:szCs w:val="21"/>
                      <w:highlight w:val="none"/>
                      <w:u w:val="none"/>
                      <w:lang w:val="en-US" w:eastAsia="zh-CN"/>
                    </w:rPr>
                  </w:pPr>
                  <w:r>
                    <w:rPr>
                      <w:rFonts w:hint="default" w:ascii="Times New Roman" w:hAnsi="Times New Roman" w:cs="Times New Roman"/>
                      <w:b/>
                      <w:bCs/>
                      <w:sz w:val="21"/>
                      <w:szCs w:val="21"/>
                      <w:highlight w:val="none"/>
                      <w:u w:val="none"/>
                      <w:lang w:val="en-US" w:eastAsia="zh-CN"/>
                    </w:rPr>
                    <w:t>29.69</w:t>
                  </w:r>
                </w:p>
              </w:tc>
              <w:tc>
                <w:tcPr>
                  <w:tcW w:w="1031" w:type="pct"/>
                  <w:gridSpan w:val="2"/>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center"/>
                    <w:rPr>
                      <w:rFonts w:hint="default" w:ascii="Times New Roman" w:hAnsi="Times New Roman" w:eastAsia="宋体" w:cs="Times New Roman"/>
                      <w:b/>
                      <w:bCs/>
                      <w:sz w:val="21"/>
                      <w:szCs w:val="21"/>
                      <w:highlight w:val="none"/>
                      <w:u w:val="none"/>
                      <w:lang w:val="en-US" w:eastAsia="zh-CN"/>
                    </w:rPr>
                  </w:pPr>
                  <w:r>
                    <w:rPr>
                      <w:rFonts w:hint="default" w:ascii="Times New Roman" w:hAnsi="Times New Roman" w:cs="Times New Roman"/>
                      <w:b/>
                      <w:bCs/>
                      <w:sz w:val="21"/>
                      <w:szCs w:val="21"/>
                      <w:highlight w:val="none"/>
                      <w:u w:val="none"/>
                      <w:lang w:val="en-US" w:eastAsia="zh-CN"/>
                    </w:rPr>
                    <w:t>35.64</w:t>
                  </w:r>
                </w:p>
              </w:tc>
              <w:tc>
                <w:tcPr>
                  <w:tcW w:w="1033" w:type="pct"/>
                  <w:gridSpan w:val="2"/>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center"/>
                    <w:rPr>
                      <w:rFonts w:hint="default" w:ascii="Times New Roman" w:hAnsi="Times New Roman" w:eastAsia="宋体" w:cs="Times New Roman"/>
                      <w:b/>
                      <w:bCs/>
                      <w:sz w:val="21"/>
                      <w:szCs w:val="21"/>
                      <w:highlight w:val="none"/>
                      <w:u w:val="none"/>
                      <w:lang w:val="en-US" w:eastAsia="zh-CN"/>
                    </w:rPr>
                  </w:pPr>
                  <w:r>
                    <w:rPr>
                      <w:rFonts w:hint="default" w:ascii="Times New Roman" w:hAnsi="Times New Roman" w:cs="Times New Roman"/>
                      <w:b/>
                      <w:bCs/>
                      <w:sz w:val="21"/>
                      <w:szCs w:val="21"/>
                      <w:highlight w:val="none"/>
                      <w:u w:val="none"/>
                      <w:lang w:val="en-US" w:eastAsia="zh-CN"/>
                    </w:rPr>
                    <w:t>33.15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47" w:type="pct"/>
                  <w:vMerge w:val="restar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达标值</w:t>
                  </w:r>
                </w:p>
              </w:tc>
              <w:tc>
                <w:tcPr>
                  <w:tcW w:w="624"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昼间</w:t>
                  </w:r>
                </w:p>
              </w:tc>
              <w:tc>
                <w:tcPr>
                  <w:tcW w:w="1031"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rPr>
                    <w:t>6</w:t>
                  </w:r>
                  <w:r>
                    <w:rPr>
                      <w:rFonts w:hint="default" w:ascii="Times New Roman" w:hAnsi="Times New Roman" w:eastAsia="宋体" w:cs="Times New Roman"/>
                      <w:sz w:val="21"/>
                      <w:szCs w:val="21"/>
                      <w:highlight w:val="none"/>
                      <w:u w:val="none"/>
                      <w:lang w:val="en-US" w:eastAsia="zh-CN"/>
                    </w:rPr>
                    <w:t>5</w:t>
                  </w:r>
                </w:p>
              </w:tc>
              <w:tc>
                <w:tcPr>
                  <w:tcW w:w="1031"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rPr>
                    <w:t>6</w:t>
                  </w:r>
                  <w:r>
                    <w:rPr>
                      <w:rFonts w:hint="default" w:ascii="Times New Roman" w:hAnsi="Times New Roman" w:eastAsia="宋体" w:cs="Times New Roman"/>
                      <w:sz w:val="21"/>
                      <w:szCs w:val="21"/>
                      <w:highlight w:val="none"/>
                      <w:u w:val="none"/>
                      <w:lang w:val="en-US" w:eastAsia="zh-CN"/>
                    </w:rPr>
                    <w:t>5</w:t>
                  </w:r>
                </w:p>
              </w:tc>
              <w:tc>
                <w:tcPr>
                  <w:tcW w:w="1031"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rPr>
                    <w:t>6</w:t>
                  </w:r>
                  <w:r>
                    <w:rPr>
                      <w:rFonts w:hint="default" w:ascii="Times New Roman" w:hAnsi="Times New Roman" w:eastAsia="宋体" w:cs="Times New Roman"/>
                      <w:sz w:val="21"/>
                      <w:szCs w:val="21"/>
                      <w:highlight w:val="none"/>
                      <w:u w:val="none"/>
                      <w:lang w:val="en-US" w:eastAsia="zh-CN"/>
                    </w:rPr>
                    <w:t>5</w:t>
                  </w:r>
                </w:p>
              </w:tc>
              <w:tc>
                <w:tcPr>
                  <w:tcW w:w="1033"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rPr>
                    <w:t>6</w:t>
                  </w:r>
                  <w:r>
                    <w:rPr>
                      <w:rFonts w:hint="default" w:ascii="Times New Roman" w:hAnsi="Times New Roman" w:eastAsia="宋体" w:cs="Times New Roman"/>
                      <w:sz w:val="21"/>
                      <w:szCs w:val="21"/>
                      <w:highlight w:val="none"/>
                      <w:u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47" w:type="pct"/>
                  <w:vMerge w:val="continue"/>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cs="Times New Roman"/>
                    </w:rPr>
                  </w:pPr>
                </w:p>
              </w:tc>
              <w:tc>
                <w:tcPr>
                  <w:tcW w:w="624"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夜间</w:t>
                  </w:r>
                </w:p>
              </w:tc>
              <w:tc>
                <w:tcPr>
                  <w:tcW w:w="1031"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55</w:t>
                  </w:r>
                </w:p>
              </w:tc>
              <w:tc>
                <w:tcPr>
                  <w:tcW w:w="1031"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55</w:t>
                  </w:r>
                </w:p>
              </w:tc>
              <w:tc>
                <w:tcPr>
                  <w:tcW w:w="1031"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55</w:t>
                  </w:r>
                </w:p>
              </w:tc>
              <w:tc>
                <w:tcPr>
                  <w:tcW w:w="1033"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达标情况</w:t>
                  </w:r>
                </w:p>
              </w:tc>
              <w:tc>
                <w:tcPr>
                  <w:tcW w:w="624" w:type="pct"/>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达标</w:t>
                  </w:r>
                </w:p>
              </w:tc>
              <w:tc>
                <w:tcPr>
                  <w:tcW w:w="1031"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达标</w:t>
                  </w:r>
                </w:p>
              </w:tc>
              <w:tc>
                <w:tcPr>
                  <w:tcW w:w="1031"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达标</w:t>
                  </w:r>
                </w:p>
              </w:tc>
              <w:tc>
                <w:tcPr>
                  <w:tcW w:w="1031"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达标</w:t>
                  </w:r>
                </w:p>
              </w:tc>
              <w:tc>
                <w:tcPr>
                  <w:tcW w:w="1033" w:type="pct"/>
                  <w:gridSpan w:val="2"/>
                  <w:noWrap w:val="0"/>
                  <w:tcMar>
                    <w:left w:w="28" w:type="dxa"/>
                    <w:right w:w="28" w:type="dxa"/>
                  </w:tcMar>
                  <w:vAlign w:val="center"/>
                </w:tcPr>
                <w:p>
                  <w:pPr>
                    <w:pStyle w:val="40"/>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由表4-9预测结果可见，采取治理措施后，项目机械设备噪声对场界各侧场界的贡献值较小，其噪声源对厂界的贡献值及各点厂界噪声都能达到《工业企业厂界环境噪声排放标准》（GB12348-2008）中的</w:t>
            </w:r>
            <w:r>
              <w:rPr>
                <w:rFonts w:hint="default" w:ascii="Times New Roman" w:hAnsi="Times New Roman" w:eastAsia="宋体" w:cs="Times New Roman"/>
                <w:sz w:val="24"/>
                <w:szCs w:val="24"/>
                <w:highlight w:val="none"/>
                <w:u w:val="none"/>
                <w:lang w:val="en-US" w:eastAsia="zh-CN"/>
              </w:rPr>
              <w:t>3</w:t>
            </w:r>
            <w:r>
              <w:rPr>
                <w:rFonts w:hint="default" w:ascii="Times New Roman" w:hAnsi="Times New Roman" w:eastAsia="宋体" w:cs="Times New Roman"/>
                <w:sz w:val="24"/>
                <w:szCs w:val="24"/>
                <w:highlight w:val="none"/>
                <w:u w:val="none"/>
              </w:rPr>
              <w:t>类标准。</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sz w:val="24"/>
              </w:rPr>
            </w:pPr>
            <w:r>
              <w:rPr>
                <w:rFonts w:hint="default" w:ascii="Times New Roman" w:hAnsi="Times New Roman" w:cs="Times New Roman"/>
                <w:color w:val="000000"/>
                <w:sz w:val="24"/>
                <w:szCs w:val="24"/>
                <w:highlight w:val="none"/>
              </w:rPr>
              <w:t>综上，在采取上述噪声治理措施后，经过建筑隔音和距离衰减，本项目</w:t>
            </w:r>
            <w:r>
              <w:rPr>
                <w:rFonts w:hint="default" w:ascii="Times New Roman" w:hAnsi="Times New Roman" w:cs="Times New Roman"/>
                <w:color w:val="auto"/>
                <w:sz w:val="24"/>
                <w:szCs w:val="24"/>
                <w:highlight w:val="none"/>
              </w:rPr>
              <w:t>厂界</w:t>
            </w:r>
            <w:r>
              <w:rPr>
                <w:rFonts w:hint="default" w:ascii="Times New Roman" w:hAnsi="Times New Roman" w:cs="Times New Roman"/>
                <w:color w:val="auto"/>
                <w:sz w:val="24"/>
                <w:szCs w:val="24"/>
                <w:highlight w:val="none"/>
                <w:lang w:val="en-US" w:eastAsia="zh-CN"/>
              </w:rPr>
              <w:t>昼间</w:t>
            </w:r>
            <w:r>
              <w:rPr>
                <w:rFonts w:hint="default" w:ascii="Times New Roman" w:hAnsi="Times New Roman" w:cs="Times New Roman"/>
                <w:color w:val="auto"/>
                <w:sz w:val="24"/>
                <w:szCs w:val="24"/>
                <w:highlight w:val="none"/>
              </w:rPr>
              <w:t>噪声</w:t>
            </w:r>
            <w:r>
              <w:rPr>
                <w:rFonts w:hint="default" w:ascii="Times New Roman" w:hAnsi="Times New Roman" w:cs="Times New Roman"/>
                <w:color w:val="auto"/>
                <w:sz w:val="24"/>
                <w:szCs w:val="24"/>
                <w:highlight w:val="none"/>
                <w:lang w:val="en-US" w:eastAsia="zh-CN"/>
              </w:rPr>
              <w:t>排放值</w:t>
            </w:r>
            <w:r>
              <w:rPr>
                <w:rFonts w:hint="default" w:ascii="Times New Roman" w:hAnsi="Times New Roman" w:cs="Times New Roman"/>
                <w:color w:val="000000"/>
                <w:sz w:val="24"/>
                <w:szCs w:val="24"/>
                <w:highlight w:val="none"/>
              </w:rPr>
              <w:t>满足《工业企业厂界环境噪声排放标准》（GB12348-2008</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3</w:t>
            </w:r>
            <w:r>
              <w:rPr>
                <w:rFonts w:hint="default" w:ascii="Times New Roman" w:hAnsi="Times New Roman" w:cs="Times New Roman"/>
                <w:color w:val="000000"/>
                <w:sz w:val="24"/>
                <w:szCs w:val="24"/>
                <w:highlight w:val="none"/>
              </w:rPr>
              <w:t>类标准限值要求，本项目噪声治理措施有效、可行</w:t>
            </w:r>
            <w:r>
              <w:rPr>
                <w:rFonts w:hint="default" w:ascii="Times New Roman" w:hAnsi="Times New Roman" w:cs="Times New Roman"/>
                <w:bCs/>
                <w:sz w:val="24"/>
              </w:rPr>
              <w:t>。</w:t>
            </w:r>
          </w:p>
          <w:p>
            <w:pPr>
              <w:pStyle w:val="21"/>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82" w:firstLineChars="200"/>
              <w:jc w:val="both"/>
              <w:textAlignment w:val="auto"/>
              <w:rPr>
                <w:rFonts w:hint="default" w:ascii="Times New Roman" w:hAnsi="Times New Roman" w:cs="Times New Roman"/>
                <w:b/>
              </w:rPr>
            </w:pPr>
            <w:r>
              <w:rPr>
                <w:rFonts w:hint="default" w:ascii="Times New Roman" w:hAnsi="Times New Roman" w:cs="Times New Roman"/>
                <w:b/>
              </w:rPr>
              <w:t>（</w:t>
            </w:r>
            <w:r>
              <w:rPr>
                <w:rFonts w:hint="default" w:ascii="Times New Roman" w:hAnsi="Times New Roman" w:cs="Times New Roman"/>
                <w:b/>
                <w:lang w:val="en-US" w:eastAsia="zh-CN"/>
              </w:rPr>
              <w:t>3</w:t>
            </w:r>
            <w:r>
              <w:rPr>
                <w:rFonts w:hint="default" w:ascii="Times New Roman" w:hAnsi="Times New Roman" w:cs="Times New Roman"/>
                <w:b/>
              </w:rPr>
              <w:t>）监测计划</w:t>
            </w:r>
          </w:p>
          <w:p>
            <w:pPr>
              <w:pStyle w:val="2"/>
              <w:keepNext w:val="0"/>
              <w:keepLines w:val="0"/>
              <w:pageBreakBefore w:val="0"/>
              <w:kinsoku/>
              <w:wordWrap/>
              <w:overflowPunct/>
              <w:topLinePunct w:val="0"/>
              <w:autoSpaceDE/>
              <w:autoSpaceDN/>
              <w:bidi w:val="0"/>
              <w:adjustRightInd w:val="0"/>
              <w:spacing w:before="0" w:after="0" w:line="360" w:lineRule="auto"/>
              <w:ind w:left="420" w:leftChars="200" w:right="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本项目噪声监测计划如下表所示。</w:t>
            </w:r>
          </w:p>
          <w:p>
            <w:pPr>
              <w:pStyle w:val="2"/>
              <w:adjustRightInd w:val="0"/>
              <w:spacing w:before="0" w:after="0" w:line="240" w:lineRule="auto"/>
              <w:ind w:left="420" w:leftChars="20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表4-</w:t>
            </w:r>
            <w:r>
              <w:rPr>
                <w:rFonts w:hint="eastAsia" w:cs="Times New Roman"/>
                <w:b/>
                <w:bCs/>
                <w:sz w:val="21"/>
                <w:szCs w:val="21"/>
                <w:lang w:val="en-US" w:eastAsia="zh-CN"/>
              </w:rPr>
              <w:t>7</w:t>
            </w:r>
            <w:r>
              <w:rPr>
                <w:rFonts w:hint="default" w:ascii="Times New Roman" w:hAnsi="Times New Roman" w:cs="Times New Roman"/>
                <w:b/>
                <w:bCs/>
                <w:sz w:val="21"/>
                <w:szCs w:val="21"/>
              </w:rPr>
              <w:t xml:space="preserve"> 噪声环境监测计划</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529"/>
              <w:gridCol w:w="1185"/>
              <w:gridCol w:w="3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2" w:type="dxa"/>
                  <w:tcBorders>
                    <w:tl2br w:val="nil"/>
                    <w:tr2bl w:val="nil"/>
                  </w:tcBorders>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类别</w:t>
                  </w:r>
                </w:p>
              </w:tc>
              <w:tc>
                <w:tcPr>
                  <w:tcW w:w="1529" w:type="dxa"/>
                  <w:tcBorders>
                    <w:tl2br w:val="nil"/>
                    <w:tr2bl w:val="nil"/>
                  </w:tcBorders>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监测位置</w:t>
                  </w:r>
                </w:p>
              </w:tc>
              <w:tc>
                <w:tcPr>
                  <w:tcW w:w="1185" w:type="dxa"/>
                  <w:tcBorders>
                    <w:tl2br w:val="nil"/>
                    <w:tr2bl w:val="nil"/>
                  </w:tcBorders>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监测项目</w:t>
                  </w:r>
                </w:p>
              </w:tc>
              <w:tc>
                <w:tcPr>
                  <w:tcW w:w="3767" w:type="dxa"/>
                  <w:tcBorders>
                    <w:tl2br w:val="nil"/>
                    <w:tr2bl w:val="nil"/>
                  </w:tcBorders>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2" w:type="dxa"/>
                  <w:tcBorders>
                    <w:tl2br w:val="nil"/>
                    <w:tr2bl w:val="nil"/>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噪声</w:t>
                  </w:r>
                </w:p>
              </w:tc>
              <w:tc>
                <w:tcPr>
                  <w:tcW w:w="1529" w:type="dxa"/>
                  <w:tcBorders>
                    <w:tl2br w:val="nil"/>
                    <w:tr2bl w:val="nil"/>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厂界4周</w:t>
                  </w:r>
                </w:p>
              </w:tc>
              <w:tc>
                <w:tcPr>
                  <w:tcW w:w="1185" w:type="dxa"/>
                  <w:tcBorders>
                    <w:tl2br w:val="nil"/>
                    <w:tr2bl w:val="nil"/>
                  </w:tcBorders>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厂界噪声</w:t>
                  </w:r>
                </w:p>
              </w:tc>
              <w:tc>
                <w:tcPr>
                  <w:tcW w:w="3767" w:type="dxa"/>
                  <w:tcBorders>
                    <w:tl2br w:val="nil"/>
                    <w:tr2bl w:val="nil"/>
                  </w:tcBorders>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4次/年，每次1天，每天昼、夜各1次</w:t>
                  </w:r>
                </w:p>
              </w:tc>
            </w:tr>
          </w:tbl>
          <w:p>
            <w:pPr>
              <w:adjustRightInd w:val="0"/>
              <w:snapToGrid w:val="0"/>
              <w:spacing w:before="120" w:beforeLines="50" w:line="360" w:lineRule="auto"/>
              <w:ind w:firstLine="482" w:firstLineChars="200"/>
              <w:rPr>
                <w:rFonts w:hint="default" w:ascii="Times New Roman" w:hAnsi="Times New Roman" w:cs="Times New Roman"/>
                <w:b/>
                <w:sz w:val="24"/>
                <w:szCs w:val="28"/>
              </w:rPr>
            </w:pPr>
            <w:r>
              <w:rPr>
                <w:rFonts w:hint="default" w:ascii="Times New Roman" w:hAnsi="Times New Roman" w:cs="Times New Roman"/>
                <w:b/>
                <w:sz w:val="24"/>
                <w:szCs w:val="28"/>
              </w:rPr>
              <w:t>1.4</w:t>
            </w:r>
            <w:r>
              <w:rPr>
                <w:rFonts w:hint="default" w:ascii="Times New Roman" w:hAnsi="Times New Roman" w:cs="Times New Roman"/>
                <w:b/>
                <w:sz w:val="24"/>
              </w:rPr>
              <w:t>营运</w:t>
            </w:r>
            <w:r>
              <w:rPr>
                <w:rFonts w:hint="default" w:ascii="Times New Roman" w:hAnsi="Times New Roman" w:cs="Times New Roman"/>
                <w:b/>
                <w:sz w:val="24"/>
                <w:szCs w:val="28"/>
              </w:rPr>
              <w:t>期固废影响分析</w:t>
            </w:r>
          </w:p>
          <w:p>
            <w:pPr>
              <w:pStyle w:val="2"/>
              <w:adjustRightInd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本项目运营期产生的固体废物主要为一般固体废物、危险废物。</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一般固废主要为生活垃圾；</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危险废物包括：废机油及桶、</w:t>
            </w:r>
            <w:bookmarkStart w:id="9" w:name="_Hlk79490097"/>
            <w:r>
              <w:rPr>
                <w:rFonts w:hint="default" w:ascii="Times New Roman" w:hAnsi="Times New Roman" w:cs="Times New Roman"/>
                <w:sz w:val="24"/>
              </w:rPr>
              <w:t>废含油手套抹布、油水分离器废油</w:t>
            </w:r>
            <w:bookmarkEnd w:id="9"/>
            <w:r>
              <w:rPr>
                <w:rFonts w:hint="default" w:ascii="Times New Roman" w:hAnsi="Times New Roman" w:cs="Times New Roman"/>
                <w:sz w:val="24"/>
              </w:rPr>
              <w:t>。</w:t>
            </w:r>
          </w:p>
          <w:p>
            <w:pPr>
              <w:pStyle w:val="2"/>
              <w:numPr>
                <w:ilvl w:val="0"/>
                <w:numId w:val="6"/>
              </w:numPr>
              <w:adjustRightInd w:val="0"/>
              <w:spacing w:before="0" w:after="0" w:line="360" w:lineRule="auto"/>
              <w:ind w:right="0" w:firstLine="482"/>
              <w:rPr>
                <w:rFonts w:hint="default" w:ascii="Times New Roman" w:hAnsi="Times New Roman" w:cs="Times New Roman"/>
                <w:b/>
                <w:bCs/>
                <w:sz w:val="24"/>
                <w:szCs w:val="24"/>
              </w:rPr>
            </w:pPr>
            <w:r>
              <w:rPr>
                <w:rFonts w:hint="default" w:ascii="Times New Roman" w:hAnsi="Times New Roman" w:cs="Times New Roman"/>
                <w:b/>
                <w:bCs/>
                <w:sz w:val="24"/>
                <w:szCs w:val="24"/>
              </w:rPr>
              <w:t>一般固废</w:t>
            </w:r>
          </w:p>
          <w:p>
            <w:pPr>
              <w:pStyle w:val="2"/>
              <w:adjustRightInd w:val="0"/>
              <w:spacing w:before="0" w:after="0" w:line="360" w:lineRule="auto"/>
              <w:ind w:right="0" w:firstLine="482" w:firstLineChars="200"/>
              <w:rPr>
                <w:rFonts w:hint="default" w:ascii="Times New Roman" w:hAnsi="Times New Roman" w:cs="Times New Roman"/>
                <w:sz w:val="24"/>
                <w:szCs w:val="24"/>
              </w:rPr>
            </w:pPr>
            <w:r>
              <w:rPr>
                <w:rFonts w:hint="default" w:ascii="Times New Roman" w:hAnsi="Times New Roman" w:cs="Times New Roman"/>
                <w:b/>
                <w:bCs/>
                <w:sz w:val="24"/>
                <w:szCs w:val="24"/>
              </w:rPr>
              <w:t>生活垃圾：</w:t>
            </w:r>
            <w:r>
              <w:rPr>
                <w:rFonts w:hint="default" w:ascii="Times New Roman" w:hAnsi="Times New Roman" w:cs="Times New Roman"/>
                <w:sz w:val="24"/>
                <w:szCs w:val="24"/>
              </w:rPr>
              <w:t>本项目定员10人，生活垃圾产生量按0.5kg/人·d计，则生活垃圾产生量为5kg/d，1.725t/a。生活垃圾由环卫部门统一收集处理。</w:t>
            </w:r>
          </w:p>
          <w:p>
            <w:pPr>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（2）危险废物</w:t>
            </w:r>
          </w:p>
          <w:p>
            <w:pPr>
              <w:adjustRightInd w:val="0"/>
              <w:snapToGrid w:val="0"/>
              <w:spacing w:line="360" w:lineRule="auto"/>
              <w:ind w:firstLine="482" w:firstLineChars="200"/>
              <w:rPr>
                <w:rFonts w:hint="default" w:ascii="Times New Roman" w:hAnsi="Times New Roman" w:cs="Times New Roman"/>
                <w:kern w:val="0"/>
                <w:sz w:val="24"/>
                <w:lang w:bidi="ar"/>
              </w:rPr>
            </w:pPr>
            <w:r>
              <w:rPr>
                <w:rFonts w:hint="default" w:ascii="Times New Roman" w:hAnsi="Times New Roman" w:cs="Times New Roman"/>
                <w:b/>
                <w:bCs/>
                <w:kern w:val="0"/>
                <w:sz w:val="24"/>
                <w:lang w:bidi="ar"/>
              </w:rPr>
              <w:t>废机油及桶</w:t>
            </w:r>
            <w:r>
              <w:rPr>
                <w:rFonts w:hint="default" w:ascii="Times New Roman" w:hAnsi="Times New Roman" w:cs="Times New Roman"/>
                <w:kern w:val="0"/>
                <w:sz w:val="24"/>
                <w:lang w:bidi="ar"/>
              </w:rPr>
              <w:t>：主要包括设备保养维护、设备检修过程产生的废机油。根据《国家危险废物名录》，废油属于危险固废（HW08）。根据建设单位提供信息，废油年产生量为0.01t/a。收集后采用原始桶盛装暂存于危废暂存间，定期交由资质单位处理。</w:t>
            </w:r>
          </w:p>
          <w:p>
            <w:pPr>
              <w:adjustRightInd w:val="0"/>
              <w:snapToGrid w:val="0"/>
              <w:spacing w:line="360" w:lineRule="auto"/>
              <w:ind w:firstLine="482" w:firstLineChars="200"/>
              <w:rPr>
                <w:rFonts w:hint="default" w:ascii="Times New Roman" w:hAnsi="Times New Roman" w:cs="Times New Roman"/>
                <w:kern w:val="0"/>
                <w:sz w:val="24"/>
                <w:lang w:bidi="ar"/>
              </w:rPr>
            </w:pPr>
            <w:r>
              <w:rPr>
                <w:rFonts w:hint="default" w:ascii="Times New Roman" w:hAnsi="Times New Roman" w:cs="Times New Roman"/>
                <w:b/>
                <w:bCs/>
                <w:kern w:val="0"/>
                <w:sz w:val="24"/>
                <w:lang w:bidi="ar"/>
              </w:rPr>
              <w:t>废含油手套及棉纱：</w:t>
            </w:r>
            <w:r>
              <w:rPr>
                <w:rFonts w:hint="default" w:ascii="Times New Roman" w:hAnsi="Times New Roman" w:cs="Times New Roman"/>
                <w:kern w:val="0"/>
                <w:sz w:val="24"/>
                <w:lang w:bidi="ar"/>
              </w:rPr>
              <w:t xml:space="preserve">本项目机械维修过程中会产生少量的含油手套和抹布，产生量约0.01t/a，根据《国家危险废物名录》（2016年8月1日），属于危险废物，收集后暂存，定期交由资质单位处理。。 </w:t>
            </w:r>
          </w:p>
          <w:p>
            <w:pPr>
              <w:adjustRightInd w:val="0"/>
              <w:snapToGrid w:val="0"/>
              <w:spacing w:line="360" w:lineRule="auto"/>
              <w:ind w:firstLine="480" w:firstLineChars="200"/>
              <w:rPr>
                <w:rFonts w:hint="default" w:ascii="Times New Roman" w:hAnsi="Times New Roman" w:cs="Times New Roman"/>
                <w:kern w:val="0"/>
                <w:sz w:val="24"/>
                <w:lang w:bidi="ar"/>
              </w:rPr>
            </w:pPr>
            <w:r>
              <w:rPr>
                <w:rFonts w:hint="default" w:ascii="Times New Roman" w:hAnsi="Times New Roman" w:cs="Times New Roman"/>
                <w:kern w:val="0"/>
                <w:sz w:val="24"/>
                <w:lang w:bidi="ar"/>
              </w:rPr>
              <w:t>本项目固废排放情况及处置措施见下表。</w:t>
            </w:r>
          </w:p>
          <w:p>
            <w:pPr>
              <w:widowControl/>
              <w:jc w:val="center"/>
              <w:rPr>
                <w:rFonts w:hint="default" w:ascii="Times New Roman" w:hAnsi="Times New Roman" w:cs="Times New Roman" w:eastAsiaTheme="minorEastAsia"/>
                <w:szCs w:val="21"/>
              </w:rPr>
            </w:pPr>
            <w:r>
              <w:rPr>
                <w:rFonts w:hint="default" w:ascii="Times New Roman" w:hAnsi="Times New Roman" w:cs="Times New Roman" w:eastAsiaTheme="minorEastAsia"/>
                <w:b/>
                <w:bCs/>
                <w:kern w:val="0"/>
                <w:szCs w:val="21"/>
              </w:rPr>
              <w:t>表4-</w:t>
            </w:r>
            <w:r>
              <w:rPr>
                <w:rFonts w:hint="eastAsia" w:cs="Times New Roman" w:eastAsiaTheme="minorEastAsia"/>
                <w:b/>
                <w:bCs/>
                <w:kern w:val="0"/>
                <w:szCs w:val="21"/>
                <w:lang w:val="en-US" w:eastAsia="zh-CN"/>
              </w:rPr>
              <w:t>8</w:t>
            </w:r>
            <w:r>
              <w:rPr>
                <w:rFonts w:hint="default" w:ascii="Times New Roman" w:hAnsi="Times New Roman" w:cs="Times New Roman" w:eastAsiaTheme="minorEastAsia"/>
                <w:b/>
                <w:bCs/>
                <w:kern w:val="0"/>
                <w:szCs w:val="21"/>
              </w:rPr>
              <w:t xml:space="preserve">  固废产生及处置措施一览表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5"/>
              <w:gridCol w:w="685"/>
              <w:gridCol w:w="2919"/>
              <w:gridCol w:w="1440"/>
              <w:gridCol w:w="22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49" w:type="pct"/>
                  <w:vAlign w:val="center"/>
                </w:tcPr>
                <w:p>
                  <w:pPr>
                    <w:jc w:val="center"/>
                    <w:rPr>
                      <w:rFonts w:hint="default" w:ascii="Times New Roman" w:hAnsi="Times New Roman" w:cs="Times New Roman" w:eastAsiaTheme="minorEastAsia"/>
                      <w:b/>
                      <w:szCs w:val="21"/>
                    </w:rPr>
                  </w:pPr>
                  <w:r>
                    <w:rPr>
                      <w:rFonts w:hint="default" w:ascii="Times New Roman" w:hAnsi="Times New Roman" w:cs="Times New Roman" w:eastAsiaTheme="minorEastAsia"/>
                      <w:b/>
                      <w:szCs w:val="21"/>
                    </w:rPr>
                    <w:t>序号</w:t>
                  </w:r>
                </w:p>
              </w:tc>
              <w:tc>
                <w:tcPr>
                  <w:tcW w:w="430" w:type="pct"/>
                  <w:vAlign w:val="center"/>
                </w:tcPr>
                <w:p>
                  <w:pPr>
                    <w:jc w:val="center"/>
                    <w:rPr>
                      <w:rFonts w:hint="default" w:ascii="Times New Roman" w:hAnsi="Times New Roman" w:cs="Times New Roman" w:eastAsiaTheme="minorEastAsia"/>
                      <w:b/>
                      <w:szCs w:val="21"/>
                    </w:rPr>
                  </w:pPr>
                  <w:r>
                    <w:rPr>
                      <w:rFonts w:hint="default" w:ascii="Times New Roman" w:hAnsi="Times New Roman" w:cs="Times New Roman" w:eastAsiaTheme="minorEastAsia"/>
                      <w:b/>
                      <w:szCs w:val="21"/>
                    </w:rPr>
                    <w:t>类型</w:t>
                  </w:r>
                </w:p>
              </w:tc>
              <w:tc>
                <w:tcPr>
                  <w:tcW w:w="1831" w:type="pct"/>
                  <w:vAlign w:val="center"/>
                </w:tcPr>
                <w:p>
                  <w:pPr>
                    <w:jc w:val="center"/>
                    <w:rPr>
                      <w:rFonts w:hint="default" w:ascii="Times New Roman" w:hAnsi="Times New Roman" w:cs="Times New Roman" w:eastAsiaTheme="minorEastAsia"/>
                      <w:b/>
                      <w:szCs w:val="21"/>
                    </w:rPr>
                  </w:pPr>
                  <w:r>
                    <w:rPr>
                      <w:rFonts w:hint="default" w:ascii="Times New Roman" w:hAnsi="Times New Roman" w:cs="Times New Roman" w:eastAsiaTheme="minorEastAsia"/>
                      <w:b/>
                      <w:szCs w:val="21"/>
                    </w:rPr>
                    <w:t>污染物</w:t>
                  </w:r>
                </w:p>
              </w:tc>
              <w:tc>
                <w:tcPr>
                  <w:tcW w:w="904" w:type="pct"/>
                  <w:vAlign w:val="center"/>
                </w:tcPr>
                <w:p>
                  <w:pPr>
                    <w:jc w:val="center"/>
                    <w:rPr>
                      <w:rFonts w:hint="default" w:ascii="Times New Roman" w:hAnsi="Times New Roman" w:cs="Times New Roman" w:eastAsiaTheme="minorEastAsia"/>
                      <w:b/>
                      <w:szCs w:val="21"/>
                    </w:rPr>
                  </w:pPr>
                  <w:r>
                    <w:rPr>
                      <w:rFonts w:hint="default" w:ascii="Times New Roman" w:hAnsi="Times New Roman" w:cs="Times New Roman" w:eastAsiaTheme="minorEastAsia"/>
                      <w:b/>
                      <w:szCs w:val="21"/>
                    </w:rPr>
                    <w:t>排放量（t/a）</w:t>
                  </w:r>
                </w:p>
              </w:tc>
              <w:tc>
                <w:tcPr>
                  <w:tcW w:w="1383" w:type="pct"/>
                  <w:vAlign w:val="center"/>
                </w:tcPr>
                <w:p>
                  <w:pPr>
                    <w:jc w:val="center"/>
                    <w:rPr>
                      <w:rFonts w:hint="default" w:ascii="Times New Roman" w:hAnsi="Times New Roman" w:cs="Times New Roman" w:eastAsiaTheme="minorEastAsia"/>
                      <w:b/>
                      <w:szCs w:val="21"/>
                    </w:rPr>
                  </w:pPr>
                  <w:r>
                    <w:rPr>
                      <w:rFonts w:hint="default" w:ascii="Times New Roman" w:hAnsi="Times New Roman" w:cs="Times New Roman" w:eastAsiaTheme="minorEastAsia"/>
                      <w:b/>
                      <w:szCs w:val="21"/>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9"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430"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一般废物</w:t>
                  </w:r>
                </w:p>
              </w:tc>
              <w:tc>
                <w:tcPr>
                  <w:tcW w:w="1831"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生活垃圾</w:t>
                  </w:r>
                </w:p>
              </w:tc>
              <w:tc>
                <w:tcPr>
                  <w:tcW w:w="904"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1.725</w:t>
                  </w:r>
                </w:p>
              </w:tc>
              <w:tc>
                <w:tcPr>
                  <w:tcW w:w="138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711" w:type="pct"/>
                  <w:gridSpan w:val="3"/>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一般固废量总计</w:t>
                  </w:r>
                </w:p>
              </w:tc>
              <w:tc>
                <w:tcPr>
                  <w:tcW w:w="904" w:type="pc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1.725</w:t>
                  </w:r>
                </w:p>
              </w:tc>
              <w:tc>
                <w:tcPr>
                  <w:tcW w:w="1383" w:type="pc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9"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430"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危废废物</w:t>
                  </w:r>
                </w:p>
              </w:tc>
              <w:tc>
                <w:tcPr>
                  <w:tcW w:w="1831"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废机油及桶</w:t>
                  </w:r>
                </w:p>
              </w:tc>
              <w:tc>
                <w:tcPr>
                  <w:tcW w:w="904"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0.01</w:t>
                  </w:r>
                </w:p>
              </w:tc>
              <w:tc>
                <w:tcPr>
                  <w:tcW w:w="1383"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交资质单位处置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9" w:type="pct"/>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w:t>
                  </w:r>
                </w:p>
              </w:tc>
              <w:tc>
                <w:tcPr>
                  <w:tcW w:w="430" w:type="pct"/>
                  <w:vMerge w:val="continue"/>
                  <w:vAlign w:val="center"/>
                </w:tcPr>
                <w:p>
                  <w:pPr>
                    <w:jc w:val="center"/>
                    <w:rPr>
                      <w:rFonts w:hint="default" w:ascii="Times New Roman" w:hAnsi="Times New Roman" w:cs="Times New Roman"/>
                      <w:szCs w:val="21"/>
                    </w:rPr>
                  </w:pPr>
                </w:p>
              </w:tc>
              <w:tc>
                <w:tcPr>
                  <w:tcW w:w="1831"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废含油手套抹布</w:t>
                  </w:r>
                </w:p>
              </w:tc>
              <w:tc>
                <w:tcPr>
                  <w:tcW w:w="904"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0.01</w:t>
                  </w:r>
                </w:p>
              </w:tc>
              <w:tc>
                <w:tcPr>
                  <w:tcW w:w="1383" w:type="pct"/>
                  <w:vMerge w:val="continue"/>
                  <w:vAlign w:val="center"/>
                </w:tcPr>
                <w:p>
                  <w:pPr>
                    <w:jc w:val="center"/>
                    <w:rPr>
                      <w:rFonts w:hint="default" w:ascii="Times New Roman" w:hAnsi="Times New Roman" w:cs="Times New Roman"/>
                      <w:bCs/>
                      <w:spacing w:val="-2"/>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711" w:type="pct"/>
                  <w:gridSpan w:val="3"/>
                  <w:vAlign w:val="center"/>
                </w:tcPr>
                <w:p>
                  <w:pPr>
                    <w:jc w:val="center"/>
                    <w:rPr>
                      <w:rFonts w:hint="default" w:ascii="Times New Roman" w:hAnsi="Times New Roman" w:cs="Times New Roman"/>
                      <w:szCs w:val="21"/>
                    </w:rPr>
                  </w:pPr>
                  <w:r>
                    <w:rPr>
                      <w:rFonts w:hint="default" w:ascii="Times New Roman" w:hAnsi="Times New Roman" w:cs="Times New Roman"/>
                      <w:b/>
                      <w:szCs w:val="21"/>
                    </w:rPr>
                    <w:t>危险废物量总计</w:t>
                  </w:r>
                </w:p>
              </w:tc>
              <w:tc>
                <w:tcPr>
                  <w:tcW w:w="904" w:type="pct"/>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0.0</w:t>
                  </w:r>
                  <w:r>
                    <w:rPr>
                      <w:rFonts w:hint="default" w:ascii="Times New Roman" w:hAnsi="Times New Roman" w:cs="Times New Roman"/>
                      <w:szCs w:val="21"/>
                      <w:lang w:val="en-US" w:eastAsia="zh-CN"/>
                    </w:rPr>
                    <w:t>2</w:t>
                  </w:r>
                </w:p>
              </w:tc>
              <w:tc>
                <w:tcPr>
                  <w:tcW w:w="1383" w:type="pct"/>
                  <w:vAlign w:val="center"/>
                </w:tcPr>
                <w:p>
                  <w:pPr>
                    <w:jc w:val="center"/>
                    <w:rPr>
                      <w:rFonts w:hint="default" w:ascii="Times New Roman" w:hAnsi="Times New Roman" w:cs="Times New Roman"/>
                      <w:bCs/>
                      <w:spacing w:val="-2"/>
                      <w:szCs w:val="21"/>
                    </w:rPr>
                  </w:pPr>
                  <w:r>
                    <w:rPr>
                      <w:rFonts w:hint="default" w:ascii="Times New Roman" w:hAnsi="Times New Roman" w:cs="Times New Roman"/>
                      <w:b/>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711" w:type="pct"/>
                  <w:gridSpan w:val="3"/>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总计</w:t>
                  </w:r>
                </w:p>
              </w:tc>
              <w:tc>
                <w:tcPr>
                  <w:tcW w:w="904" w:type="pct"/>
                  <w:vAlign w:val="center"/>
                </w:tcPr>
                <w:p>
                  <w:pPr>
                    <w:jc w:val="center"/>
                    <w:rPr>
                      <w:rFonts w:hint="default" w:ascii="Times New Roman" w:hAnsi="Times New Roman" w:eastAsia="宋体" w:cs="Times New Roman"/>
                      <w:b/>
                      <w:szCs w:val="21"/>
                      <w:lang w:val="en-US" w:eastAsia="zh-CN"/>
                    </w:rPr>
                  </w:pPr>
                  <w:r>
                    <w:rPr>
                      <w:rFonts w:hint="default" w:ascii="Times New Roman" w:hAnsi="Times New Roman" w:cs="Times New Roman"/>
                      <w:b/>
                      <w:szCs w:val="21"/>
                      <w:lang w:val="en-US" w:eastAsia="zh-CN"/>
                    </w:rPr>
                    <w:t>1.745</w:t>
                  </w:r>
                </w:p>
              </w:tc>
              <w:tc>
                <w:tcPr>
                  <w:tcW w:w="1383" w:type="pc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w:t>
                  </w:r>
                </w:p>
              </w:tc>
            </w:tr>
          </w:tbl>
          <w:p>
            <w:pPr>
              <w:adjustRightInd w:val="0"/>
              <w:snapToGrid w:val="0"/>
              <w:spacing w:before="120" w:beforeLines="50" w:line="360" w:lineRule="auto"/>
              <w:ind w:firstLine="480" w:firstLineChars="200"/>
              <w:rPr>
                <w:rStyle w:val="88"/>
                <w:rFonts w:hint="default" w:ascii="Times New Roman" w:hAnsi="Times New Roman" w:eastAsia="宋体" w:cs="Times New Roman"/>
                <w:szCs w:val="21"/>
              </w:rPr>
            </w:pPr>
            <w:r>
              <w:rPr>
                <w:rStyle w:val="88"/>
                <w:rFonts w:hint="default" w:ascii="Times New Roman" w:hAnsi="Times New Roman" w:eastAsia="宋体" w:cs="Times New Roman"/>
              </w:rPr>
              <w:t>其中危险废物按照《建设项目危险废物环境影响评价指南》（环保部公告2017年第43号）要求，其产生、处理汇总情况及贮存场所（设施）基本情况见下表：</w:t>
            </w:r>
          </w:p>
          <w:p>
            <w:pPr>
              <w:pStyle w:val="90"/>
              <w:ind w:firstLine="440"/>
              <w:rPr>
                <w:rStyle w:val="88"/>
                <w:rFonts w:hint="default" w:ascii="Times New Roman" w:hAnsi="Times New Roman" w:eastAsia="宋体" w:cs="Times New Roman"/>
                <w:bCs w:val="0"/>
                <w:color w:val="auto"/>
                <w:sz w:val="21"/>
                <w:szCs w:val="21"/>
              </w:rPr>
            </w:pPr>
            <w:r>
              <w:rPr>
                <w:rStyle w:val="88"/>
                <w:rFonts w:hint="default" w:ascii="Times New Roman" w:hAnsi="Times New Roman" w:eastAsia="宋体" w:cs="Times New Roman"/>
                <w:bCs w:val="0"/>
                <w:color w:val="auto"/>
                <w:sz w:val="21"/>
                <w:szCs w:val="21"/>
              </w:rPr>
              <w:t>表4-</w:t>
            </w:r>
            <w:r>
              <w:rPr>
                <w:rStyle w:val="88"/>
                <w:rFonts w:hint="eastAsia" w:ascii="Times New Roman" w:hAnsi="Times New Roman" w:cs="Times New Roman"/>
                <w:bCs w:val="0"/>
                <w:color w:val="auto"/>
                <w:sz w:val="21"/>
                <w:szCs w:val="21"/>
                <w:lang w:val="en-US" w:eastAsia="zh-CN"/>
              </w:rPr>
              <w:t>9</w:t>
            </w:r>
            <w:r>
              <w:rPr>
                <w:rStyle w:val="88"/>
                <w:rFonts w:hint="default" w:ascii="Times New Roman" w:hAnsi="Times New Roman" w:eastAsia="宋体" w:cs="Times New Roman"/>
                <w:bCs w:val="0"/>
                <w:color w:val="auto"/>
                <w:sz w:val="21"/>
                <w:szCs w:val="21"/>
              </w:rPr>
              <w:t xml:space="preserve">  危险废物汇总表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7"/>
              <w:gridCol w:w="1090"/>
              <w:gridCol w:w="784"/>
              <w:gridCol w:w="1113"/>
              <w:gridCol w:w="883"/>
              <w:gridCol w:w="857"/>
              <w:gridCol w:w="663"/>
              <w:gridCol w:w="799"/>
              <w:gridCol w:w="708"/>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10"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序号</w:t>
                  </w:r>
                </w:p>
              </w:tc>
              <w:tc>
                <w:tcPr>
                  <w:tcW w:w="1162"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危险废物名称</w:t>
                  </w:r>
                </w:p>
              </w:tc>
              <w:tc>
                <w:tcPr>
                  <w:tcW w:w="835"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危险废</w:t>
                  </w:r>
                </w:p>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物类别</w:t>
                  </w:r>
                </w:p>
              </w:tc>
              <w:tc>
                <w:tcPr>
                  <w:tcW w:w="1187"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危险废物代码</w:t>
                  </w:r>
                </w:p>
              </w:tc>
              <w:tc>
                <w:tcPr>
                  <w:tcW w:w="941"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产生量（吨/年）</w:t>
                  </w:r>
                </w:p>
              </w:tc>
              <w:tc>
                <w:tcPr>
                  <w:tcW w:w="913"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产生工序及装置</w:t>
                  </w:r>
                </w:p>
              </w:tc>
              <w:tc>
                <w:tcPr>
                  <w:tcW w:w="705"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形态</w:t>
                  </w:r>
                </w:p>
              </w:tc>
              <w:tc>
                <w:tcPr>
                  <w:tcW w:w="851"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产废周期</w:t>
                  </w:r>
                </w:p>
              </w:tc>
              <w:tc>
                <w:tcPr>
                  <w:tcW w:w="754"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危险</w:t>
                  </w:r>
                </w:p>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特性</w:t>
                  </w:r>
                </w:p>
              </w:tc>
              <w:tc>
                <w:tcPr>
                  <w:tcW w:w="712"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污染防</w:t>
                  </w:r>
                </w:p>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10"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116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废机油及桶</w:t>
                  </w:r>
                </w:p>
              </w:tc>
              <w:tc>
                <w:tcPr>
                  <w:tcW w:w="83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HW08</w:t>
                  </w:r>
                </w:p>
              </w:tc>
              <w:tc>
                <w:tcPr>
                  <w:tcW w:w="1187" w:type="dxa"/>
                  <w:vAlign w:val="center"/>
                </w:tcPr>
                <w:p>
                  <w:pPr>
                    <w:widowControl/>
                    <w:jc w:val="center"/>
                    <w:rPr>
                      <w:rFonts w:hint="default" w:ascii="Times New Roman" w:hAnsi="Times New Roman" w:cs="Times New Roman"/>
                      <w:kern w:val="0"/>
                      <w:szCs w:val="21"/>
                      <w:lang w:bidi="ar"/>
                    </w:rPr>
                  </w:pPr>
                  <w:r>
                    <w:rPr>
                      <w:rFonts w:hint="default" w:ascii="Times New Roman" w:hAnsi="Times New Roman" w:cs="Times New Roman"/>
                      <w:kern w:val="0"/>
                      <w:szCs w:val="21"/>
                    </w:rPr>
                    <w:t>900-249-08</w:t>
                  </w:r>
                </w:p>
              </w:tc>
              <w:tc>
                <w:tcPr>
                  <w:tcW w:w="941" w:type="dxa"/>
                  <w:vAlign w:val="center"/>
                </w:tcPr>
                <w:p>
                  <w:pPr>
                    <w:jc w:val="center"/>
                    <w:rPr>
                      <w:rFonts w:hint="default" w:ascii="Times New Roman" w:hAnsi="Times New Roman" w:cs="Times New Roman"/>
                      <w:kern w:val="0"/>
                      <w:szCs w:val="21"/>
                      <w:lang w:bidi="ar"/>
                    </w:rPr>
                  </w:pPr>
                  <w:r>
                    <w:rPr>
                      <w:rFonts w:hint="default" w:ascii="Times New Roman" w:hAnsi="Times New Roman" w:cs="Times New Roman"/>
                      <w:szCs w:val="21"/>
                    </w:rPr>
                    <w:t>0.01</w:t>
                  </w:r>
                </w:p>
              </w:tc>
              <w:tc>
                <w:tcPr>
                  <w:tcW w:w="91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生产</w:t>
                  </w:r>
                </w:p>
              </w:tc>
              <w:tc>
                <w:tcPr>
                  <w:tcW w:w="70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液态</w:t>
                  </w:r>
                </w:p>
              </w:tc>
              <w:tc>
                <w:tcPr>
                  <w:tcW w:w="85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1个月</w:t>
                  </w:r>
                </w:p>
              </w:tc>
              <w:tc>
                <w:tcPr>
                  <w:tcW w:w="75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T/I</w:t>
                  </w:r>
                </w:p>
              </w:tc>
              <w:tc>
                <w:tcPr>
                  <w:tcW w:w="712" w:type="dxa"/>
                  <w:vMerge w:val="restart"/>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交资质单位处置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1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2</w:t>
                  </w:r>
                </w:p>
              </w:tc>
              <w:tc>
                <w:tcPr>
                  <w:tcW w:w="1162"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废含油手套抹布</w:t>
                  </w:r>
                </w:p>
              </w:tc>
              <w:tc>
                <w:tcPr>
                  <w:tcW w:w="835"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HW49</w:t>
                  </w:r>
                </w:p>
              </w:tc>
              <w:tc>
                <w:tcPr>
                  <w:tcW w:w="1187"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900-041-49</w:t>
                  </w:r>
                </w:p>
              </w:tc>
              <w:tc>
                <w:tcPr>
                  <w:tcW w:w="941"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0.01</w:t>
                  </w:r>
                </w:p>
              </w:tc>
              <w:tc>
                <w:tcPr>
                  <w:tcW w:w="913"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生产</w:t>
                  </w:r>
                </w:p>
              </w:tc>
              <w:tc>
                <w:tcPr>
                  <w:tcW w:w="705"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固态</w:t>
                  </w:r>
                </w:p>
              </w:tc>
              <w:tc>
                <w:tcPr>
                  <w:tcW w:w="851"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1个月</w:t>
                  </w:r>
                </w:p>
              </w:tc>
              <w:tc>
                <w:tcPr>
                  <w:tcW w:w="75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I</w:t>
                  </w:r>
                </w:p>
              </w:tc>
              <w:tc>
                <w:tcPr>
                  <w:tcW w:w="712" w:type="dxa"/>
                  <w:vMerge w:val="continue"/>
                  <w:vAlign w:val="center"/>
                </w:tcPr>
                <w:p>
                  <w:pPr>
                    <w:jc w:val="center"/>
                    <w:rPr>
                      <w:rFonts w:hint="default" w:ascii="Times New Roman" w:hAnsi="Times New Roman" w:cs="Times New Roman"/>
                      <w:kern w:val="0"/>
                      <w:szCs w:val="21"/>
                    </w:rPr>
                  </w:pPr>
                </w:p>
              </w:tc>
            </w:tr>
          </w:tbl>
          <w:p>
            <w:pPr>
              <w:pStyle w:val="90"/>
              <w:ind w:firstLine="440"/>
              <w:rPr>
                <w:rStyle w:val="88"/>
                <w:rFonts w:hint="default" w:ascii="Times New Roman" w:hAnsi="Times New Roman" w:eastAsia="宋体" w:cs="Times New Roman"/>
                <w:bCs w:val="0"/>
                <w:color w:val="auto"/>
                <w:sz w:val="21"/>
                <w:szCs w:val="21"/>
              </w:rPr>
            </w:pPr>
            <w:r>
              <w:rPr>
                <w:rStyle w:val="88"/>
                <w:rFonts w:hint="default" w:ascii="Times New Roman" w:hAnsi="Times New Roman" w:eastAsia="宋体" w:cs="Times New Roman"/>
                <w:bCs w:val="0"/>
                <w:color w:val="auto"/>
                <w:sz w:val="21"/>
                <w:szCs w:val="21"/>
              </w:rPr>
              <w:t>表4-1</w:t>
            </w:r>
            <w:r>
              <w:rPr>
                <w:rStyle w:val="88"/>
                <w:rFonts w:hint="eastAsia" w:ascii="Times New Roman" w:hAnsi="Times New Roman" w:cs="Times New Roman"/>
                <w:bCs w:val="0"/>
                <w:color w:val="auto"/>
                <w:sz w:val="21"/>
                <w:szCs w:val="21"/>
                <w:lang w:val="en-US" w:eastAsia="zh-CN"/>
              </w:rPr>
              <w:t>0</w:t>
            </w:r>
            <w:r>
              <w:rPr>
                <w:rStyle w:val="88"/>
                <w:rFonts w:hint="default" w:ascii="Times New Roman" w:hAnsi="Times New Roman" w:eastAsia="宋体" w:cs="Times New Roman"/>
                <w:bCs w:val="0"/>
                <w:color w:val="auto"/>
                <w:sz w:val="21"/>
                <w:szCs w:val="21"/>
              </w:rPr>
              <w:t>危险废物贮存场所（设施）基本情况表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9"/>
              <w:gridCol w:w="743"/>
              <w:gridCol w:w="1370"/>
              <w:gridCol w:w="1541"/>
              <w:gridCol w:w="1031"/>
              <w:gridCol w:w="643"/>
              <w:gridCol w:w="483"/>
              <w:gridCol w:w="483"/>
              <w:gridCol w:w="554"/>
              <w:gridCol w:w="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83"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序号</w:t>
                  </w:r>
                </w:p>
              </w:tc>
              <w:tc>
                <w:tcPr>
                  <w:tcW w:w="791"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贮存场所（设施）名称</w:t>
                  </w:r>
                </w:p>
              </w:tc>
              <w:tc>
                <w:tcPr>
                  <w:tcW w:w="1462"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危险废物名称</w:t>
                  </w:r>
                </w:p>
              </w:tc>
              <w:tc>
                <w:tcPr>
                  <w:tcW w:w="1645"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危险废物类别</w:t>
                  </w:r>
                </w:p>
              </w:tc>
              <w:tc>
                <w:tcPr>
                  <w:tcW w:w="1099"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危险废物代码</w:t>
                  </w:r>
                </w:p>
              </w:tc>
              <w:tc>
                <w:tcPr>
                  <w:tcW w:w="684"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位置</w:t>
                  </w:r>
                </w:p>
              </w:tc>
              <w:tc>
                <w:tcPr>
                  <w:tcW w:w="513"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占地面积</w:t>
                  </w:r>
                </w:p>
              </w:tc>
              <w:tc>
                <w:tcPr>
                  <w:tcW w:w="513"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贮存方式</w:t>
                  </w:r>
                </w:p>
              </w:tc>
              <w:tc>
                <w:tcPr>
                  <w:tcW w:w="589"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贮存能力</w:t>
                  </w:r>
                </w:p>
              </w:tc>
              <w:tc>
                <w:tcPr>
                  <w:tcW w:w="591"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8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791"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危废暂存间</w:t>
                  </w:r>
                </w:p>
              </w:tc>
              <w:tc>
                <w:tcPr>
                  <w:tcW w:w="1462" w:type="dxa"/>
                  <w:vAlign w:val="center"/>
                </w:tcPr>
                <w:p>
                  <w:pPr>
                    <w:jc w:val="center"/>
                    <w:rPr>
                      <w:rFonts w:hint="default" w:ascii="Times New Roman" w:hAnsi="Times New Roman" w:cs="Times New Roman"/>
                    </w:rPr>
                  </w:pPr>
                  <w:r>
                    <w:rPr>
                      <w:rFonts w:hint="default" w:ascii="Times New Roman" w:hAnsi="Times New Roman" w:cs="Times New Roman"/>
                      <w:szCs w:val="21"/>
                    </w:rPr>
                    <w:t>废机油及桶</w:t>
                  </w:r>
                </w:p>
              </w:tc>
              <w:tc>
                <w:tcPr>
                  <w:tcW w:w="164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HW08废矿物油与含矿物油废物</w:t>
                  </w:r>
                </w:p>
              </w:tc>
              <w:tc>
                <w:tcPr>
                  <w:tcW w:w="1099"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900-249-08</w:t>
                  </w:r>
                </w:p>
              </w:tc>
              <w:tc>
                <w:tcPr>
                  <w:tcW w:w="684"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东南侧</w:t>
                  </w:r>
                </w:p>
              </w:tc>
              <w:tc>
                <w:tcPr>
                  <w:tcW w:w="513"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 w:val="24"/>
                      <w:lang w:bidi="ar"/>
                    </w:rPr>
                    <w:t>5</w:t>
                  </w: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51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密封</w:t>
                  </w:r>
                </w:p>
              </w:tc>
              <w:tc>
                <w:tcPr>
                  <w:tcW w:w="589"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w:t>
                  </w: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5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83" w:type="dxa"/>
                  <w:vAlign w:val="center"/>
                </w:tcPr>
                <w:p>
                  <w:pPr>
                    <w:widowControl/>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w:t>
                  </w:r>
                </w:p>
              </w:tc>
              <w:tc>
                <w:tcPr>
                  <w:tcW w:w="791" w:type="dxa"/>
                  <w:vMerge w:val="continue"/>
                  <w:vAlign w:val="center"/>
                </w:tcPr>
                <w:p>
                  <w:pPr>
                    <w:widowControl/>
                    <w:jc w:val="center"/>
                    <w:rPr>
                      <w:rFonts w:hint="default" w:ascii="Times New Roman" w:hAnsi="Times New Roman" w:cs="Times New Roman"/>
                      <w:kern w:val="0"/>
                      <w:szCs w:val="21"/>
                    </w:rPr>
                  </w:pPr>
                </w:p>
              </w:tc>
              <w:tc>
                <w:tcPr>
                  <w:tcW w:w="1462" w:type="dxa"/>
                  <w:vAlign w:val="center"/>
                </w:tcPr>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szCs w:val="21"/>
                    </w:rPr>
                    <w:t>废含油手套抹布</w:t>
                  </w:r>
                </w:p>
              </w:tc>
              <w:tc>
                <w:tcPr>
                  <w:tcW w:w="1645"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Cs w:val="21"/>
                    </w:rPr>
                    <w:t>HW49其他废物</w:t>
                  </w:r>
                </w:p>
              </w:tc>
              <w:tc>
                <w:tcPr>
                  <w:tcW w:w="1099"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900-041-49</w:t>
                  </w:r>
                </w:p>
              </w:tc>
              <w:tc>
                <w:tcPr>
                  <w:tcW w:w="684" w:type="dxa"/>
                  <w:vMerge w:val="continue"/>
                  <w:vAlign w:val="center"/>
                </w:tcPr>
                <w:p>
                  <w:pPr>
                    <w:widowControl/>
                    <w:jc w:val="center"/>
                    <w:rPr>
                      <w:rFonts w:hint="default" w:ascii="Times New Roman" w:hAnsi="Times New Roman" w:cs="Times New Roman"/>
                      <w:kern w:val="0"/>
                      <w:szCs w:val="21"/>
                    </w:rPr>
                  </w:pPr>
                </w:p>
              </w:tc>
              <w:tc>
                <w:tcPr>
                  <w:tcW w:w="513" w:type="dxa"/>
                  <w:vMerge w:val="continue"/>
                  <w:vAlign w:val="center"/>
                </w:tcPr>
                <w:p>
                  <w:pPr>
                    <w:widowControl/>
                    <w:jc w:val="center"/>
                    <w:rPr>
                      <w:rFonts w:hint="default" w:ascii="Times New Roman" w:hAnsi="Times New Roman" w:cs="Times New Roman"/>
                      <w:szCs w:val="21"/>
                    </w:rPr>
                  </w:pPr>
                </w:p>
              </w:tc>
              <w:tc>
                <w:tcPr>
                  <w:tcW w:w="51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密封</w:t>
                  </w:r>
                </w:p>
              </w:tc>
              <w:tc>
                <w:tcPr>
                  <w:tcW w:w="589" w:type="dxa"/>
                  <w:vMerge w:val="continue"/>
                  <w:vAlign w:val="center"/>
                </w:tcPr>
                <w:p>
                  <w:pPr>
                    <w:widowControl/>
                    <w:jc w:val="center"/>
                    <w:rPr>
                      <w:rFonts w:hint="default" w:ascii="Times New Roman" w:hAnsi="Times New Roman" w:cs="Times New Roman"/>
                      <w:kern w:val="0"/>
                      <w:szCs w:val="21"/>
                    </w:rPr>
                  </w:pPr>
                </w:p>
              </w:tc>
              <w:tc>
                <w:tcPr>
                  <w:tcW w:w="5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1周</w:t>
                  </w:r>
                </w:p>
              </w:tc>
            </w:tr>
          </w:tbl>
          <w:p>
            <w:pPr>
              <w:widowControl/>
              <w:adjustRightInd w:val="0"/>
              <w:snapToGrid w:val="0"/>
              <w:spacing w:line="360" w:lineRule="auto"/>
              <w:ind w:firstLine="482" w:firstLineChars="200"/>
              <w:jc w:val="left"/>
              <w:rPr>
                <w:rFonts w:hint="default" w:ascii="Times New Roman" w:hAnsi="Times New Roman" w:cs="Times New Roman"/>
              </w:rPr>
            </w:pPr>
            <w:r>
              <w:rPr>
                <w:rFonts w:hint="default" w:ascii="Times New Roman" w:hAnsi="Times New Roman" w:cs="Times New Roman"/>
                <w:b/>
                <w:kern w:val="0"/>
                <w:sz w:val="24"/>
                <w:lang w:bidi="ar"/>
              </w:rPr>
              <w:t>危废暂存间的建设要求：</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本项目在厂房东南设置一间危废暂存间，面积5</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kern w:val="0"/>
                <w:sz w:val="24"/>
                <w:lang w:bidi="ar"/>
              </w:rPr>
              <w:t>，危险暂存间内分区设置，分别设置液态废弃物暂存区和固态废弃物暂存区。</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危险固废的堆放点应按《危险废物贮存污染控制标准》（GB18597-2001）要求，设立专门的危险废物贮存设施，必须将危险废物装入容器内；禁止将不相容（相互反应）的危险废物在同一容器混装；装载液体、半固体危险废物的容器内须留足够空间，容器顶部与液体表面之间保留100mm以上的空间；盛装危险废物的容器上必须粘贴符合标准的标签；同时，用于存放危险废物的地方必须有耐腐蚀的硬化地面、且表面无裂隙、渗透系数≤10</w:t>
            </w:r>
            <w:r>
              <w:rPr>
                <w:rFonts w:hint="default" w:ascii="Times New Roman" w:hAnsi="Times New Roman" w:cs="Times New Roman"/>
                <w:kern w:val="0"/>
                <w:sz w:val="24"/>
                <w:vertAlign w:val="superscript"/>
                <w:lang w:bidi="ar"/>
              </w:rPr>
              <w:t>-10</w:t>
            </w:r>
            <w:r>
              <w:rPr>
                <w:rFonts w:hint="default" w:ascii="Times New Roman" w:hAnsi="Times New Roman" w:cs="Times New Roman"/>
                <w:kern w:val="0"/>
                <w:sz w:val="24"/>
                <w:lang w:bidi="ar"/>
              </w:rPr>
              <w:t>cm/s，另外，储存区域应有防漏裙脚或围堰，围堰高度不低于10cm，防止危险废物流失。根据《危险废物转移联单管理办法》，危险废物的处理应实施转移联单制度，确保危险废物去向明确。</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 xml:space="preserve">（2）危险废物的收集和管理 </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对危险废物的收集和管理，采用以下措施：</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1）各类危险废物应分别分类用容器装好后临时堆放在危险废物暂存间，定期交有资质单位处置。</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2）危险废物全部暂存于危险废物暂存间内，做到防风、防雨、防腐、防渗。</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3）危险废物暂存间内地面全部防渗，并设置地沟，地沟内也进行防渗处理。确保泄漏物可暂存于地沟内并重新收集后送交有资质单位统一处置。</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上述危险废物的收集和管理，公司需委派专人负责，各种废物的储存容器都有很好的密封性，危废临时储存场所按照《危险废物贮存污染控制标准》（GB18597-2001）相关要求进行防渗、防漏处理，安全可靠，不会受到风雨侵蚀，可有效地防止了临时存放过程中的二次污染。</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根据中华人民共和国国务院令第344号《危险化学品安全管理条例》的有关规定，在危险废物外运至处置单位时必须严格遵守以下要求：</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1）做好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2）废物处置单位的运输人员必须掌握危险化学品运输的安全知识，了解所运载危险化学品的性质、危害特性、包装容器的使用特性和发生意外时的应急措施。运输车辆必须具有车辆危险货物运输许可证。驾驶人员必须由取得驾驶执照的熟练人员担任。</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3）处置单位在运输危险废物时必须配备押运人员，并随时处于押运人员的监管之下，不得超装、超载，严格按照所在城市规定的行车时间和行车路线行驶，不得进入危险化学品运输车辆禁止通行的区域。</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4）危险废物在运输途中若发生被盗、丢失、流散、泄漏等情况时，公司及押运人员必须立即向当地公安部门报告，并采取一切可能的警示措施。</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5）一旦发生废物泄漏事故，公司和废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widowControl/>
              <w:adjustRightInd w:val="0"/>
              <w:snapToGrid w:val="0"/>
              <w:spacing w:line="360" w:lineRule="auto"/>
              <w:ind w:firstLine="480" w:firstLineChars="200"/>
              <w:jc w:val="left"/>
              <w:rPr>
                <w:rFonts w:hint="default" w:ascii="Times New Roman" w:hAnsi="Times New Roman" w:cs="Times New Roman"/>
              </w:rPr>
            </w:pPr>
            <w:r>
              <w:rPr>
                <w:rFonts w:hint="default" w:ascii="Times New Roman" w:hAnsi="Times New Roman" w:cs="Times New Roman"/>
                <w:kern w:val="0"/>
                <w:sz w:val="24"/>
                <w:lang w:bidi="ar"/>
              </w:rPr>
              <w:t>综上，本项目产生的各种固体废物均有合理可行处置去向，在厂内暂存时不会造成二次污染，废物不向环境中排放，不会对环境造成不利影响。</w:t>
            </w:r>
          </w:p>
          <w:p>
            <w:pPr>
              <w:adjustRightInd w:val="0"/>
              <w:snapToGrid w:val="0"/>
              <w:spacing w:line="360" w:lineRule="auto"/>
              <w:ind w:firstLine="482" w:firstLineChars="200"/>
              <w:rPr>
                <w:rFonts w:hint="default" w:ascii="Times New Roman" w:hAnsi="Times New Roman" w:cs="Times New Roman"/>
                <w:b/>
                <w:bCs/>
                <w:sz w:val="24"/>
                <w:szCs w:val="20"/>
              </w:rPr>
            </w:pPr>
            <w:r>
              <w:rPr>
                <w:rFonts w:hint="default" w:ascii="Times New Roman" w:hAnsi="Times New Roman" w:cs="Times New Roman"/>
                <w:b/>
                <w:sz w:val="24"/>
                <w:szCs w:val="20"/>
              </w:rPr>
              <w:t>综上，</w:t>
            </w:r>
            <w:r>
              <w:rPr>
                <w:rFonts w:hint="default" w:ascii="Times New Roman" w:hAnsi="Times New Roman" w:cs="Times New Roman"/>
                <w:b/>
                <w:bCs/>
                <w:sz w:val="24"/>
                <w:szCs w:val="20"/>
              </w:rPr>
              <w:t>本项目产生的各种固体废物均有合理可行处置去向，在厂内暂存时不会造成二次污染，废物不向环境中排放，不会对环境造成不利影响。</w:t>
            </w:r>
          </w:p>
          <w:p>
            <w:pPr>
              <w:adjustRightInd w:val="0"/>
              <w:snapToGrid w:val="0"/>
              <w:spacing w:line="360" w:lineRule="auto"/>
              <w:ind w:firstLine="482" w:firstLineChars="200"/>
              <w:rPr>
                <w:rFonts w:hint="default" w:ascii="Times New Roman" w:hAnsi="Times New Roman" w:cs="Times New Roman"/>
                <w:kern w:val="0"/>
                <w:sz w:val="24"/>
                <w:lang w:bidi="ar"/>
              </w:rPr>
            </w:pPr>
            <w:r>
              <w:rPr>
                <w:rFonts w:hint="default" w:ascii="Times New Roman" w:hAnsi="Times New Roman" w:cs="Times New Roman"/>
                <w:b/>
                <w:sz w:val="24"/>
                <w:szCs w:val="28"/>
              </w:rPr>
              <w:t>1.4</w:t>
            </w:r>
            <w:r>
              <w:rPr>
                <w:rFonts w:hint="default" w:ascii="Times New Roman" w:hAnsi="Times New Roman" w:cs="Times New Roman"/>
                <w:b/>
                <w:sz w:val="24"/>
              </w:rPr>
              <w:t>营运</w:t>
            </w:r>
            <w:r>
              <w:rPr>
                <w:rFonts w:hint="default" w:ascii="Times New Roman" w:hAnsi="Times New Roman" w:cs="Times New Roman"/>
                <w:b/>
                <w:sz w:val="24"/>
                <w:szCs w:val="28"/>
              </w:rPr>
              <w:t>期</w:t>
            </w:r>
            <w:r>
              <w:rPr>
                <w:rFonts w:hint="default" w:ascii="Times New Roman" w:hAnsi="Times New Roman" w:cs="Times New Roman"/>
                <w:b/>
                <w:sz w:val="24"/>
              </w:rPr>
              <w:t>地下水、土壤污染防治措施</w:t>
            </w:r>
          </w:p>
          <w:p>
            <w:pPr>
              <w:adjustRightInd w:val="0"/>
              <w:snapToGrid w:val="0"/>
              <w:spacing w:line="360" w:lineRule="auto"/>
              <w:ind w:left="420"/>
              <w:rPr>
                <w:rFonts w:hint="default" w:ascii="Times New Roman" w:hAnsi="Times New Roman" w:cs="Times New Roman"/>
                <w:b/>
                <w:bCs/>
                <w:sz w:val="24"/>
              </w:rPr>
            </w:pPr>
            <w:r>
              <w:rPr>
                <w:rFonts w:hint="default" w:ascii="Times New Roman" w:hAnsi="Times New Roman" w:cs="Times New Roman"/>
                <w:b/>
                <w:bCs/>
                <w:sz w:val="24"/>
              </w:rPr>
              <w:t>1、土壤环境影响防治措施</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本项目生活用水由厂区已布设的市政给水管网供给，生产用水通过管道由都鼎泰新材料有限责任公司供给，污水通过污水处理设施处理后，最终排入</w:t>
            </w:r>
            <w:r>
              <w:rPr>
                <w:rFonts w:hint="default" w:ascii="Times New Roman" w:hAnsi="Times New Roman" w:cs="Times New Roman"/>
                <w:sz w:val="24"/>
                <w:lang w:eastAsia="zh-CN"/>
              </w:rPr>
              <w:t>郪江</w:t>
            </w:r>
            <w:r>
              <w:rPr>
                <w:rFonts w:hint="default" w:ascii="Times New Roman" w:hAnsi="Times New Roman" w:cs="Times New Roman"/>
                <w:sz w:val="24"/>
              </w:rPr>
              <w:t>。通过分析可知，本项目给、排水均不会与地下水直接发生联系，故本项目的建设基本不会对地下水水位造成明显影响。</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污染物进入地下水的途径主要是降雨或废水排放等通过垂直渗透进入包气带，进入包气带的污染物在物理、化学和生物作用下经吸附、转化、迁移和分解后输入地下水。通过分析可知，本项目给、排水均不会与地下水直接发生联系，故本项目的建设基本不会对地下水水位造成明显影响。</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sz w:val="24"/>
              </w:rPr>
              <w:t>根据工程所处区域的地质情况，本项目可能对地下水造成污染的途径主要有：危废暂存间、设备机油、柴油泄露下渗对地下水造成的污染</w:t>
            </w:r>
            <w:r>
              <w:rPr>
                <w:rFonts w:hint="default" w:ascii="Times New Roman" w:hAnsi="Times New Roman" w:cs="Times New Roman"/>
                <w:kern w:val="0"/>
                <w:sz w:val="24"/>
                <w:lang w:bidi="ar"/>
              </w:rPr>
              <w:t>。</w:t>
            </w:r>
          </w:p>
          <w:p>
            <w:pPr>
              <w:widowControl/>
              <w:adjustRightInd w:val="0"/>
              <w:snapToGrid w:val="0"/>
              <w:spacing w:line="360" w:lineRule="auto"/>
              <w:ind w:firstLine="482" w:firstLineChars="200"/>
              <w:jc w:val="left"/>
              <w:rPr>
                <w:rFonts w:hint="default" w:ascii="Times New Roman" w:hAnsi="Times New Roman" w:cs="Times New Roman"/>
              </w:rPr>
            </w:pPr>
            <w:r>
              <w:rPr>
                <w:rFonts w:hint="default" w:ascii="Times New Roman" w:hAnsi="Times New Roman" w:cs="Times New Roman"/>
                <w:b/>
                <w:kern w:val="0"/>
                <w:sz w:val="24"/>
                <w:lang w:bidi="ar"/>
              </w:rPr>
              <w:t xml:space="preserve">（1）污染源控制 </w:t>
            </w:r>
          </w:p>
          <w:p>
            <w:pPr>
              <w:widowControl/>
              <w:adjustRightInd w:val="0"/>
              <w:snapToGrid w:val="0"/>
              <w:spacing w:line="360" w:lineRule="auto"/>
              <w:ind w:firstLine="480" w:firstLineChars="200"/>
              <w:jc w:val="left"/>
              <w:rPr>
                <w:rFonts w:hint="default" w:ascii="Times New Roman" w:hAnsi="Times New Roman" w:cs="Times New Roman"/>
              </w:rPr>
            </w:pPr>
            <w:r>
              <w:rPr>
                <w:rFonts w:hint="default" w:ascii="Times New Roman" w:hAnsi="Times New Roman" w:cs="Times New Roman"/>
                <w:kern w:val="0"/>
                <w:sz w:val="24"/>
                <w:lang w:bidi="ar"/>
              </w:rPr>
              <w:t>本项目污染源头控制主要包括实施清洁生产及各类废物循环利用，减少污染物的排放量；在各车间、辅助生产构筑物等采取相应工程防范措施及环境管理巡检，尤其是加强各车间等的日常维护和检查，防止和降低污染物跑、冒、滴、漏。</w:t>
            </w:r>
          </w:p>
          <w:p>
            <w:pPr>
              <w:widowControl/>
              <w:adjustRightInd w:val="0"/>
              <w:snapToGrid w:val="0"/>
              <w:spacing w:line="360" w:lineRule="auto"/>
              <w:ind w:firstLine="482" w:firstLineChars="200"/>
              <w:jc w:val="left"/>
              <w:rPr>
                <w:rFonts w:hint="default" w:ascii="Times New Roman" w:hAnsi="Times New Roman" w:cs="Times New Roman"/>
              </w:rPr>
            </w:pPr>
            <w:r>
              <w:rPr>
                <w:rFonts w:hint="default" w:ascii="Times New Roman" w:hAnsi="Times New Roman" w:cs="Times New Roman"/>
                <w:b/>
                <w:kern w:val="0"/>
                <w:sz w:val="24"/>
                <w:lang w:bidi="ar"/>
              </w:rPr>
              <w:t xml:space="preserve">（2）污染防治区划分及防渗措施 </w:t>
            </w:r>
          </w:p>
          <w:p>
            <w:pPr>
              <w:widowControl/>
              <w:adjustRightInd w:val="0"/>
              <w:snapToGrid w:val="0"/>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根据厂区各功能单元是否可能对地下水造成污染及其风险程度，将厂区划分为重点防渗区、一般防渗区和简单防渗区。</w:t>
            </w:r>
          </w:p>
          <w:p>
            <w:pPr>
              <w:spacing w:line="360" w:lineRule="auto"/>
              <w:jc w:val="center"/>
              <w:rPr>
                <w:rFonts w:hint="default" w:ascii="Times New Roman" w:hAnsi="Times New Roman" w:cs="Times New Roman"/>
                <w:b/>
                <w:bCs/>
                <w:color w:val="000000"/>
              </w:rPr>
            </w:pPr>
            <w:r>
              <w:rPr>
                <w:rFonts w:hint="default" w:ascii="Times New Roman" w:hAnsi="Times New Roman" w:cs="Times New Roman"/>
                <w:b/>
                <w:bCs/>
              </w:rPr>
              <w:t>表4-1</w:t>
            </w:r>
            <w:r>
              <w:rPr>
                <w:rFonts w:hint="eastAsia" w:cs="Times New Roman"/>
                <w:b/>
                <w:bCs/>
                <w:lang w:val="en-US" w:eastAsia="zh-CN"/>
              </w:rPr>
              <w:t>1</w:t>
            </w:r>
            <w:r>
              <w:rPr>
                <w:rFonts w:hint="default" w:ascii="Times New Roman" w:hAnsi="Times New Roman" w:cs="Times New Roman"/>
                <w:b/>
                <w:bCs/>
              </w:rPr>
              <w:t xml:space="preserve">  地下水污染</w:t>
            </w:r>
            <w:r>
              <w:rPr>
                <w:rFonts w:hint="default" w:ascii="Times New Roman" w:hAnsi="Times New Roman" w:cs="Times New Roman"/>
                <w:b/>
                <w:bCs/>
                <w:color w:val="000000"/>
              </w:rPr>
              <w:t>防渗分区参照表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475"/>
              <w:gridCol w:w="1238"/>
              <w:gridCol w:w="1453"/>
              <w:gridCol w:w="25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防渗分区</w:t>
                  </w:r>
                </w:p>
              </w:tc>
              <w:tc>
                <w:tcPr>
                  <w:tcW w:w="926"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天然包气带防污性能</w:t>
                  </w:r>
                </w:p>
              </w:tc>
              <w:tc>
                <w:tcPr>
                  <w:tcW w:w="777"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污染控制难易度</w:t>
                  </w:r>
                </w:p>
              </w:tc>
              <w:tc>
                <w:tcPr>
                  <w:tcW w:w="912"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污染物类型</w:t>
                  </w:r>
                </w:p>
              </w:tc>
              <w:tc>
                <w:tcPr>
                  <w:tcW w:w="1597"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86" w:type="pct"/>
                  <w:vMerge w:val="restar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重点防渗区</w:t>
                  </w:r>
                </w:p>
              </w:tc>
              <w:tc>
                <w:tcPr>
                  <w:tcW w:w="926"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弱</w:t>
                  </w:r>
                </w:p>
              </w:tc>
              <w:tc>
                <w:tcPr>
                  <w:tcW w:w="777"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难</w:t>
                  </w:r>
                </w:p>
              </w:tc>
              <w:tc>
                <w:tcPr>
                  <w:tcW w:w="912" w:type="pct"/>
                  <w:vMerge w:val="restar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重金属、持久性有机物污染物</w:t>
                  </w:r>
                </w:p>
              </w:tc>
              <w:tc>
                <w:tcPr>
                  <w:tcW w:w="1597" w:type="pct"/>
                  <w:vMerge w:val="restar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等效黏土防渗层Mb≥6.0m，K≤</w:t>
                  </w:r>
                  <w:r>
                    <w:rPr>
                      <w:rFonts w:hint="default" w:ascii="Times New Roman" w:hAnsi="Times New Roman" w:cs="Times New Roman"/>
                      <w:color w:val="000000"/>
                    </w:rPr>
                    <w:t>1.0×10</w:t>
                  </w:r>
                  <w:r>
                    <w:rPr>
                      <w:rFonts w:hint="default" w:ascii="Times New Roman" w:hAnsi="Times New Roman" w:cs="Times New Roman"/>
                      <w:color w:val="000000"/>
                      <w:vertAlign w:val="superscript"/>
                    </w:rPr>
                    <w:t>-7</w:t>
                  </w:r>
                  <w:r>
                    <w:rPr>
                      <w:rFonts w:hint="default" w:ascii="Times New Roman" w:hAnsi="Times New Roman" w:cs="Times New Roman"/>
                      <w:color w:val="000000"/>
                    </w:rPr>
                    <w:t>cm/s；或参照执行GB18598执行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86" w:type="pct"/>
                  <w:vMerge w:val="continue"/>
                  <w:tcBorders>
                    <w:tl2br w:val="nil"/>
                    <w:tr2bl w:val="nil"/>
                  </w:tcBorders>
                  <w:vAlign w:val="center"/>
                </w:tcPr>
                <w:p>
                  <w:pPr>
                    <w:widowControl/>
                    <w:jc w:val="center"/>
                    <w:rPr>
                      <w:rFonts w:hint="default" w:ascii="Times New Roman" w:hAnsi="Times New Roman" w:cs="Times New Roman"/>
                      <w:color w:val="000000"/>
                      <w:kern w:val="0"/>
                    </w:rPr>
                  </w:pPr>
                </w:p>
              </w:tc>
              <w:tc>
                <w:tcPr>
                  <w:tcW w:w="926"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中-强</w:t>
                  </w:r>
                </w:p>
              </w:tc>
              <w:tc>
                <w:tcPr>
                  <w:tcW w:w="777"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难</w:t>
                  </w:r>
                </w:p>
              </w:tc>
              <w:tc>
                <w:tcPr>
                  <w:tcW w:w="912" w:type="pct"/>
                  <w:vMerge w:val="continue"/>
                  <w:tcBorders>
                    <w:tl2br w:val="nil"/>
                    <w:tr2bl w:val="nil"/>
                  </w:tcBorders>
                  <w:vAlign w:val="center"/>
                </w:tcPr>
                <w:p>
                  <w:pPr>
                    <w:widowControl/>
                    <w:jc w:val="center"/>
                    <w:rPr>
                      <w:rFonts w:hint="default" w:ascii="Times New Roman" w:hAnsi="Times New Roman" w:cs="Times New Roman"/>
                      <w:color w:val="000000"/>
                      <w:kern w:val="0"/>
                    </w:rPr>
                  </w:pPr>
                </w:p>
              </w:tc>
              <w:tc>
                <w:tcPr>
                  <w:tcW w:w="1597" w:type="pct"/>
                  <w:vMerge w:val="continue"/>
                  <w:tcBorders>
                    <w:tl2br w:val="nil"/>
                    <w:tr2bl w:val="nil"/>
                  </w:tcBorders>
                  <w:vAlign w:val="center"/>
                </w:tcPr>
                <w:p>
                  <w:pPr>
                    <w:widowControl/>
                    <w:jc w:val="center"/>
                    <w:rPr>
                      <w:rFonts w:hint="default" w:ascii="Times New Roman" w:hAnsi="Times New Roman" w:cs="Times New Roman"/>
                      <w:color w:val="00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86" w:type="pct"/>
                  <w:vMerge w:val="continue"/>
                  <w:tcBorders>
                    <w:tl2br w:val="nil"/>
                    <w:tr2bl w:val="nil"/>
                  </w:tcBorders>
                  <w:vAlign w:val="center"/>
                </w:tcPr>
                <w:p>
                  <w:pPr>
                    <w:widowControl/>
                    <w:jc w:val="center"/>
                    <w:rPr>
                      <w:rFonts w:hint="default" w:ascii="Times New Roman" w:hAnsi="Times New Roman" w:cs="Times New Roman"/>
                      <w:color w:val="000000"/>
                      <w:kern w:val="0"/>
                    </w:rPr>
                  </w:pPr>
                </w:p>
              </w:tc>
              <w:tc>
                <w:tcPr>
                  <w:tcW w:w="926"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弱</w:t>
                  </w:r>
                </w:p>
              </w:tc>
              <w:tc>
                <w:tcPr>
                  <w:tcW w:w="777"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易</w:t>
                  </w:r>
                </w:p>
              </w:tc>
              <w:tc>
                <w:tcPr>
                  <w:tcW w:w="912" w:type="pct"/>
                  <w:vMerge w:val="continue"/>
                  <w:tcBorders>
                    <w:tl2br w:val="nil"/>
                    <w:tr2bl w:val="nil"/>
                  </w:tcBorders>
                  <w:vAlign w:val="center"/>
                </w:tcPr>
                <w:p>
                  <w:pPr>
                    <w:widowControl/>
                    <w:jc w:val="center"/>
                    <w:rPr>
                      <w:rFonts w:hint="default" w:ascii="Times New Roman" w:hAnsi="Times New Roman" w:cs="Times New Roman"/>
                      <w:color w:val="000000"/>
                      <w:kern w:val="0"/>
                    </w:rPr>
                  </w:pPr>
                </w:p>
              </w:tc>
              <w:tc>
                <w:tcPr>
                  <w:tcW w:w="1597" w:type="pct"/>
                  <w:vMerge w:val="continue"/>
                  <w:tcBorders>
                    <w:tl2br w:val="nil"/>
                    <w:tr2bl w:val="nil"/>
                  </w:tcBorders>
                  <w:vAlign w:val="center"/>
                </w:tcPr>
                <w:p>
                  <w:pPr>
                    <w:widowControl/>
                    <w:jc w:val="center"/>
                    <w:rPr>
                      <w:rFonts w:hint="default" w:ascii="Times New Roman" w:hAnsi="Times New Roman" w:cs="Times New Roman"/>
                      <w:color w:val="00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6" w:type="pct"/>
                  <w:vMerge w:val="restar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一般防渗区</w:t>
                  </w:r>
                </w:p>
              </w:tc>
              <w:tc>
                <w:tcPr>
                  <w:tcW w:w="926"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弱</w:t>
                  </w:r>
                </w:p>
              </w:tc>
              <w:tc>
                <w:tcPr>
                  <w:tcW w:w="777"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易-难</w:t>
                  </w:r>
                </w:p>
              </w:tc>
              <w:tc>
                <w:tcPr>
                  <w:tcW w:w="912" w:type="pct"/>
                  <w:vMerge w:val="restar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其他类型</w:t>
                  </w:r>
                </w:p>
              </w:tc>
              <w:tc>
                <w:tcPr>
                  <w:tcW w:w="1597" w:type="pct"/>
                  <w:vMerge w:val="restart"/>
                  <w:tcBorders>
                    <w:tl2br w:val="nil"/>
                    <w:tr2bl w:val="nil"/>
                  </w:tcBorders>
                  <w:vAlign w:val="center"/>
                </w:tcPr>
                <w:p>
                  <w:pPr>
                    <w:jc w:val="center"/>
                    <w:rPr>
                      <w:rFonts w:hint="default" w:ascii="Times New Roman" w:hAnsi="Times New Roman" w:cs="Times New Roman"/>
                      <w:color w:val="000000"/>
                      <w:kern w:val="0"/>
                    </w:rPr>
                  </w:pPr>
                  <w:r>
                    <w:rPr>
                      <w:rFonts w:hint="default" w:ascii="Times New Roman" w:hAnsi="Times New Roman" w:cs="Times New Roman"/>
                      <w:color w:val="000000"/>
                      <w:kern w:val="0"/>
                    </w:rPr>
                    <w:t>等效黏土防渗层Mb≥1.5m，K≤</w:t>
                  </w:r>
                  <w:r>
                    <w:rPr>
                      <w:rFonts w:hint="default" w:ascii="Times New Roman" w:hAnsi="Times New Roman" w:cs="Times New Roman"/>
                      <w:color w:val="000000"/>
                    </w:rPr>
                    <w:t>1.0×10</w:t>
                  </w:r>
                  <w:r>
                    <w:rPr>
                      <w:rFonts w:hint="default" w:ascii="Times New Roman" w:hAnsi="Times New Roman" w:cs="Times New Roman"/>
                      <w:color w:val="000000"/>
                      <w:vertAlign w:val="superscript"/>
                    </w:rPr>
                    <w:t>-7</w:t>
                  </w:r>
                  <w:r>
                    <w:rPr>
                      <w:rFonts w:hint="default" w:ascii="Times New Roman" w:hAnsi="Times New Roman" w:cs="Times New Roman"/>
                      <w:color w:val="000000"/>
                    </w:rPr>
                    <w:t>cm/s；或参照执</w:t>
                  </w:r>
                </w:p>
                <w:p>
                  <w:pPr>
                    <w:jc w:val="center"/>
                    <w:rPr>
                      <w:rFonts w:hint="default" w:ascii="Times New Roman" w:hAnsi="Times New Roman" w:cs="Times New Roman"/>
                      <w:color w:val="000000"/>
                      <w:kern w:val="0"/>
                    </w:rPr>
                  </w:pPr>
                  <w:r>
                    <w:rPr>
                      <w:rFonts w:hint="default" w:ascii="Times New Roman" w:hAnsi="Times New Roman" w:cs="Times New Roman"/>
                      <w:color w:val="000000"/>
                    </w:rPr>
                    <w:t>行GB18598执行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86" w:type="pct"/>
                  <w:vMerge w:val="continue"/>
                  <w:tcBorders>
                    <w:tl2br w:val="nil"/>
                    <w:tr2bl w:val="nil"/>
                  </w:tcBorders>
                  <w:vAlign w:val="center"/>
                </w:tcPr>
                <w:p>
                  <w:pPr>
                    <w:widowControl/>
                    <w:jc w:val="center"/>
                    <w:rPr>
                      <w:rFonts w:hint="default" w:ascii="Times New Roman" w:hAnsi="Times New Roman" w:cs="Times New Roman"/>
                      <w:color w:val="000000"/>
                      <w:kern w:val="0"/>
                    </w:rPr>
                  </w:pPr>
                </w:p>
              </w:tc>
              <w:tc>
                <w:tcPr>
                  <w:tcW w:w="926"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中-强</w:t>
                  </w:r>
                </w:p>
              </w:tc>
              <w:tc>
                <w:tcPr>
                  <w:tcW w:w="777"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难</w:t>
                  </w:r>
                </w:p>
              </w:tc>
              <w:tc>
                <w:tcPr>
                  <w:tcW w:w="912" w:type="pct"/>
                  <w:vMerge w:val="continue"/>
                  <w:tcBorders>
                    <w:tl2br w:val="nil"/>
                    <w:tr2bl w:val="nil"/>
                  </w:tcBorders>
                  <w:vAlign w:val="center"/>
                </w:tcPr>
                <w:p>
                  <w:pPr>
                    <w:widowControl/>
                    <w:jc w:val="center"/>
                    <w:rPr>
                      <w:rFonts w:hint="default" w:ascii="Times New Roman" w:hAnsi="Times New Roman" w:cs="Times New Roman"/>
                      <w:color w:val="000000"/>
                      <w:kern w:val="0"/>
                    </w:rPr>
                  </w:pPr>
                </w:p>
              </w:tc>
              <w:tc>
                <w:tcPr>
                  <w:tcW w:w="1597" w:type="pct"/>
                  <w:vMerge w:val="continue"/>
                  <w:tcBorders>
                    <w:tl2br w:val="nil"/>
                    <w:tr2bl w:val="nil"/>
                  </w:tcBorders>
                  <w:vAlign w:val="center"/>
                </w:tcPr>
                <w:p>
                  <w:pPr>
                    <w:jc w:val="center"/>
                    <w:rPr>
                      <w:rFonts w:hint="default" w:ascii="Times New Roman" w:hAnsi="Times New Roman" w:cs="Times New Roman"/>
                      <w:color w:val="00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86" w:type="pct"/>
                  <w:vMerge w:val="continue"/>
                  <w:tcBorders>
                    <w:tl2br w:val="nil"/>
                    <w:tr2bl w:val="nil"/>
                  </w:tcBorders>
                  <w:vAlign w:val="center"/>
                </w:tcPr>
                <w:p>
                  <w:pPr>
                    <w:widowControl/>
                    <w:jc w:val="center"/>
                    <w:rPr>
                      <w:rFonts w:hint="default" w:ascii="Times New Roman" w:hAnsi="Times New Roman" w:cs="Times New Roman"/>
                      <w:color w:val="000000"/>
                      <w:kern w:val="0"/>
                    </w:rPr>
                  </w:pPr>
                </w:p>
              </w:tc>
              <w:tc>
                <w:tcPr>
                  <w:tcW w:w="926"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中</w:t>
                  </w:r>
                </w:p>
              </w:tc>
              <w:tc>
                <w:tcPr>
                  <w:tcW w:w="777"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易</w:t>
                  </w:r>
                </w:p>
              </w:tc>
              <w:tc>
                <w:tcPr>
                  <w:tcW w:w="912" w:type="pct"/>
                  <w:vMerge w:val="restart"/>
                  <w:tcBorders>
                    <w:tl2br w:val="nil"/>
                    <w:tr2bl w:val="nil"/>
                  </w:tcBorders>
                  <w:vAlign w:val="center"/>
                </w:tcPr>
                <w:p>
                  <w:pPr>
                    <w:jc w:val="center"/>
                    <w:rPr>
                      <w:rFonts w:hint="default" w:ascii="Times New Roman" w:hAnsi="Times New Roman" w:cs="Times New Roman"/>
                      <w:color w:val="000000"/>
                      <w:kern w:val="0"/>
                    </w:rPr>
                  </w:pPr>
                  <w:r>
                    <w:rPr>
                      <w:rFonts w:hint="default" w:ascii="Times New Roman" w:hAnsi="Times New Roman" w:cs="Times New Roman"/>
                      <w:color w:val="000000"/>
                      <w:kern w:val="0"/>
                    </w:rPr>
                    <w:t>重金属、持久性有机物污染物</w:t>
                  </w:r>
                </w:p>
              </w:tc>
              <w:tc>
                <w:tcPr>
                  <w:tcW w:w="1597" w:type="pct"/>
                  <w:vMerge w:val="continue"/>
                  <w:tcBorders>
                    <w:tl2br w:val="nil"/>
                    <w:tr2bl w:val="nil"/>
                  </w:tcBorders>
                  <w:vAlign w:val="center"/>
                </w:tcPr>
                <w:p>
                  <w:pPr>
                    <w:jc w:val="center"/>
                    <w:rPr>
                      <w:rFonts w:hint="default" w:ascii="Times New Roman" w:hAnsi="Times New Roman" w:cs="Times New Roman"/>
                      <w:color w:val="00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86" w:type="pct"/>
                  <w:vMerge w:val="continue"/>
                  <w:tcBorders>
                    <w:tl2br w:val="nil"/>
                    <w:tr2bl w:val="nil"/>
                  </w:tcBorders>
                  <w:vAlign w:val="center"/>
                </w:tcPr>
                <w:p>
                  <w:pPr>
                    <w:widowControl/>
                    <w:jc w:val="center"/>
                    <w:rPr>
                      <w:rFonts w:hint="default" w:ascii="Times New Roman" w:hAnsi="Times New Roman" w:cs="Times New Roman"/>
                      <w:color w:val="000000"/>
                      <w:kern w:val="0"/>
                    </w:rPr>
                  </w:pPr>
                </w:p>
              </w:tc>
              <w:tc>
                <w:tcPr>
                  <w:tcW w:w="926"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强</w:t>
                  </w:r>
                </w:p>
              </w:tc>
              <w:tc>
                <w:tcPr>
                  <w:tcW w:w="777"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易</w:t>
                  </w:r>
                </w:p>
              </w:tc>
              <w:tc>
                <w:tcPr>
                  <w:tcW w:w="912" w:type="pct"/>
                  <w:vMerge w:val="continue"/>
                  <w:tcBorders>
                    <w:tl2br w:val="nil"/>
                    <w:tr2bl w:val="nil"/>
                  </w:tcBorders>
                  <w:vAlign w:val="center"/>
                </w:tcPr>
                <w:p>
                  <w:pPr>
                    <w:widowControl/>
                    <w:jc w:val="center"/>
                    <w:rPr>
                      <w:rFonts w:hint="default" w:ascii="Times New Roman" w:hAnsi="Times New Roman" w:cs="Times New Roman"/>
                      <w:color w:val="000000"/>
                      <w:kern w:val="0"/>
                    </w:rPr>
                  </w:pPr>
                </w:p>
              </w:tc>
              <w:tc>
                <w:tcPr>
                  <w:tcW w:w="1597" w:type="pct"/>
                  <w:vMerge w:val="continue"/>
                  <w:tcBorders>
                    <w:tl2br w:val="nil"/>
                    <w:tr2bl w:val="nil"/>
                  </w:tcBorders>
                  <w:vAlign w:val="center"/>
                </w:tcPr>
                <w:p>
                  <w:pPr>
                    <w:widowControl/>
                    <w:jc w:val="center"/>
                    <w:rPr>
                      <w:rFonts w:hint="default" w:ascii="Times New Roman" w:hAnsi="Times New Roman" w:cs="Times New Roman"/>
                      <w:color w:val="00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86"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简单防渗区</w:t>
                  </w:r>
                </w:p>
              </w:tc>
              <w:tc>
                <w:tcPr>
                  <w:tcW w:w="926"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中-强</w:t>
                  </w:r>
                </w:p>
              </w:tc>
              <w:tc>
                <w:tcPr>
                  <w:tcW w:w="777"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易</w:t>
                  </w:r>
                </w:p>
              </w:tc>
              <w:tc>
                <w:tcPr>
                  <w:tcW w:w="912"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其他类型</w:t>
                  </w:r>
                </w:p>
              </w:tc>
              <w:tc>
                <w:tcPr>
                  <w:tcW w:w="1597" w:type="pct"/>
                  <w:tcBorders>
                    <w:tl2br w:val="nil"/>
                    <w:tr2bl w:val="nil"/>
                  </w:tcBorders>
                  <w:vAlign w:val="center"/>
                </w:tcPr>
                <w:p>
                  <w:pPr>
                    <w:widowControl/>
                    <w:jc w:val="center"/>
                    <w:rPr>
                      <w:rFonts w:hint="default" w:ascii="Times New Roman" w:hAnsi="Times New Roman" w:cs="Times New Roman"/>
                      <w:color w:val="000000"/>
                      <w:kern w:val="0"/>
                    </w:rPr>
                  </w:pPr>
                  <w:r>
                    <w:rPr>
                      <w:rFonts w:hint="default" w:ascii="Times New Roman" w:hAnsi="Times New Roman" w:cs="Times New Roman"/>
                      <w:color w:val="000000"/>
                      <w:kern w:val="0"/>
                    </w:rPr>
                    <w:t>一般地面硬化</w:t>
                  </w:r>
                </w:p>
              </w:tc>
            </w:tr>
          </w:tbl>
          <w:p>
            <w:pPr>
              <w:pStyle w:val="8"/>
              <w:adjustRightInd w:val="0"/>
              <w:snapToGrid w:val="0"/>
              <w:spacing w:line="360" w:lineRule="auto"/>
              <w:ind w:firstLine="482" w:firstLineChars="200"/>
              <w:rPr>
                <w:rFonts w:hint="default" w:ascii="Times New Roman" w:hAnsi="Times New Roman" w:cs="Times New Roman"/>
                <w:color w:val="FF0000"/>
              </w:rPr>
            </w:pPr>
            <w:r>
              <w:rPr>
                <w:rFonts w:hint="default" w:ascii="Times New Roman" w:hAnsi="Times New Roman" w:cs="Times New Roman"/>
                <w:b/>
                <w:lang w:bidi="ar"/>
              </w:rPr>
              <w:t>重点防渗区防渗措施为：</w:t>
            </w:r>
            <w:bookmarkStart w:id="10" w:name="_Hlk87824645"/>
            <w:r>
              <w:rPr>
                <w:rFonts w:hint="default" w:ascii="Times New Roman" w:hAnsi="Times New Roman" w:cs="Times New Roman"/>
                <w:bCs/>
                <w:lang w:bidi="ar"/>
              </w:rPr>
              <w:t>危废暂存间、柴油发电机房、储油间</w:t>
            </w:r>
            <w:bookmarkEnd w:id="10"/>
            <w:r>
              <w:rPr>
                <w:rFonts w:hint="default" w:ascii="Times New Roman" w:hAnsi="Times New Roman" w:cs="Times New Roman"/>
                <w:bCs/>
                <w:lang w:bidi="ar"/>
              </w:rPr>
              <w:t>，</w:t>
            </w:r>
            <w:r>
              <w:rPr>
                <w:rFonts w:hint="default" w:ascii="Times New Roman" w:hAnsi="Times New Roman" w:cs="Times New Roman"/>
                <w:kern w:val="0"/>
                <w:szCs w:val="21"/>
                <w:lang w:val="en-US" w:eastAsia="zh-CN" w:bidi="ar"/>
              </w:rPr>
              <w:t>铺设</w:t>
            </w:r>
            <w:r>
              <w:rPr>
                <w:rFonts w:hint="default" w:ascii="Times New Roman" w:hAnsi="Times New Roman" w:cs="Times New Roman"/>
                <w:szCs w:val="21"/>
              </w:rPr>
              <w:t>20cm厚的P4抗渗透混凝土</w:t>
            </w:r>
            <w:r>
              <w:rPr>
                <w:rFonts w:hint="default" w:ascii="Times New Roman" w:hAnsi="Times New Roman" w:cs="Times New Roman"/>
                <w:szCs w:val="21"/>
                <w:lang w:val="en-US" w:eastAsia="zh-CN"/>
              </w:rPr>
              <w:t>+</w:t>
            </w:r>
            <w:r>
              <w:rPr>
                <w:rFonts w:hint="default" w:ascii="Times New Roman" w:hAnsi="Times New Roman" w:eastAsia="TimesNewRomanPSMT" w:cs="Times New Roman"/>
                <w:kern w:val="0"/>
                <w:szCs w:val="21"/>
                <w:lang w:bidi="ar"/>
              </w:rPr>
              <w:t>2mm</w:t>
            </w:r>
            <w:r>
              <w:rPr>
                <w:rFonts w:hint="default" w:ascii="Times New Roman" w:hAnsi="Times New Roman" w:cs="Times New Roman"/>
                <w:kern w:val="0"/>
                <w:szCs w:val="21"/>
                <w:lang w:bidi="ar"/>
              </w:rPr>
              <w:t>环氧树脂膜进行防渗处理，同时危废间铺设钢制托盘接漏防渗，</w:t>
            </w:r>
            <w:r>
              <w:rPr>
                <w:rFonts w:hint="default" w:ascii="Times New Roman" w:hAnsi="Times New Roman" w:cs="Times New Roman"/>
                <w:bCs/>
                <w:lang w:bidi="ar"/>
              </w:rPr>
              <w:t>以确保等效黏土防渗层Mb≥6.0m、渗透系数K≤10</w:t>
            </w:r>
            <w:r>
              <w:rPr>
                <w:rFonts w:hint="default" w:ascii="Times New Roman" w:hAnsi="Times New Roman" w:cs="Times New Roman"/>
                <w:bCs/>
                <w:vertAlign w:val="superscript"/>
                <w:lang w:bidi="ar"/>
              </w:rPr>
              <w:t>-7</w:t>
            </w:r>
            <w:r>
              <w:rPr>
                <w:rFonts w:hint="default" w:ascii="Times New Roman" w:hAnsi="Times New Roman" w:cs="Times New Roman"/>
                <w:bCs/>
                <w:lang w:bidi="ar"/>
              </w:rPr>
              <w:t>cm/s的要求。</w:t>
            </w:r>
            <w:r>
              <w:rPr>
                <w:rFonts w:hint="default" w:ascii="Times New Roman" w:hAnsi="Times New Roman" w:cs="Times New Roman"/>
                <w:color w:val="FF0000"/>
                <w:lang w:bidi="ar"/>
              </w:rPr>
              <w:t xml:space="preserve"> </w:t>
            </w:r>
          </w:p>
          <w:p>
            <w:pPr>
              <w:widowControl/>
              <w:adjustRightInd w:val="0"/>
              <w:snapToGrid w:val="0"/>
              <w:spacing w:line="360" w:lineRule="auto"/>
              <w:ind w:firstLine="482" w:firstLineChars="200"/>
              <w:jc w:val="left"/>
              <w:rPr>
                <w:rFonts w:hint="default" w:ascii="Times New Roman" w:hAnsi="Times New Roman" w:cs="Times New Roman"/>
                <w:bCs/>
              </w:rPr>
            </w:pPr>
            <w:r>
              <w:rPr>
                <w:rFonts w:hint="default" w:ascii="Times New Roman" w:hAnsi="Times New Roman" w:cs="Times New Roman"/>
                <w:b/>
                <w:kern w:val="0"/>
                <w:sz w:val="24"/>
                <w:lang w:bidi="ar"/>
              </w:rPr>
              <w:t>一般防渗区防渗措施为：</w:t>
            </w:r>
            <w:bookmarkStart w:id="11" w:name="_Hlk79490514"/>
            <w:r>
              <w:rPr>
                <w:rFonts w:hint="default" w:ascii="Times New Roman" w:hAnsi="Times New Roman" w:cs="Times New Roman"/>
                <w:color w:val="000000"/>
                <w:sz w:val="24"/>
              </w:rPr>
              <w:t>厂区除重点防渗区的其他</w:t>
            </w:r>
            <w:bookmarkEnd w:id="11"/>
            <w:r>
              <w:rPr>
                <w:rFonts w:hint="default" w:ascii="Times New Roman" w:hAnsi="Times New Roman" w:cs="Times New Roman"/>
                <w:color w:val="000000"/>
                <w:sz w:val="24"/>
              </w:rPr>
              <w:t>地方</w:t>
            </w:r>
            <w:r>
              <w:rPr>
                <w:rFonts w:hint="default" w:ascii="Times New Roman" w:hAnsi="Times New Roman" w:cs="Times New Roman"/>
                <w:bCs/>
                <w:kern w:val="0"/>
                <w:sz w:val="24"/>
                <w:lang w:bidi="ar"/>
              </w:rPr>
              <w:t>，铺设20cm厚的P4抗渗透混凝土。</w:t>
            </w:r>
            <w:r>
              <w:rPr>
                <w:rFonts w:hint="default" w:ascii="Times New Roman" w:hAnsi="Times New Roman" w:cs="Times New Roman"/>
                <w:bCs/>
                <w:kern w:val="0"/>
                <w:sz w:val="24"/>
                <w:lang w:val="en-US" w:eastAsia="zh-CN" w:bidi="ar"/>
              </w:rPr>
              <w:t>确保</w:t>
            </w:r>
            <w:r>
              <w:rPr>
                <w:rFonts w:hint="default" w:ascii="Times New Roman" w:hAnsi="Times New Roman" w:cs="Times New Roman"/>
                <w:bCs/>
                <w:kern w:val="0"/>
                <w:sz w:val="24"/>
                <w:lang w:bidi="ar"/>
              </w:rPr>
              <w:t>能达到等效黏土防渗层Mb≥1.5m、渗透系数K≤10</w:t>
            </w:r>
            <w:r>
              <w:rPr>
                <w:rFonts w:hint="default" w:ascii="Times New Roman" w:hAnsi="Times New Roman" w:cs="Times New Roman"/>
                <w:bCs/>
                <w:kern w:val="0"/>
                <w:sz w:val="24"/>
                <w:vertAlign w:val="superscript"/>
                <w:lang w:bidi="ar"/>
              </w:rPr>
              <w:t>-7</w:t>
            </w:r>
            <w:r>
              <w:rPr>
                <w:rFonts w:hint="default" w:ascii="Times New Roman" w:hAnsi="Times New Roman" w:cs="Times New Roman"/>
                <w:bCs/>
                <w:kern w:val="0"/>
                <w:sz w:val="24"/>
                <w:lang w:bidi="ar"/>
              </w:rPr>
              <w:t>cm/s的要求。</w:t>
            </w:r>
          </w:p>
          <w:p>
            <w:pPr>
              <w:widowControl/>
              <w:adjustRightInd w:val="0"/>
              <w:snapToGrid w:val="0"/>
              <w:spacing w:line="360" w:lineRule="auto"/>
              <w:ind w:firstLine="482" w:firstLineChars="200"/>
              <w:jc w:val="left"/>
              <w:rPr>
                <w:rFonts w:hint="default" w:ascii="Times New Roman" w:hAnsi="Times New Roman" w:cs="Times New Roman"/>
                <w:bCs/>
              </w:rPr>
            </w:pPr>
            <w:r>
              <w:rPr>
                <w:rFonts w:hint="default" w:ascii="Times New Roman" w:hAnsi="Times New Roman" w:cs="Times New Roman"/>
                <w:b/>
                <w:kern w:val="0"/>
                <w:sz w:val="24"/>
                <w:lang w:bidi="ar"/>
              </w:rPr>
              <w:t>简单防渗区防渗措施为：</w:t>
            </w:r>
            <w:r>
              <w:rPr>
                <w:rFonts w:hint="default" w:ascii="Times New Roman" w:hAnsi="Times New Roman" w:cs="Times New Roman"/>
                <w:bCs/>
                <w:kern w:val="0"/>
                <w:sz w:val="24"/>
                <w:lang w:val="en-US" w:eastAsia="zh-CN" w:bidi="ar"/>
              </w:rPr>
              <w:t>依托的</w:t>
            </w:r>
            <w:r>
              <w:rPr>
                <w:rFonts w:hint="default" w:ascii="Times New Roman" w:hAnsi="Times New Roman" w:cs="Times New Roman"/>
                <w:bCs/>
                <w:kern w:val="0"/>
                <w:sz w:val="24"/>
                <w:lang w:bidi="ar"/>
              </w:rPr>
              <w:t>休息室</w:t>
            </w:r>
            <w:r>
              <w:rPr>
                <w:rFonts w:hint="default" w:ascii="Times New Roman" w:hAnsi="Times New Roman" w:cs="Times New Roman"/>
                <w:bCs/>
                <w:kern w:val="0"/>
                <w:sz w:val="24"/>
                <w:lang w:eastAsia="zh-CN" w:bidi="ar"/>
              </w:rPr>
              <w:t>、更衣室、办公楼</w:t>
            </w:r>
            <w:r>
              <w:rPr>
                <w:rFonts w:hint="default" w:ascii="Times New Roman" w:hAnsi="Times New Roman" w:cs="Times New Roman"/>
                <w:bCs/>
                <w:sz w:val="24"/>
              </w:rPr>
              <w:t>，</w:t>
            </w:r>
            <w:r>
              <w:rPr>
                <w:rFonts w:hint="default" w:ascii="Times New Roman" w:hAnsi="Times New Roman" w:cs="Times New Roman"/>
                <w:bCs/>
                <w:kern w:val="0"/>
                <w:sz w:val="24"/>
                <w:lang w:bidi="ar"/>
              </w:rPr>
              <w:t>铺设20cm厚的P4抗渗透混凝土。</w:t>
            </w:r>
          </w:p>
          <w:p>
            <w:pPr>
              <w:pStyle w:val="2"/>
              <w:adjustRightInd w:val="0"/>
              <w:spacing w:before="0" w:after="0" w:line="360" w:lineRule="auto"/>
              <w:ind w:right="0" w:firstLine="480" w:firstLineChars="200"/>
              <w:rPr>
                <w:rFonts w:hint="default" w:ascii="Times New Roman" w:hAnsi="Times New Roman" w:cs="Times New Roman"/>
                <w:sz w:val="24"/>
              </w:rPr>
            </w:pPr>
            <w:r>
              <w:rPr>
                <w:rFonts w:hint="default" w:ascii="Times New Roman" w:hAnsi="Times New Roman" w:cs="Times New Roman"/>
                <w:sz w:val="24"/>
              </w:rPr>
              <w:t>分区防渗表如下表：</w:t>
            </w:r>
          </w:p>
          <w:p>
            <w:pPr>
              <w:pStyle w:val="2"/>
              <w:adjustRightInd w:val="0"/>
              <w:spacing w:before="0" w:after="0" w:line="360" w:lineRule="auto"/>
              <w:ind w:right="0" w:firstLine="422" w:firstLineChars="20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表4-1</w:t>
            </w:r>
            <w:r>
              <w:rPr>
                <w:rFonts w:hint="eastAsia" w:cs="Times New Roman"/>
                <w:b/>
                <w:bCs/>
                <w:sz w:val="21"/>
                <w:szCs w:val="21"/>
                <w:lang w:val="en-US" w:eastAsia="zh-CN"/>
              </w:rPr>
              <w:t>2</w:t>
            </w:r>
            <w:r>
              <w:rPr>
                <w:rFonts w:hint="default" w:ascii="Times New Roman" w:hAnsi="Times New Roman" w:cs="Times New Roman"/>
                <w:b/>
                <w:bCs/>
                <w:sz w:val="21"/>
                <w:szCs w:val="21"/>
              </w:rPr>
              <w:t xml:space="preserve"> 本项目分区防渗情况一览表</w:t>
            </w:r>
          </w:p>
          <w:tbl>
            <w:tblPr>
              <w:tblStyle w:val="26"/>
              <w:tblW w:w="5000" w:type="pct"/>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760"/>
              <w:gridCol w:w="2932"/>
              <w:gridCol w:w="1439"/>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26"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区域名称</w:t>
                  </w:r>
                </w:p>
              </w:tc>
              <w:tc>
                <w:tcPr>
                  <w:tcW w:w="793" w:type="dxa"/>
                  <w:vAlign w:val="center"/>
                </w:tcPr>
                <w:p>
                  <w:pPr>
                    <w:pStyle w:val="62"/>
                    <w:keepNext w:val="0"/>
                    <w:keepLines w:val="0"/>
                    <w:pageBreakBefore w:val="0"/>
                    <w:widowControl/>
                    <w:kinsoku/>
                    <w:wordWrap/>
                    <w:overflowPunct/>
                    <w:topLinePunct w:val="0"/>
                    <w:bidi w:val="0"/>
                    <w:snapToGrid w:val="0"/>
                    <w:spacing w:line="240" w:lineRule="auto"/>
                    <w:ind w:right="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分区</w:t>
                  </w:r>
                </w:p>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类别</w:t>
                  </w:r>
                </w:p>
              </w:tc>
              <w:tc>
                <w:tcPr>
                  <w:tcW w:w="3098"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防渗技术要求</w:t>
                  </w:r>
                </w:p>
              </w:tc>
              <w:tc>
                <w:tcPr>
                  <w:tcW w:w="1514"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现有厂房已有</w:t>
                  </w:r>
                </w:p>
              </w:tc>
              <w:tc>
                <w:tcPr>
                  <w:tcW w:w="1542"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本项目拟采取防渗措施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1426"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b/>
                      <w:bCs/>
                      <w:sz w:val="21"/>
                      <w:szCs w:val="21"/>
                    </w:rPr>
                  </w:pPr>
                  <w:r>
                    <w:rPr>
                      <w:rFonts w:hint="default" w:ascii="Times New Roman" w:hAnsi="Times New Roman" w:cs="Times New Roman"/>
                      <w:sz w:val="21"/>
                      <w:szCs w:val="21"/>
                    </w:rPr>
                    <w:t>危废暂存间</w:t>
                  </w:r>
                </w:p>
              </w:tc>
              <w:tc>
                <w:tcPr>
                  <w:tcW w:w="793" w:type="dxa"/>
                  <w:vMerge w:val="restart"/>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b/>
                      <w:bCs/>
                      <w:sz w:val="21"/>
                      <w:szCs w:val="21"/>
                    </w:rPr>
                  </w:pPr>
                  <w:r>
                    <w:rPr>
                      <w:rFonts w:hint="default" w:ascii="Times New Roman" w:hAnsi="Times New Roman" w:cs="Times New Roman"/>
                      <w:sz w:val="21"/>
                      <w:szCs w:val="21"/>
                    </w:rPr>
                    <w:t>重点防渗区</w:t>
                  </w:r>
                </w:p>
              </w:tc>
              <w:tc>
                <w:tcPr>
                  <w:tcW w:w="3098" w:type="dxa"/>
                  <w:vAlign w:val="center"/>
                </w:tcPr>
                <w:p>
                  <w:pPr>
                    <w:keepNext w:val="0"/>
                    <w:keepLines w:val="0"/>
                    <w:pageBreakBefore w:val="0"/>
                    <w:widowControl/>
                    <w:kinsoku/>
                    <w:wordWrap/>
                    <w:overflowPunct/>
                    <w:topLinePunct w:val="0"/>
                    <w:bidi w:val="0"/>
                    <w:spacing w:line="240" w:lineRule="auto"/>
                    <w:ind w:right="0"/>
                    <w:jc w:val="left"/>
                    <w:textAlignment w:val="auto"/>
                    <w:rPr>
                      <w:rFonts w:hint="default" w:ascii="Times New Roman" w:hAnsi="Times New Roman" w:cs="Times New Roman"/>
                      <w:szCs w:val="21"/>
                    </w:rPr>
                  </w:pPr>
                  <w:r>
                    <w:rPr>
                      <w:rFonts w:hint="default" w:ascii="Times New Roman" w:hAnsi="Times New Roman" w:cs="Times New Roman"/>
                      <w:szCs w:val="21"/>
                    </w:rPr>
                    <w:t>参照《危险废物贮存污染控制标准》要求进行防渗设计，基础必须防渗，防渗层为至少2mm厚高密度聚乙烯，渗透系数≤10</w:t>
                  </w:r>
                  <w:r>
                    <w:rPr>
                      <w:rFonts w:hint="default" w:ascii="Times New Roman" w:hAnsi="Times New Roman" w:cs="Times New Roman"/>
                      <w:szCs w:val="21"/>
                      <w:vertAlign w:val="superscript"/>
                    </w:rPr>
                    <w:t>-10</w:t>
                  </w:r>
                  <w:r>
                    <w:rPr>
                      <w:rFonts w:hint="default" w:ascii="Times New Roman" w:hAnsi="Times New Roman" w:cs="Times New Roman"/>
                      <w:szCs w:val="21"/>
                    </w:rPr>
                    <w:t>cm/s。</w:t>
                  </w:r>
                </w:p>
              </w:tc>
              <w:tc>
                <w:tcPr>
                  <w:tcW w:w="1514" w:type="dxa"/>
                  <w:vAlign w:val="center"/>
                </w:tcPr>
                <w:p>
                  <w:pPr>
                    <w:keepNext w:val="0"/>
                    <w:keepLines w:val="0"/>
                    <w:pageBreakBefore w:val="0"/>
                    <w:widowControl/>
                    <w:kinsoku/>
                    <w:wordWrap/>
                    <w:overflowPunct/>
                    <w:topLinePunct w:val="0"/>
                    <w:bidi w:val="0"/>
                    <w:spacing w:line="240" w:lineRule="auto"/>
                    <w:ind w:right="0"/>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c>
                <w:tcPr>
                  <w:tcW w:w="1542" w:type="dxa"/>
                  <w:vMerge w:val="restart"/>
                  <w:vAlign w:val="center"/>
                </w:tcPr>
                <w:p>
                  <w:pPr>
                    <w:keepNext w:val="0"/>
                    <w:keepLines w:val="0"/>
                    <w:pageBreakBefore w:val="0"/>
                    <w:widowControl/>
                    <w:kinsoku/>
                    <w:wordWrap/>
                    <w:overflowPunct/>
                    <w:topLinePunct w:val="0"/>
                    <w:bidi w:val="0"/>
                    <w:spacing w:line="240" w:lineRule="auto"/>
                    <w:ind w:right="0"/>
                    <w:jc w:val="center"/>
                    <w:textAlignment w:val="auto"/>
                    <w:rPr>
                      <w:rFonts w:hint="default" w:ascii="Times New Roman" w:hAnsi="Times New Roman" w:cs="Times New Roman"/>
                      <w:szCs w:val="21"/>
                    </w:rPr>
                  </w:pPr>
                  <w:r>
                    <w:rPr>
                      <w:rFonts w:hint="default" w:ascii="Times New Roman" w:hAnsi="Times New Roman" w:cs="Times New Roman"/>
                      <w:kern w:val="0"/>
                      <w:szCs w:val="21"/>
                      <w:lang w:val="en-US" w:eastAsia="zh-CN" w:bidi="ar"/>
                    </w:rPr>
                    <w:t>铺设</w:t>
                  </w:r>
                  <w:r>
                    <w:rPr>
                      <w:rFonts w:hint="default" w:ascii="Times New Roman" w:hAnsi="Times New Roman" w:cs="Times New Roman"/>
                      <w:szCs w:val="21"/>
                    </w:rPr>
                    <w:t>20cm厚的P4抗渗透混凝土</w:t>
                  </w:r>
                  <w:r>
                    <w:rPr>
                      <w:rFonts w:hint="default" w:ascii="Times New Roman" w:hAnsi="Times New Roman" w:cs="Times New Roman"/>
                      <w:szCs w:val="21"/>
                      <w:lang w:val="en-US" w:eastAsia="zh-CN"/>
                    </w:rPr>
                    <w:t>+</w:t>
                  </w:r>
                  <w:r>
                    <w:rPr>
                      <w:rFonts w:hint="default" w:ascii="Times New Roman" w:hAnsi="Times New Roman" w:eastAsia="TimesNewRomanPSMT" w:cs="Times New Roman"/>
                      <w:kern w:val="0"/>
                      <w:szCs w:val="21"/>
                      <w:lang w:bidi="ar"/>
                    </w:rPr>
                    <w:t>2mm</w:t>
                  </w:r>
                  <w:r>
                    <w:rPr>
                      <w:rFonts w:hint="default" w:ascii="Times New Roman" w:hAnsi="Times New Roman" w:cs="Times New Roman"/>
                      <w:kern w:val="0"/>
                      <w:szCs w:val="21"/>
                      <w:lang w:bidi="ar"/>
                    </w:rPr>
                    <w:t>环氧树脂膜进行防渗处理，同时危废间铺设钢制托盘接漏防渗，以确保渗透系数≤</w:t>
                  </w:r>
                  <w:r>
                    <w:rPr>
                      <w:rFonts w:hint="default" w:ascii="Times New Roman" w:hAnsi="Times New Roman" w:eastAsia="TimesNewRomanPSMT" w:cs="Times New Roman"/>
                      <w:kern w:val="0"/>
                      <w:szCs w:val="21"/>
                      <w:lang w:bidi="ar"/>
                    </w:rPr>
                    <w:t>10</w:t>
                  </w:r>
                  <w:r>
                    <w:rPr>
                      <w:rFonts w:hint="default" w:ascii="Times New Roman" w:hAnsi="Times New Roman" w:eastAsia="TimesNewRomanPSMT" w:cs="Times New Roman"/>
                      <w:kern w:val="0"/>
                      <w:szCs w:val="21"/>
                      <w:vertAlign w:val="superscript"/>
                      <w:lang w:bidi="ar"/>
                    </w:rPr>
                    <w:t>-10</w:t>
                  </w:r>
                  <w:r>
                    <w:rPr>
                      <w:rFonts w:hint="default" w:ascii="Times New Roman" w:hAnsi="Times New Roman" w:eastAsia="TimesNewRomanPSMT" w:cs="Times New Roman"/>
                      <w:kern w:val="0"/>
                      <w:szCs w:val="21"/>
                      <w:lang w:bidi="ar"/>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426"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b/>
                      <w:bCs/>
                      <w:sz w:val="21"/>
                      <w:szCs w:val="21"/>
                    </w:rPr>
                  </w:pPr>
                  <w:r>
                    <w:rPr>
                      <w:rFonts w:hint="default" w:ascii="Times New Roman" w:hAnsi="Times New Roman" w:cs="Times New Roman"/>
                      <w:sz w:val="21"/>
                      <w:szCs w:val="21"/>
                    </w:rPr>
                    <w:t>柴油发电机房、储油间</w:t>
                  </w:r>
                </w:p>
              </w:tc>
              <w:tc>
                <w:tcPr>
                  <w:tcW w:w="793" w:type="dxa"/>
                  <w:vMerge w:val="continue"/>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b/>
                      <w:bCs/>
                      <w:sz w:val="21"/>
                      <w:szCs w:val="21"/>
                    </w:rPr>
                  </w:pPr>
                </w:p>
              </w:tc>
              <w:tc>
                <w:tcPr>
                  <w:tcW w:w="3098" w:type="dxa"/>
                  <w:vAlign w:val="center"/>
                </w:tcPr>
                <w:p>
                  <w:pPr>
                    <w:keepNext w:val="0"/>
                    <w:keepLines w:val="0"/>
                    <w:pageBreakBefore w:val="0"/>
                    <w:widowControl/>
                    <w:kinsoku/>
                    <w:wordWrap/>
                    <w:overflowPunct/>
                    <w:topLinePunct w:val="0"/>
                    <w:bidi w:val="0"/>
                    <w:spacing w:line="240" w:lineRule="auto"/>
                    <w:ind w:right="0"/>
                    <w:textAlignment w:val="auto"/>
                    <w:rPr>
                      <w:rFonts w:hint="default" w:ascii="Times New Roman" w:hAnsi="Times New Roman" w:cs="Times New Roman"/>
                      <w:szCs w:val="21"/>
                    </w:rPr>
                  </w:pPr>
                  <w:r>
                    <w:rPr>
                      <w:rFonts w:hint="default" w:ascii="Times New Roman" w:hAnsi="Times New Roman" w:cs="Times New Roman"/>
                      <w:szCs w:val="21"/>
                    </w:rPr>
                    <w:t>参照《环境影响评价技术导则·地下水环境》中重点区的要求，等效黏土防渗层Mb≥6.0m，渗透系数K≤10</w:t>
                  </w:r>
                  <w:r>
                    <w:rPr>
                      <w:rFonts w:hint="default" w:ascii="Times New Roman" w:hAnsi="Times New Roman" w:cs="Times New Roman"/>
                      <w:szCs w:val="21"/>
                      <w:vertAlign w:val="superscript"/>
                    </w:rPr>
                    <w:t>-7</w:t>
                  </w:r>
                  <w:r>
                    <w:rPr>
                      <w:rFonts w:hint="default" w:ascii="Times New Roman" w:hAnsi="Times New Roman" w:cs="Times New Roman"/>
                      <w:szCs w:val="21"/>
                    </w:rPr>
                    <w:t xml:space="preserve"> cm/s</w:t>
                  </w:r>
                </w:p>
              </w:tc>
              <w:tc>
                <w:tcPr>
                  <w:tcW w:w="1514" w:type="dxa"/>
                  <w:vAlign w:val="center"/>
                </w:tcPr>
                <w:p>
                  <w:pPr>
                    <w:keepNext w:val="0"/>
                    <w:keepLines w:val="0"/>
                    <w:pageBreakBefore w:val="0"/>
                    <w:widowControl/>
                    <w:kinsoku/>
                    <w:wordWrap/>
                    <w:overflowPunct/>
                    <w:topLinePunct w:val="0"/>
                    <w:bidi w:val="0"/>
                    <w:spacing w:line="240" w:lineRule="auto"/>
                    <w:ind w:right="0"/>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c>
                <w:tcPr>
                  <w:tcW w:w="1542" w:type="dxa"/>
                  <w:vMerge w:val="continue"/>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1426"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除重点防渗区、简单防渗区外其他区域</w:t>
                  </w:r>
                </w:p>
              </w:tc>
              <w:tc>
                <w:tcPr>
                  <w:tcW w:w="793"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b/>
                      <w:bCs/>
                      <w:sz w:val="21"/>
                      <w:szCs w:val="21"/>
                    </w:rPr>
                  </w:pPr>
                  <w:r>
                    <w:rPr>
                      <w:rFonts w:hint="default" w:ascii="Times New Roman" w:hAnsi="Times New Roman" w:cs="Times New Roman"/>
                      <w:sz w:val="21"/>
                      <w:szCs w:val="21"/>
                    </w:rPr>
                    <w:t>一般防渗区</w:t>
                  </w:r>
                </w:p>
              </w:tc>
              <w:tc>
                <w:tcPr>
                  <w:tcW w:w="3098" w:type="dxa"/>
                  <w:vAlign w:val="center"/>
                </w:tcPr>
                <w:p>
                  <w:pPr>
                    <w:keepNext w:val="0"/>
                    <w:keepLines w:val="0"/>
                    <w:pageBreakBefore w:val="0"/>
                    <w:widowControl/>
                    <w:kinsoku/>
                    <w:wordWrap/>
                    <w:overflowPunct/>
                    <w:topLinePunct w:val="0"/>
                    <w:bidi w:val="0"/>
                    <w:spacing w:line="240" w:lineRule="auto"/>
                    <w:ind w:right="0"/>
                    <w:jc w:val="left"/>
                    <w:textAlignment w:val="auto"/>
                    <w:rPr>
                      <w:rFonts w:hint="default" w:ascii="Times New Roman" w:hAnsi="Times New Roman" w:cs="Times New Roman"/>
                      <w:szCs w:val="21"/>
                    </w:rPr>
                  </w:pPr>
                  <w:r>
                    <w:rPr>
                      <w:rFonts w:hint="default" w:ascii="Times New Roman" w:hAnsi="Times New Roman" w:cs="Times New Roman"/>
                      <w:szCs w:val="21"/>
                    </w:rPr>
                    <w:t>参照《环境影响评价技术导则·地下水环境》中一般防渗区的要求，等效黏土防渗层Mb≥1.5m，渗透系数K≤10</w:t>
                  </w:r>
                  <w:r>
                    <w:rPr>
                      <w:rFonts w:hint="default" w:ascii="Times New Roman" w:hAnsi="Times New Roman" w:cs="Times New Roman"/>
                      <w:szCs w:val="21"/>
                      <w:vertAlign w:val="superscript"/>
                    </w:rPr>
                    <w:t>-7</w:t>
                  </w:r>
                  <w:r>
                    <w:rPr>
                      <w:rFonts w:hint="default" w:ascii="Times New Roman" w:hAnsi="Times New Roman" w:cs="Times New Roman"/>
                      <w:szCs w:val="21"/>
                    </w:rPr>
                    <w:t xml:space="preserve"> cm/s</w:t>
                  </w:r>
                </w:p>
              </w:tc>
              <w:tc>
                <w:tcPr>
                  <w:tcW w:w="1514" w:type="dxa"/>
                  <w:vAlign w:val="center"/>
                </w:tcPr>
                <w:p>
                  <w:pPr>
                    <w:keepNext w:val="0"/>
                    <w:keepLines w:val="0"/>
                    <w:pageBreakBefore w:val="0"/>
                    <w:widowControl/>
                    <w:kinsoku/>
                    <w:wordWrap/>
                    <w:overflowPunct/>
                    <w:topLinePunct w:val="0"/>
                    <w:autoSpaceDN w:val="0"/>
                    <w:bidi w:val="0"/>
                    <w:adjustRightInd w:val="0"/>
                    <w:snapToGrid w:val="0"/>
                    <w:spacing w:line="240" w:lineRule="auto"/>
                    <w:ind w:right="0"/>
                    <w:jc w:val="center"/>
                    <w:textAlignment w:val="auto"/>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w:t>
                  </w:r>
                </w:p>
              </w:tc>
              <w:tc>
                <w:tcPr>
                  <w:tcW w:w="1542"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4"/>
                    </w:rPr>
                    <w:t>铺设20cm厚的P4抗渗透混凝土。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426"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lang w:val="en-US" w:eastAsia="zh-CN"/>
                    </w:rPr>
                    <w:t>依托</w:t>
                  </w:r>
                  <w:r>
                    <w:rPr>
                      <w:rFonts w:hint="default" w:ascii="Times New Roman" w:hAnsi="Times New Roman" w:cs="Times New Roman"/>
                      <w:sz w:val="21"/>
                      <w:szCs w:val="21"/>
                    </w:rPr>
                    <w:t>休息室</w:t>
                  </w:r>
                  <w:r>
                    <w:rPr>
                      <w:rFonts w:hint="default" w:ascii="Times New Roman" w:hAnsi="Times New Roman" w:cs="Times New Roman"/>
                      <w:sz w:val="21"/>
                      <w:szCs w:val="21"/>
                      <w:lang w:eastAsia="zh-CN"/>
                    </w:rPr>
                    <w:t>、更衣室、办公楼</w:t>
                  </w:r>
                </w:p>
              </w:tc>
              <w:tc>
                <w:tcPr>
                  <w:tcW w:w="793"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b/>
                      <w:bCs/>
                      <w:sz w:val="21"/>
                      <w:szCs w:val="21"/>
                    </w:rPr>
                  </w:pPr>
                  <w:r>
                    <w:rPr>
                      <w:rFonts w:hint="default" w:ascii="Times New Roman" w:hAnsi="Times New Roman" w:cs="Times New Roman"/>
                      <w:sz w:val="21"/>
                      <w:szCs w:val="21"/>
                    </w:rPr>
                    <w:t>简单防渗区</w:t>
                  </w:r>
                </w:p>
              </w:tc>
              <w:tc>
                <w:tcPr>
                  <w:tcW w:w="3098"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一般地面硬化</w:t>
                  </w:r>
                </w:p>
              </w:tc>
              <w:tc>
                <w:tcPr>
                  <w:tcW w:w="1514"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20cm厚的P4抗渗透混凝土</w:t>
                  </w:r>
                </w:p>
              </w:tc>
              <w:tc>
                <w:tcPr>
                  <w:tcW w:w="1542" w:type="dxa"/>
                  <w:vAlign w:val="center"/>
                </w:tcPr>
                <w:p>
                  <w:pPr>
                    <w:pStyle w:val="2"/>
                    <w:keepNext w:val="0"/>
                    <w:keepLines w:val="0"/>
                    <w:pageBreakBefore w:val="0"/>
                    <w:widowControl/>
                    <w:kinsoku/>
                    <w:wordWrap/>
                    <w:overflowPunct/>
                    <w:topLinePunct w:val="0"/>
                    <w:bidi w:val="0"/>
                    <w:adjustRightIn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依托使用</w:t>
                  </w:r>
                </w:p>
              </w:tc>
            </w:tr>
          </w:tbl>
          <w:p>
            <w:pPr>
              <w:adjustRightInd w:val="0"/>
              <w:snapToGrid w:val="0"/>
              <w:spacing w:line="360" w:lineRule="auto"/>
              <w:ind w:firstLine="480" w:firstLineChars="200"/>
              <w:rPr>
                <w:rFonts w:hint="default" w:ascii="Times New Roman" w:hAnsi="Times New Roman" w:cs="Times New Roman"/>
                <w:b/>
              </w:rPr>
            </w:pPr>
            <w:r>
              <w:rPr>
                <w:rFonts w:hint="default" w:ascii="Times New Roman" w:hAnsi="Times New Roman" w:cs="Times New Roman"/>
                <w:bCs/>
                <w:sz w:val="24"/>
              </w:rPr>
              <w:t>综上，在采取上述分区防渗处理措施后，并在加强维护和厂区环境管理的前提下，可有效控制项目对区域地下水的污染，项目对地下水基本不会造成明显影响。</w:t>
            </w:r>
          </w:p>
          <w:p>
            <w:pPr>
              <w:adjustRightInd w:val="0"/>
              <w:snapToGrid w:val="0"/>
              <w:spacing w:line="360" w:lineRule="auto"/>
              <w:ind w:left="420"/>
              <w:rPr>
                <w:rFonts w:hint="default" w:ascii="Times New Roman" w:hAnsi="Times New Roman" w:cs="Times New Roman"/>
                <w:b/>
                <w:bCs/>
                <w:sz w:val="24"/>
              </w:rPr>
            </w:pPr>
            <w:r>
              <w:rPr>
                <w:rFonts w:hint="default" w:ascii="Times New Roman" w:hAnsi="Times New Roman" w:cs="Times New Roman"/>
                <w:b/>
                <w:bCs/>
                <w:sz w:val="24"/>
              </w:rPr>
              <w:t>2、土壤环境影响防治措施</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pPr>
              <w:pStyle w:val="2"/>
              <w:adjustRightInd w:val="0"/>
              <w:spacing w:before="0" w:after="0" w:line="360" w:lineRule="auto"/>
              <w:ind w:right="0" w:firstLine="480" w:firstLineChars="200"/>
              <w:rPr>
                <w:rFonts w:hint="default" w:ascii="Times New Roman" w:hAnsi="Times New Roman" w:cs="Times New Roman"/>
                <w:bCs/>
                <w:kern w:val="2"/>
                <w:sz w:val="24"/>
                <w:szCs w:val="24"/>
              </w:rPr>
            </w:pPr>
            <w:r>
              <w:rPr>
                <w:rFonts w:hint="default" w:ascii="Times New Roman" w:hAnsi="Times New Roman" w:cs="Times New Roman"/>
                <w:bCs/>
                <w:kern w:val="2"/>
                <w:sz w:val="24"/>
                <w:szCs w:val="24"/>
              </w:rPr>
              <w:t>本项目污染物质可以通过多种途径进入土壤，主要类型有以下三种：</w:t>
            </w:r>
          </w:p>
          <w:p>
            <w:pPr>
              <w:pStyle w:val="2"/>
              <w:adjustRightInd w:val="0"/>
              <w:spacing w:before="0" w:after="0" w:line="360" w:lineRule="auto"/>
              <w:ind w:right="0" w:firstLine="480" w:firstLineChars="200"/>
              <w:rPr>
                <w:rFonts w:hint="default" w:ascii="Times New Roman" w:hAnsi="Times New Roman" w:cs="Times New Roman"/>
                <w:bCs/>
                <w:kern w:val="2"/>
                <w:sz w:val="24"/>
                <w:szCs w:val="24"/>
              </w:rPr>
            </w:pPr>
            <w:r>
              <w:rPr>
                <w:rFonts w:hint="default" w:ascii="Times New Roman" w:hAnsi="Times New Roman" w:cs="Times New Roman"/>
                <w:bCs/>
                <w:kern w:val="2"/>
                <w:sz w:val="24"/>
                <w:szCs w:val="24"/>
              </w:rPr>
              <w:t>（1）大气污染型：污染物质来源于被污染的大气，污染物质主要集中在土壤表层，大气中的颗粒物等降落地面，会造成土壤的多种污染。</w:t>
            </w:r>
          </w:p>
          <w:p>
            <w:pPr>
              <w:pStyle w:val="2"/>
              <w:adjustRightInd w:val="0"/>
              <w:spacing w:before="0" w:after="0" w:line="360" w:lineRule="auto"/>
              <w:ind w:right="0" w:firstLine="480" w:firstLineChars="200"/>
              <w:rPr>
                <w:rFonts w:hint="default" w:ascii="Times New Roman" w:hAnsi="Times New Roman" w:cs="Times New Roman"/>
                <w:bCs/>
                <w:kern w:val="2"/>
                <w:sz w:val="24"/>
                <w:szCs w:val="24"/>
              </w:rPr>
            </w:pPr>
            <w:r>
              <w:rPr>
                <w:rFonts w:hint="default" w:ascii="Times New Roman" w:hAnsi="Times New Roman" w:cs="Times New Roman"/>
                <w:bCs/>
                <w:kern w:val="2"/>
                <w:sz w:val="24"/>
                <w:szCs w:val="24"/>
              </w:rPr>
              <w:t>（2）水污染型：废水不能做到达标排放或事故状态下未经处理直接排放，或发生泄漏，致使土壤受到无机盐、有机物的污染。</w:t>
            </w:r>
          </w:p>
          <w:p>
            <w:pPr>
              <w:pStyle w:val="2"/>
              <w:adjustRightInd w:val="0"/>
              <w:spacing w:before="0" w:after="0" w:line="360" w:lineRule="auto"/>
              <w:ind w:right="0" w:firstLine="480" w:firstLineChars="200"/>
              <w:rPr>
                <w:rFonts w:hint="default" w:ascii="Times New Roman" w:hAnsi="Times New Roman" w:cs="Times New Roman"/>
                <w:bCs/>
                <w:kern w:val="2"/>
                <w:sz w:val="24"/>
                <w:szCs w:val="24"/>
              </w:rPr>
            </w:pPr>
            <w:r>
              <w:rPr>
                <w:rFonts w:hint="default" w:ascii="Times New Roman" w:hAnsi="Times New Roman" w:cs="Times New Roman"/>
                <w:bCs/>
                <w:kern w:val="2"/>
                <w:sz w:val="24"/>
                <w:szCs w:val="24"/>
              </w:rPr>
              <w:t>（3）固体废物污染型：一般固体废物及各项危险废物等在运输、贮存或堆放过程中通过扩散、降水淋洗等直接或间接地影响土壤。</w:t>
            </w:r>
          </w:p>
          <w:p>
            <w:pPr>
              <w:pStyle w:val="2"/>
              <w:adjustRightInd w:val="0"/>
              <w:spacing w:before="0" w:after="0" w:line="360" w:lineRule="auto"/>
              <w:ind w:right="0" w:firstLine="480" w:firstLineChars="200"/>
              <w:rPr>
                <w:rFonts w:hint="default" w:ascii="Times New Roman" w:hAnsi="Times New Roman" w:cs="Times New Roman"/>
                <w:bCs/>
                <w:kern w:val="2"/>
                <w:sz w:val="24"/>
                <w:szCs w:val="24"/>
              </w:rPr>
            </w:pPr>
            <w:r>
              <w:rPr>
                <w:rFonts w:hint="default" w:ascii="Times New Roman" w:hAnsi="Times New Roman" w:cs="Times New Roman"/>
                <w:bCs/>
                <w:kern w:val="2"/>
                <w:sz w:val="24"/>
                <w:szCs w:val="24"/>
              </w:rPr>
              <w:t>本项目废气污染物排放量较小，可经过收集治理后达标排放，不会对周边土壤环境造成明显不利影响；生活污水及生产废水可通过污水管网进入污水处理厂处理后达标排放。同时，各项固体废物均分类收集并进行合理无害化处置。因此，本项目运营对区域土壤环境影响较小。</w:t>
            </w:r>
          </w:p>
          <w:p>
            <w:pPr>
              <w:pStyle w:val="4"/>
              <w:spacing w:before="0" w:after="0" w:line="360" w:lineRule="auto"/>
              <w:ind w:firstLine="482"/>
              <w:rPr>
                <w:rFonts w:hint="default" w:ascii="Times New Roman" w:hAnsi="Times New Roman" w:eastAsia="宋体" w:cs="Times New Roman"/>
                <w:bCs w:val="0"/>
                <w:sz w:val="24"/>
                <w:szCs w:val="24"/>
              </w:rPr>
            </w:pPr>
            <w:r>
              <w:rPr>
                <w:rFonts w:hint="default" w:ascii="Times New Roman" w:hAnsi="Times New Roman" w:eastAsia="宋体" w:cs="Times New Roman"/>
                <w:bCs w:val="0"/>
                <w:sz w:val="24"/>
                <w:szCs w:val="24"/>
              </w:rPr>
              <w:t>1.6生态环境影响防范措施</w:t>
            </w:r>
          </w:p>
          <w:p>
            <w:pPr>
              <w:pStyle w:val="2"/>
              <w:adjustRightInd w:val="0"/>
              <w:spacing w:before="0" w:after="0" w:line="360" w:lineRule="auto"/>
              <w:ind w:right="0" w:firstLine="480" w:firstLineChars="200"/>
              <w:rPr>
                <w:rFonts w:hint="default" w:ascii="Times New Roman" w:hAnsi="Times New Roman" w:cs="Times New Roman"/>
                <w:bCs/>
                <w:kern w:val="2"/>
                <w:sz w:val="24"/>
                <w:szCs w:val="24"/>
              </w:rPr>
            </w:pPr>
            <w:r>
              <w:rPr>
                <w:rFonts w:hint="default" w:ascii="Times New Roman" w:hAnsi="Times New Roman" w:cs="Times New Roman"/>
                <w:bCs/>
                <w:kern w:val="2"/>
                <w:sz w:val="24"/>
                <w:szCs w:val="24"/>
              </w:rPr>
              <w:t>本项目位于</w:t>
            </w:r>
            <w:r>
              <w:rPr>
                <w:rFonts w:hint="default" w:ascii="Times New Roman" w:hAnsi="Times New Roman" w:cs="Times New Roman"/>
                <w:sz w:val="24"/>
                <w:lang w:eastAsia="zh-CN"/>
              </w:rPr>
              <w:t>四川省遂宁市大英县隆盛镇席家沟村</w:t>
            </w:r>
            <w:r>
              <w:rPr>
                <w:rFonts w:hint="default" w:ascii="Times New Roman" w:hAnsi="Times New Roman" w:cs="Times New Roman"/>
                <w:bCs/>
                <w:kern w:val="2"/>
                <w:sz w:val="24"/>
                <w:szCs w:val="24"/>
              </w:rPr>
              <w:t>，项目只进行设备的安装及调试，不直接构成对地表植被的破坏。项目运营生产过程中使用清洁能源电，不使用燃煤。生产过程中产生的各项污染物均采取了有效的防治措施，项目生产不会对当地生态环境造成影响，生态环境质量维持原有水平。</w:t>
            </w:r>
          </w:p>
          <w:p>
            <w:pPr>
              <w:pStyle w:val="4"/>
              <w:spacing w:before="0" w:after="0" w:line="360" w:lineRule="auto"/>
              <w:ind w:firstLine="482"/>
              <w:rPr>
                <w:rFonts w:hint="default" w:ascii="Times New Roman" w:hAnsi="Times New Roman" w:eastAsia="宋体" w:cs="Times New Roman"/>
                <w:bCs w:val="0"/>
                <w:sz w:val="24"/>
                <w:szCs w:val="24"/>
              </w:rPr>
            </w:pPr>
            <w:r>
              <w:rPr>
                <w:rFonts w:hint="default" w:ascii="Times New Roman" w:hAnsi="Times New Roman" w:eastAsia="宋体" w:cs="Times New Roman"/>
                <w:bCs w:val="0"/>
                <w:sz w:val="24"/>
                <w:szCs w:val="24"/>
              </w:rPr>
              <w:t>1.7环境风险防范措施</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次环境风险评价通过分析可能存在的主要物料的危险性和毒性，对环境安全进行分析，包括风险概率及风险影响分析，并分析特征污染物的环境容量，提出风险防范及发生安全事故事件应急处理的综合方案，从而达到降低风险性、降低危害程度、保护环境的目的。</w:t>
            </w:r>
          </w:p>
          <w:p>
            <w:pPr>
              <w:widowControl/>
              <w:adjustRightInd w:val="0"/>
              <w:snapToGrid w:val="0"/>
              <w:spacing w:line="360" w:lineRule="auto"/>
              <w:ind w:firstLine="480" w:firstLineChars="200"/>
              <w:jc w:val="left"/>
              <w:rPr>
                <w:rFonts w:hint="default" w:ascii="Times New Roman" w:hAnsi="Times New Roman" w:cs="Times New Roman"/>
              </w:rPr>
            </w:pPr>
            <w:r>
              <w:rPr>
                <w:rFonts w:hint="default" w:ascii="Times New Roman" w:hAnsi="Times New Roman" w:cs="Times New Roman"/>
                <w:kern w:val="0"/>
                <w:sz w:val="24"/>
                <w:lang w:bidi="ar"/>
              </w:rPr>
              <w:t>根据项目营运过程中使用的各种原辅材料情况，并参照《危险化学品重大危险源辨识》（GB18218-2018）中相关规定可知，项目使用的各种原辅材料均未构成重大危险源。根据《建设项目环境风险评价技术导则》（TJ/T169-2018），本项目环境风险评价内容主要是进行风险识别，提出防范、减缓和应急措施。</w:t>
            </w:r>
          </w:p>
          <w:p>
            <w:pPr>
              <w:autoSpaceDE w:val="0"/>
              <w:autoSpaceDN w:val="0"/>
              <w:adjustRightInd w:val="0"/>
              <w:snapToGrid w:val="0"/>
              <w:spacing w:line="360" w:lineRule="auto"/>
              <w:ind w:left="420"/>
              <w:jc w:val="left"/>
              <w:rPr>
                <w:rFonts w:hint="default" w:ascii="Times New Roman" w:hAnsi="Times New Roman" w:cs="Times New Roman"/>
                <w:b/>
                <w:bCs/>
                <w:kern w:val="0"/>
                <w:sz w:val="24"/>
                <w:szCs w:val="20"/>
              </w:rPr>
            </w:pPr>
            <w:r>
              <w:rPr>
                <w:rFonts w:hint="default" w:ascii="Times New Roman" w:hAnsi="Times New Roman" w:cs="Times New Roman"/>
                <w:b/>
                <w:bCs/>
                <w:kern w:val="0"/>
                <w:sz w:val="24"/>
                <w:szCs w:val="20"/>
              </w:rPr>
              <w:t>1、风险调查</w:t>
            </w:r>
          </w:p>
          <w:p>
            <w:pPr>
              <w:autoSpaceDE w:val="0"/>
              <w:autoSpaceDN w:val="0"/>
              <w:adjustRightInd w:val="0"/>
              <w:spacing w:line="360" w:lineRule="auto"/>
              <w:ind w:firstLine="480" w:firstLineChars="200"/>
              <w:jc w:val="left"/>
              <w:rPr>
                <w:rFonts w:hint="default" w:ascii="Times New Roman" w:hAnsi="Times New Roman" w:cs="Times New Roman"/>
                <w:kern w:val="0"/>
                <w:sz w:val="24"/>
                <w:szCs w:val="20"/>
              </w:rPr>
            </w:pPr>
            <w:r>
              <w:rPr>
                <w:rFonts w:hint="default" w:ascii="Times New Roman" w:hAnsi="Times New Roman" w:cs="Times New Roman"/>
                <w:kern w:val="0"/>
                <w:sz w:val="24"/>
                <w:szCs w:val="20"/>
              </w:rPr>
              <w:t>（1）风险调查及风险潜势初判</w:t>
            </w:r>
          </w:p>
          <w:p>
            <w:pPr>
              <w:pStyle w:val="21"/>
              <w:autoSpaceDE w:val="0"/>
              <w:autoSpaceDN w:val="0"/>
              <w:adjustRightInd w:val="0"/>
              <w:snapToGrid w:val="0"/>
              <w:spacing w:before="0" w:beforeAutospacing="0" w:after="0" w:afterAutospacing="0" w:line="360" w:lineRule="auto"/>
              <w:ind w:firstLine="480" w:firstLineChars="200"/>
              <w:rPr>
                <w:rFonts w:hint="default" w:ascii="Times New Roman" w:hAnsi="Times New Roman" w:eastAsia="宋体" w:cs="Times New Roman"/>
                <w:lang w:eastAsia="zh-CN"/>
              </w:rPr>
            </w:pPr>
            <w:r>
              <w:rPr>
                <w:rFonts w:hint="default" w:ascii="Times New Roman" w:hAnsi="Times New Roman" w:cs="Times New Roman"/>
              </w:rPr>
              <w:t>本项目生物质气化得到的生物质气化燃气为混合物，主要成分为氮气、氧化碳、氢气、二氧化碳、甲烷、乙烷、乙烯、硫化氢等，对照《建设项目环境风险评价技术导则》</w:t>
            </w:r>
            <w:r>
              <w:rPr>
                <w:rFonts w:hint="eastAsia" w:ascii="Times New Roman" w:hAnsi="Times New Roman" w:cs="Times New Roman"/>
                <w:lang w:eastAsia="zh-CN"/>
              </w:rPr>
              <w:t>（</w:t>
            </w:r>
            <w:r>
              <w:rPr>
                <w:rFonts w:hint="default" w:ascii="Times New Roman" w:hAnsi="Times New Roman" w:cs="Times New Roman"/>
              </w:rPr>
              <w:t>HJ169-2018</w:t>
            </w:r>
            <w:r>
              <w:rPr>
                <w:rFonts w:hint="eastAsia" w:ascii="Times New Roman" w:hAnsi="Times New Roman" w:cs="Times New Roman"/>
                <w:lang w:eastAsia="zh-CN"/>
              </w:rPr>
              <w:t>）</w:t>
            </w:r>
            <w:r>
              <w:rPr>
                <w:rFonts w:hint="default" w:ascii="Times New Roman" w:hAnsi="Times New Roman" w:cs="Times New Roman"/>
              </w:rPr>
              <w:t>附录 B，生物质气化燃气成分中氧化碳、甲烷、乙烷、乙烯、</w:t>
            </w:r>
            <w:r>
              <w:rPr>
                <w:rFonts w:hint="default" w:ascii="Times New Roman" w:hAnsi="Times New Roman" w:cs="Times New Roman"/>
                <w:lang w:val="en-US" w:eastAsia="zh-CN"/>
              </w:rPr>
              <w:t>丙烷、丙烯、</w:t>
            </w:r>
            <w:r>
              <w:rPr>
                <w:rFonts w:hint="default" w:ascii="Times New Roman" w:hAnsi="Times New Roman" w:cs="Times New Roman"/>
              </w:rPr>
              <w:t>硫化氢属于《建设项目环境风险评价技术导则》</w:t>
            </w:r>
            <w:r>
              <w:rPr>
                <w:rFonts w:hint="eastAsia" w:ascii="Times New Roman" w:hAnsi="Times New Roman" w:cs="Times New Roman"/>
                <w:lang w:eastAsia="zh-CN"/>
              </w:rPr>
              <w:t>（</w:t>
            </w:r>
            <w:r>
              <w:rPr>
                <w:rFonts w:hint="default" w:ascii="Times New Roman" w:hAnsi="Times New Roman" w:cs="Times New Roman"/>
              </w:rPr>
              <w:t>HJ169-2018</w:t>
            </w:r>
            <w:r>
              <w:rPr>
                <w:rFonts w:hint="eastAsia" w:ascii="Times New Roman" w:hAnsi="Times New Roman" w:cs="Times New Roman"/>
                <w:lang w:eastAsia="zh-CN"/>
              </w:rPr>
              <w:t>）</w:t>
            </w:r>
            <w:r>
              <w:rPr>
                <w:rFonts w:hint="default" w:ascii="Times New Roman" w:hAnsi="Times New Roman" w:cs="Times New Roman"/>
              </w:rPr>
              <w:t>附录 B中环境风险物质</w:t>
            </w:r>
            <w:r>
              <w:rPr>
                <w:rFonts w:hint="default" w:ascii="Times New Roman" w:hAnsi="Times New Roman" w:cs="Times New Roman"/>
                <w:lang w:eastAsia="zh-CN"/>
              </w:rPr>
              <w:t>，</w:t>
            </w:r>
          </w:p>
          <w:p>
            <w:pPr>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2、风险识别</w:t>
            </w:r>
          </w:p>
          <w:p>
            <w:pPr>
              <w:pStyle w:val="21"/>
              <w:autoSpaceDE w:val="0"/>
              <w:autoSpaceDN w:val="0"/>
              <w:adjustRightInd w:val="0"/>
              <w:snapToGrid w:val="0"/>
              <w:spacing w:before="0" w:beforeAutospacing="0" w:after="0" w:afterAutospacing="0" w:line="360" w:lineRule="auto"/>
              <w:ind w:firstLine="480" w:firstLineChars="200"/>
              <w:rPr>
                <w:rFonts w:hint="default" w:ascii="Times New Roman" w:hAnsi="Times New Roman" w:cs="Times New Roman"/>
                <w:kern w:val="0"/>
                <w:sz w:val="24"/>
                <w:lang w:bidi="ar"/>
              </w:rPr>
            </w:pPr>
            <w:r>
              <w:rPr>
                <w:rFonts w:hint="default" w:ascii="Times New Roman" w:hAnsi="Times New Roman" w:cs="Times New Roman"/>
                <w:sz w:val="24"/>
              </w:rPr>
              <w:t>项目涉及的风险物质主要为生物质气化燃气</w:t>
            </w:r>
            <w:r>
              <w:rPr>
                <w:rFonts w:hint="default" w:ascii="Times New Roman" w:hAnsi="Times New Roman" w:cs="Times New Roman"/>
                <w:sz w:val="24"/>
                <w:lang w:eastAsia="zh-CN"/>
              </w:rPr>
              <w:t>、</w:t>
            </w:r>
            <w:r>
              <w:rPr>
                <w:rFonts w:hint="default" w:ascii="Times New Roman" w:hAnsi="Times New Roman" w:cs="Times New Roman"/>
                <w:sz w:val="24"/>
              </w:rPr>
              <w:t>机油、柴油及危废暂存间暂存的危险废物，</w:t>
            </w:r>
            <w:r>
              <w:rPr>
                <w:rFonts w:hint="default" w:ascii="Times New Roman" w:hAnsi="Times New Roman" w:cs="Times New Roman"/>
              </w:rPr>
              <w:t>项目不设置贮气柜贮存气体，项目厂内设备管道中存在可燃气体密度约为1.</w:t>
            </w:r>
            <w:r>
              <w:rPr>
                <w:rFonts w:hint="default" w:ascii="Times New Roman" w:hAnsi="Times New Roman" w:cs="Times New Roman"/>
                <w:lang w:val="en-US" w:eastAsia="zh-CN"/>
              </w:rPr>
              <w:t>1</w:t>
            </w:r>
            <w:r>
              <w:rPr>
                <w:rFonts w:hint="default" w:ascii="Times New Roman" w:hAnsi="Times New Roman" w:cs="Times New Roman"/>
              </w:rPr>
              <w:t>kgNm</w:t>
            </w:r>
            <w:r>
              <w:rPr>
                <w:rFonts w:hint="default" w:ascii="Times New Roman" w:hAnsi="Times New Roman" w:cs="Times New Roman"/>
                <w:vertAlign w:val="superscript"/>
                <w:lang w:val="en-US" w:eastAsia="zh-CN"/>
              </w:rPr>
              <w:t>3</w:t>
            </w:r>
            <w:r>
              <w:rPr>
                <w:rFonts w:hint="default" w:ascii="Times New Roman" w:hAnsi="Times New Roman" w:cs="Times New Roman"/>
              </w:rPr>
              <w:t>，在管道气体约1.5m</w:t>
            </w:r>
            <w:r>
              <w:rPr>
                <w:rFonts w:hint="default" w:ascii="Times New Roman" w:hAnsi="Times New Roman" w:cs="Times New Roman"/>
                <w:vertAlign w:val="superscript"/>
                <w:lang w:val="en-US" w:eastAsia="zh-CN"/>
              </w:rPr>
              <w:t>3</w:t>
            </w:r>
            <w:r>
              <w:rPr>
                <w:rFonts w:hint="default" w:ascii="Times New Roman" w:hAnsi="Times New Roman" w:cs="Times New Roman"/>
              </w:rPr>
              <w:t>。</w:t>
            </w:r>
            <w:r>
              <w:rPr>
                <w:rFonts w:hint="default" w:ascii="Times New Roman" w:hAnsi="Times New Roman" w:cs="Times New Roman"/>
                <w:sz w:val="24"/>
              </w:rPr>
              <w:t>根据《建设项目环境风险评价技术导则》（HJ169-2018）附录B，项目涉及突发环境事件风险物质及临界量见</w:t>
            </w:r>
            <w:r>
              <w:rPr>
                <w:rFonts w:hint="default" w:ascii="Times New Roman" w:hAnsi="Times New Roman" w:cs="Times New Roman"/>
                <w:sz w:val="24"/>
                <w:lang w:val="en-US" w:eastAsia="zh-CN"/>
              </w:rPr>
              <w:t>下</w:t>
            </w:r>
            <w:r>
              <w:rPr>
                <w:rFonts w:hint="default" w:ascii="Times New Roman" w:hAnsi="Times New Roman" w:cs="Times New Roman"/>
                <w:sz w:val="24"/>
              </w:rPr>
              <w:t>表</w:t>
            </w:r>
            <w:r>
              <w:rPr>
                <w:rFonts w:hint="default" w:ascii="Times New Roman" w:hAnsi="Times New Roman" w:cs="Times New Roman"/>
                <w:kern w:val="0"/>
                <w:sz w:val="24"/>
                <w:lang w:bidi="ar"/>
              </w:rPr>
              <w:t>。</w:t>
            </w:r>
          </w:p>
          <w:p>
            <w:pPr>
              <w:pStyle w:val="21"/>
              <w:autoSpaceDE w:val="0"/>
              <w:autoSpaceDN w:val="0"/>
              <w:adjustRightInd w:val="0"/>
              <w:snapToGrid w:val="0"/>
              <w:spacing w:before="0" w:beforeAutospacing="0" w:after="0" w:afterAutospacing="0" w:line="360" w:lineRule="auto"/>
              <w:ind w:firstLine="480" w:firstLineChars="200"/>
              <w:rPr>
                <w:rFonts w:hint="default" w:ascii="Times New Roman" w:hAnsi="Times New Roman" w:cs="Times New Roman"/>
              </w:rPr>
            </w:pPr>
            <w:r>
              <w:rPr>
                <w:rFonts w:hint="default" w:ascii="Times New Roman" w:hAnsi="Times New Roman" w:cs="Times New Roman"/>
                <w:color w:val="000000"/>
              </w:rPr>
              <w:t>其数量及其临界量如下表所示。</w:t>
            </w:r>
          </w:p>
          <w:p>
            <w:pPr>
              <w:pStyle w:val="91"/>
              <w:spacing w:after="0" w:line="360" w:lineRule="auto"/>
              <w:ind w:firstLine="422" w:firstLineChars="200"/>
              <w:jc w:val="center"/>
              <w:rPr>
                <w:rFonts w:hint="default" w:ascii="Times New Roman" w:hAnsi="Times New Roman" w:cs="Times New Roman"/>
                <w:b/>
                <w:bCs/>
                <w:kern w:val="2"/>
                <w:sz w:val="21"/>
              </w:rPr>
            </w:pPr>
            <w:r>
              <w:rPr>
                <w:rFonts w:hint="default" w:ascii="Times New Roman" w:hAnsi="Times New Roman" w:cs="Times New Roman"/>
                <w:b/>
                <w:bCs/>
                <w:kern w:val="2"/>
                <w:sz w:val="21"/>
              </w:rPr>
              <w:t>表4-1</w:t>
            </w:r>
            <w:r>
              <w:rPr>
                <w:rFonts w:hint="eastAsia" w:ascii="Times New Roman" w:hAnsi="Times New Roman" w:cs="Times New Roman"/>
                <w:b/>
                <w:bCs/>
                <w:kern w:val="2"/>
                <w:sz w:val="21"/>
                <w:lang w:val="en-US" w:eastAsia="zh-CN"/>
              </w:rPr>
              <w:t>3</w:t>
            </w:r>
            <w:r>
              <w:rPr>
                <w:rFonts w:hint="default" w:ascii="Times New Roman" w:hAnsi="Times New Roman" w:cs="Times New Roman"/>
                <w:b/>
                <w:bCs/>
                <w:kern w:val="2"/>
                <w:sz w:val="21"/>
              </w:rPr>
              <w:t xml:space="preserve">  环境风险物质数量及其临界量</w:t>
            </w:r>
          </w:p>
          <w:tbl>
            <w:tblPr>
              <w:tblStyle w:val="25"/>
              <w:tblW w:w="4761"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33"/>
              <w:gridCol w:w="1135"/>
              <w:gridCol w:w="1600"/>
              <w:gridCol w:w="1600"/>
              <w:gridCol w:w="1180"/>
              <w:gridCol w:w="9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269" w:type="dxa"/>
                  <w:gridSpan w:val="2"/>
                  <w:tcBorders>
                    <w:tl2br w:val="nil"/>
                    <w:tr2bl w:val="nil"/>
                  </w:tcBorders>
                  <w:vAlign w:val="center"/>
                </w:tcPr>
                <w:p>
                  <w:pPr>
                    <w:pStyle w:val="92"/>
                    <w:widowControl/>
                    <w:spacing w:line="240" w:lineRule="auto"/>
                    <w:ind w:firstLine="0" w:firstLineChars="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名称</w:t>
                  </w:r>
                </w:p>
              </w:tc>
              <w:tc>
                <w:tcPr>
                  <w:tcW w:w="1600" w:type="dxa"/>
                  <w:tcBorders>
                    <w:tl2br w:val="nil"/>
                    <w:tr2bl w:val="nil"/>
                  </w:tcBorders>
                  <w:vAlign w:val="center"/>
                </w:tcPr>
                <w:p>
                  <w:pPr>
                    <w:pStyle w:val="92"/>
                    <w:widowControl/>
                    <w:spacing w:line="240" w:lineRule="auto"/>
                    <w:ind w:firstLine="0" w:firstLineChars="0"/>
                    <w:jc w:val="center"/>
                    <w:rPr>
                      <w:rFonts w:hint="default" w:ascii="Times New Roman" w:hAnsi="Times New Roman" w:eastAsia="宋体" w:cs="Times New Roman"/>
                      <w:b/>
                      <w:bCs/>
                      <w:color w:val="000000"/>
                      <w:szCs w:val="21"/>
                      <w:lang w:val="en-US" w:eastAsia="zh-CN"/>
                    </w:rPr>
                  </w:pPr>
                  <w:r>
                    <w:rPr>
                      <w:rFonts w:hint="default" w:ascii="Times New Roman" w:hAnsi="Times New Roman" w:cs="Times New Roman"/>
                      <w:b/>
                      <w:bCs/>
                      <w:color w:val="000000"/>
                      <w:szCs w:val="21"/>
                      <w:lang w:val="en-US" w:eastAsia="zh-CN"/>
                    </w:rPr>
                    <w:t>成分比例（%）</w:t>
                  </w:r>
                </w:p>
              </w:tc>
              <w:tc>
                <w:tcPr>
                  <w:tcW w:w="1600" w:type="dxa"/>
                  <w:tcBorders>
                    <w:tl2br w:val="nil"/>
                    <w:tr2bl w:val="nil"/>
                  </w:tcBorders>
                  <w:vAlign w:val="center"/>
                </w:tcPr>
                <w:p>
                  <w:pPr>
                    <w:pStyle w:val="92"/>
                    <w:widowControl/>
                    <w:spacing w:line="240" w:lineRule="auto"/>
                    <w:ind w:firstLine="0" w:firstLineChars="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最大存在量（t）</w:t>
                  </w:r>
                </w:p>
              </w:tc>
              <w:tc>
                <w:tcPr>
                  <w:tcW w:w="1180" w:type="dxa"/>
                  <w:tcBorders>
                    <w:tl2br w:val="nil"/>
                    <w:tr2bl w:val="nil"/>
                  </w:tcBorders>
                  <w:vAlign w:val="center"/>
                </w:tcPr>
                <w:p>
                  <w:pPr>
                    <w:pStyle w:val="92"/>
                    <w:widowControl/>
                    <w:spacing w:line="240" w:lineRule="auto"/>
                    <w:ind w:firstLine="0" w:firstLineChars="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临界量（t）</w:t>
                  </w:r>
                </w:p>
              </w:tc>
              <w:tc>
                <w:tcPr>
                  <w:tcW w:w="934" w:type="dxa"/>
                  <w:tcBorders>
                    <w:tl2br w:val="nil"/>
                    <w:tr2bl w:val="nil"/>
                  </w:tcBorders>
                  <w:vAlign w:val="center"/>
                </w:tcPr>
                <w:p>
                  <w:pPr>
                    <w:pStyle w:val="92"/>
                    <w:widowControl/>
                    <w:spacing w:line="240" w:lineRule="auto"/>
                    <w:ind w:firstLine="0" w:firstLineChars="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Q=q/Q</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2269" w:type="dxa"/>
                  <w:gridSpan w:val="2"/>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rPr>
                    <w:t>机油</w:t>
                  </w:r>
                </w:p>
              </w:tc>
              <w:tc>
                <w:tcPr>
                  <w:tcW w:w="160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100</w:t>
                  </w:r>
                </w:p>
              </w:tc>
              <w:tc>
                <w:tcPr>
                  <w:tcW w:w="160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8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rPr>
                    <w:t>2500</w:t>
                  </w:r>
                </w:p>
              </w:tc>
              <w:tc>
                <w:tcPr>
                  <w:tcW w:w="934"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rPr>
                    <w:t>0.00002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2269" w:type="dxa"/>
                  <w:gridSpan w:val="2"/>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rPr>
                    <w:t>柴油</w:t>
                  </w:r>
                </w:p>
              </w:tc>
              <w:tc>
                <w:tcPr>
                  <w:tcW w:w="160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100</w:t>
                  </w:r>
                </w:p>
              </w:tc>
              <w:tc>
                <w:tcPr>
                  <w:tcW w:w="160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rPr>
                    <w:t>0.2</w:t>
                  </w:r>
                </w:p>
              </w:tc>
              <w:tc>
                <w:tcPr>
                  <w:tcW w:w="118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rPr>
                    <w:t>2500</w:t>
                  </w:r>
                </w:p>
              </w:tc>
              <w:tc>
                <w:tcPr>
                  <w:tcW w:w="934"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rPr>
                    <w:t>0.00008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134" w:type="dxa"/>
                  <w:vMerge w:val="restart"/>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生物质</w:t>
                  </w:r>
                  <w:r>
                    <w:rPr>
                      <w:rFonts w:hint="default" w:ascii="Times New Roman" w:hAnsi="Times New Roman" w:cs="Times New Roman"/>
                      <w:color w:val="000000"/>
                      <w:szCs w:val="21"/>
                      <w:lang w:val="en-US" w:eastAsia="zh-CN"/>
                    </w:rPr>
                    <w:t>气</w:t>
                  </w:r>
                  <w:r>
                    <w:rPr>
                      <w:rFonts w:hint="default" w:ascii="Times New Roman" w:hAnsi="Times New Roman" w:cs="Times New Roman"/>
                      <w:color w:val="000000"/>
                      <w:szCs w:val="21"/>
                    </w:rPr>
                    <w:t>化燃气</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lang w:val="en-US" w:eastAsia="zh-CN"/>
                    </w:rPr>
                    <w:t>最大存量为1.6kg</w:t>
                  </w:r>
                  <w:r>
                    <w:rPr>
                      <w:rFonts w:hint="default" w:ascii="Times New Roman" w:hAnsi="Times New Roman" w:cs="Times New Roman"/>
                      <w:color w:val="000000"/>
                      <w:szCs w:val="21"/>
                      <w:lang w:eastAsia="zh-CN"/>
                    </w:rPr>
                    <w:t>）</w:t>
                  </w:r>
                </w:p>
              </w:tc>
              <w:tc>
                <w:tcPr>
                  <w:tcW w:w="1135" w:type="dxa"/>
                  <w:tcBorders>
                    <w:tl2br w:val="nil"/>
                    <w:tr2bl w:val="nil"/>
                  </w:tcBorders>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Cs w:val="21"/>
                    </w:rPr>
                  </w:pPr>
                  <w:r>
                    <w:rPr>
                      <w:rFonts w:hint="default" w:ascii="Times New Roman" w:hAnsi="Times New Roman" w:cs="Times New Roman"/>
                      <w:sz w:val="21"/>
                      <w:szCs w:val="21"/>
                    </w:rPr>
                    <w:t>甲烷</w:t>
                  </w:r>
                </w:p>
              </w:tc>
              <w:tc>
                <w:tcPr>
                  <w:tcW w:w="1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sz w:val="21"/>
                      <w:szCs w:val="21"/>
                      <w:vertAlign w:val="baseline"/>
                      <w:lang w:val="en-US" w:eastAsia="zh-CN"/>
                    </w:rPr>
                    <w:t>0.97</w:t>
                  </w:r>
                </w:p>
              </w:tc>
              <w:tc>
                <w:tcPr>
                  <w:tcW w:w="160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0.00001</w:t>
                  </w:r>
                </w:p>
              </w:tc>
              <w:tc>
                <w:tcPr>
                  <w:tcW w:w="118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c>
                <w:tcPr>
                  <w:tcW w:w="934"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eastAsia="zh-CN"/>
                    </w:rPr>
                    <w:t>1×10</w:t>
                  </w:r>
                  <w:r>
                    <w:rPr>
                      <w:rFonts w:hint="default" w:ascii="Times New Roman" w:hAnsi="Times New Roman" w:cs="Times New Roman"/>
                      <w:color w:val="000000"/>
                      <w:szCs w:val="21"/>
                      <w:vertAlign w:val="superscript"/>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1134" w:type="dxa"/>
                  <w:vMerge w:val="continue"/>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p>
              </w:tc>
              <w:tc>
                <w:tcPr>
                  <w:tcW w:w="1135" w:type="dxa"/>
                  <w:tcBorders>
                    <w:tl2br w:val="nil"/>
                    <w:tr2bl w:val="nil"/>
                  </w:tcBorders>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sz w:val="21"/>
                      <w:szCs w:val="21"/>
                    </w:rPr>
                    <w:t>乙烷</w:t>
                  </w:r>
                </w:p>
              </w:tc>
              <w:tc>
                <w:tcPr>
                  <w:tcW w:w="1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Cs w:val="21"/>
                      <w:lang w:val="en-US"/>
                    </w:rPr>
                  </w:pPr>
                  <w:r>
                    <w:rPr>
                      <w:rFonts w:hint="default" w:ascii="Times New Roman" w:hAnsi="Times New Roman" w:cs="Times New Roman"/>
                      <w:sz w:val="21"/>
                      <w:szCs w:val="21"/>
                      <w:vertAlign w:val="baseline"/>
                      <w:lang w:val="en-US" w:eastAsia="zh-CN"/>
                    </w:rPr>
                    <w:t>0.06</w:t>
                  </w:r>
                </w:p>
              </w:tc>
              <w:tc>
                <w:tcPr>
                  <w:tcW w:w="160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0.000001</w:t>
                  </w:r>
                </w:p>
              </w:tc>
              <w:tc>
                <w:tcPr>
                  <w:tcW w:w="118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10</w:t>
                  </w:r>
                </w:p>
              </w:tc>
              <w:tc>
                <w:tcPr>
                  <w:tcW w:w="934"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eastAsia="zh-CN"/>
                    </w:rPr>
                    <w:t>1×10</w:t>
                  </w:r>
                  <w:r>
                    <w:rPr>
                      <w:rFonts w:hint="default" w:ascii="Times New Roman" w:hAnsi="Times New Roman" w:cs="Times New Roman"/>
                      <w:color w:val="000000"/>
                      <w:szCs w:val="21"/>
                      <w:vertAlign w:val="superscript"/>
                      <w:lang w:val="en-US" w:eastAsia="zh-CN"/>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134" w:type="dxa"/>
                  <w:vMerge w:val="continue"/>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p>
              </w:tc>
              <w:tc>
                <w:tcPr>
                  <w:tcW w:w="1135" w:type="dxa"/>
                  <w:tcBorders>
                    <w:tl2br w:val="nil"/>
                    <w:tr2bl w:val="nil"/>
                  </w:tcBorders>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Cs w:val="21"/>
                    </w:rPr>
                  </w:pPr>
                  <w:r>
                    <w:rPr>
                      <w:rFonts w:hint="default" w:ascii="Times New Roman" w:hAnsi="Times New Roman" w:cs="Times New Roman"/>
                      <w:sz w:val="21"/>
                      <w:szCs w:val="21"/>
                    </w:rPr>
                    <w:t>乙烯</w:t>
                  </w:r>
                </w:p>
              </w:tc>
              <w:tc>
                <w:tcPr>
                  <w:tcW w:w="1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sz w:val="21"/>
                      <w:szCs w:val="21"/>
                      <w:vertAlign w:val="baseline"/>
                      <w:lang w:val="en-US" w:eastAsia="zh-CN"/>
                    </w:rPr>
                    <w:t>0.11</w:t>
                  </w:r>
                </w:p>
              </w:tc>
              <w:tc>
                <w:tcPr>
                  <w:tcW w:w="160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0.00016</w:t>
                  </w:r>
                </w:p>
              </w:tc>
              <w:tc>
                <w:tcPr>
                  <w:tcW w:w="118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10</w:t>
                  </w:r>
                </w:p>
              </w:tc>
              <w:tc>
                <w:tcPr>
                  <w:tcW w:w="934"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eastAsia="zh-CN"/>
                    </w:rPr>
                    <w:t>1.6×10</w:t>
                  </w:r>
                  <w:r>
                    <w:rPr>
                      <w:rFonts w:hint="default" w:ascii="Times New Roman" w:hAnsi="Times New Roman" w:cs="Times New Roman"/>
                      <w:color w:val="000000"/>
                      <w:szCs w:val="21"/>
                      <w:vertAlign w:val="superscript"/>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134" w:type="dxa"/>
                  <w:vMerge w:val="continue"/>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p>
              </w:tc>
              <w:tc>
                <w:tcPr>
                  <w:tcW w:w="1135" w:type="dxa"/>
                  <w:tcBorders>
                    <w:tl2br w:val="nil"/>
                    <w:tr2bl w:val="nil"/>
                  </w:tcBorders>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Cs w:val="21"/>
                    </w:rPr>
                  </w:pPr>
                  <w:r>
                    <w:rPr>
                      <w:rFonts w:hint="default" w:ascii="Times New Roman" w:hAnsi="Times New Roman" w:cs="Times New Roman"/>
                      <w:sz w:val="21"/>
                      <w:szCs w:val="21"/>
                    </w:rPr>
                    <w:t>丙烷</w:t>
                  </w:r>
                </w:p>
              </w:tc>
              <w:tc>
                <w:tcPr>
                  <w:tcW w:w="1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sz w:val="21"/>
                      <w:szCs w:val="21"/>
                      <w:vertAlign w:val="baseline"/>
                      <w:lang w:val="en-US" w:eastAsia="zh-CN"/>
                    </w:rPr>
                    <w:t>0.02</w:t>
                  </w:r>
                </w:p>
              </w:tc>
              <w:tc>
                <w:tcPr>
                  <w:tcW w:w="160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0.00000055</w:t>
                  </w:r>
                </w:p>
              </w:tc>
              <w:tc>
                <w:tcPr>
                  <w:tcW w:w="118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10</w:t>
                  </w:r>
                </w:p>
              </w:tc>
              <w:tc>
                <w:tcPr>
                  <w:tcW w:w="934"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1.7×10</w:t>
                  </w:r>
                  <w:r>
                    <w:rPr>
                      <w:rFonts w:hint="default" w:ascii="Times New Roman" w:hAnsi="Times New Roman" w:cs="Times New Roman"/>
                      <w:color w:val="000000"/>
                      <w:szCs w:val="21"/>
                      <w:vertAlign w:val="superscript"/>
                      <w:lang w:val="en-US" w:eastAsia="zh-CN"/>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134" w:type="dxa"/>
                  <w:vMerge w:val="continue"/>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p>
              </w:tc>
              <w:tc>
                <w:tcPr>
                  <w:tcW w:w="1135" w:type="dxa"/>
                  <w:tcBorders>
                    <w:tl2br w:val="nil"/>
                    <w:tr2bl w:val="nil"/>
                  </w:tcBorders>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Cs w:val="21"/>
                    </w:rPr>
                  </w:pPr>
                  <w:r>
                    <w:rPr>
                      <w:rFonts w:hint="default" w:ascii="Times New Roman" w:hAnsi="Times New Roman" w:cs="Times New Roman"/>
                      <w:sz w:val="21"/>
                      <w:szCs w:val="21"/>
                      <w:vertAlign w:val="baseline"/>
                      <w:lang w:val="en-US" w:eastAsia="zh-CN"/>
                    </w:rPr>
                    <w:t>丙烯</w:t>
                  </w:r>
                </w:p>
              </w:tc>
              <w:tc>
                <w:tcPr>
                  <w:tcW w:w="1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sz w:val="21"/>
                      <w:szCs w:val="21"/>
                      <w:vertAlign w:val="baseline"/>
                      <w:lang w:val="en-US" w:eastAsia="zh-CN"/>
                    </w:rPr>
                    <w:t>0.06</w:t>
                  </w:r>
                </w:p>
              </w:tc>
              <w:tc>
                <w:tcPr>
                  <w:tcW w:w="160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0.000017</w:t>
                  </w:r>
                </w:p>
              </w:tc>
              <w:tc>
                <w:tcPr>
                  <w:tcW w:w="118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10</w:t>
                  </w:r>
                </w:p>
              </w:tc>
              <w:tc>
                <w:tcPr>
                  <w:tcW w:w="934"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1.7×10</w:t>
                  </w:r>
                  <w:r>
                    <w:rPr>
                      <w:rFonts w:hint="default" w:ascii="Times New Roman" w:hAnsi="Times New Roman" w:cs="Times New Roman"/>
                      <w:color w:val="000000"/>
                      <w:szCs w:val="21"/>
                      <w:vertAlign w:val="superscript"/>
                      <w:lang w:val="en-US" w:eastAsia="zh-CN"/>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134" w:type="dxa"/>
                  <w:vMerge w:val="continue"/>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p>
              </w:tc>
              <w:tc>
                <w:tcPr>
                  <w:tcW w:w="1135" w:type="dxa"/>
                  <w:tcBorders>
                    <w:tl2br w:val="nil"/>
                    <w:tr2bl w:val="nil"/>
                  </w:tcBorders>
                  <w:vAlign w:val="top"/>
                </w:tcPr>
                <w:p>
                  <w:pPr>
                    <w:pStyle w:val="5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一氧化碳</w:t>
                  </w:r>
                </w:p>
              </w:tc>
              <w:tc>
                <w:tcPr>
                  <w:tcW w:w="1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27.48</w:t>
                  </w:r>
                </w:p>
              </w:tc>
              <w:tc>
                <w:tcPr>
                  <w:tcW w:w="160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0.0005</w:t>
                  </w:r>
                </w:p>
              </w:tc>
              <w:tc>
                <w:tcPr>
                  <w:tcW w:w="118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7.5</w:t>
                  </w:r>
                </w:p>
              </w:tc>
              <w:tc>
                <w:tcPr>
                  <w:tcW w:w="934"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6.67×10</w:t>
                  </w:r>
                  <w:r>
                    <w:rPr>
                      <w:rFonts w:hint="default" w:ascii="Times New Roman" w:hAnsi="Times New Roman" w:cs="Times New Roman"/>
                      <w:color w:val="000000"/>
                      <w:szCs w:val="21"/>
                      <w:vertAlign w:val="superscript"/>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134" w:type="dxa"/>
                  <w:vMerge w:val="continue"/>
                  <w:tcBorders>
                    <w:tl2br w:val="nil"/>
                    <w:tr2bl w:val="nil"/>
                  </w:tcBorders>
                  <w:vAlign w:val="center"/>
                </w:tcPr>
                <w:p>
                  <w:pPr>
                    <w:pStyle w:val="92"/>
                    <w:widowControl/>
                    <w:wordWrap/>
                    <w:spacing w:line="240" w:lineRule="auto"/>
                    <w:ind w:firstLine="0" w:firstLineChars="0"/>
                    <w:jc w:val="center"/>
                    <w:rPr>
                      <w:rFonts w:hint="default" w:ascii="Times New Roman" w:hAnsi="Times New Roman" w:cs="Times New Roman"/>
                      <w:color w:val="000000"/>
                      <w:szCs w:val="21"/>
                    </w:rPr>
                  </w:pPr>
                </w:p>
              </w:tc>
              <w:tc>
                <w:tcPr>
                  <w:tcW w:w="1135"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硫化氢</w:t>
                  </w:r>
                </w:p>
              </w:tc>
              <w:tc>
                <w:tcPr>
                  <w:tcW w:w="160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11.7（</w:t>
                  </w:r>
                  <w:r>
                    <w:rPr>
                      <w:rFonts w:hint="default" w:ascii="Times New Roman" w:hAnsi="Times New Roman" w:cs="Times New Roman"/>
                      <w:sz w:val="21"/>
                      <w:szCs w:val="21"/>
                      <w:lang w:val="en-US" w:eastAsia="zh-CN"/>
                    </w:rPr>
                    <w:t>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color w:val="000000"/>
                      <w:szCs w:val="21"/>
                      <w:lang w:val="en-US" w:eastAsia="zh-CN"/>
                    </w:rPr>
                    <w:t>）</w:t>
                  </w:r>
                </w:p>
              </w:tc>
              <w:tc>
                <w:tcPr>
                  <w:tcW w:w="160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vertAlign w:val="superscript"/>
                      <w:lang w:val="en-US" w:eastAsia="zh-CN"/>
                    </w:rPr>
                  </w:pPr>
                  <w:r>
                    <w:rPr>
                      <w:rFonts w:hint="default" w:ascii="Times New Roman" w:hAnsi="Times New Roman" w:cs="Times New Roman"/>
                      <w:color w:val="000000"/>
                      <w:szCs w:val="21"/>
                      <w:lang w:val="en-US" w:eastAsia="zh-CN"/>
                    </w:rPr>
                    <w:t>1.75×10</w:t>
                  </w:r>
                  <w:r>
                    <w:rPr>
                      <w:rFonts w:hint="default" w:ascii="Times New Roman" w:hAnsi="Times New Roman" w:cs="Times New Roman"/>
                      <w:color w:val="000000"/>
                      <w:szCs w:val="21"/>
                      <w:vertAlign w:val="superscript"/>
                      <w:lang w:val="en-US" w:eastAsia="zh-CN"/>
                    </w:rPr>
                    <w:t>-8</w:t>
                  </w:r>
                </w:p>
              </w:tc>
              <w:tc>
                <w:tcPr>
                  <w:tcW w:w="1180"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2.5</w:t>
                  </w:r>
                </w:p>
              </w:tc>
              <w:tc>
                <w:tcPr>
                  <w:tcW w:w="934" w:type="dxa"/>
                  <w:tcBorders>
                    <w:tl2br w:val="nil"/>
                    <w:tr2bl w:val="nil"/>
                  </w:tcBorders>
                  <w:vAlign w:val="center"/>
                </w:tcPr>
                <w:p>
                  <w:pPr>
                    <w:pStyle w:val="92"/>
                    <w:widowControl/>
                    <w:wordWrap/>
                    <w:spacing w:line="240" w:lineRule="auto"/>
                    <w:ind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7.02×10</w:t>
                  </w:r>
                  <w:r>
                    <w:rPr>
                      <w:rFonts w:hint="default" w:ascii="Times New Roman" w:hAnsi="Times New Roman" w:cs="Times New Roman"/>
                      <w:color w:val="000000"/>
                      <w:szCs w:val="21"/>
                      <w:vertAlign w:val="superscript"/>
                      <w:lang w:val="en-US" w:eastAsia="zh-CN"/>
                    </w:rPr>
                    <w:t>-8</w:t>
                  </w:r>
                </w:p>
              </w:tc>
            </w:tr>
          </w:tbl>
          <w:p>
            <w:pPr>
              <w:autoSpaceDE w:val="0"/>
              <w:autoSpaceDN w:val="0"/>
              <w:adjustRightInd w:val="0"/>
              <w:spacing w:line="360" w:lineRule="auto"/>
              <w:ind w:firstLine="480" w:firstLineChars="200"/>
              <w:jc w:val="left"/>
              <w:rPr>
                <w:rFonts w:hint="default" w:ascii="Times New Roman" w:hAnsi="Times New Roman" w:cs="Times New Roman"/>
                <w:color w:val="000000"/>
                <w:kern w:val="0"/>
                <w:sz w:val="24"/>
                <w:szCs w:val="20"/>
              </w:rPr>
            </w:pPr>
            <w:r>
              <w:rPr>
                <w:rFonts w:hint="default" w:ascii="Times New Roman" w:hAnsi="Times New Roman" w:cs="Times New Roman"/>
                <w:color w:val="000000"/>
                <w:kern w:val="0"/>
                <w:sz w:val="24"/>
                <w:szCs w:val="20"/>
              </w:rPr>
              <w:t>因本项目涉及到的风险物质Q≤1，</w:t>
            </w:r>
            <w:r>
              <w:rPr>
                <w:rFonts w:hint="default" w:ascii="Times New Roman" w:hAnsi="Times New Roman" w:cs="Times New Roman"/>
                <w:b/>
                <w:bCs/>
                <w:color w:val="000000"/>
                <w:kern w:val="0"/>
                <w:sz w:val="24"/>
                <w:szCs w:val="20"/>
              </w:rPr>
              <w:t>该项目环境风险潜势为Ⅰ。</w:t>
            </w:r>
          </w:p>
          <w:p>
            <w:pPr>
              <w:spacing w:line="360" w:lineRule="auto"/>
              <w:ind w:firstLine="422" w:firstLineChars="200"/>
              <w:rPr>
                <w:rFonts w:hint="default" w:ascii="Times New Roman" w:hAnsi="Times New Roman" w:cs="Times New Roman"/>
                <w:b/>
                <w:bCs/>
                <w:sz w:val="24"/>
              </w:rPr>
            </w:pPr>
            <w:r>
              <w:rPr>
                <w:rFonts w:hint="default" w:ascii="Times New Roman" w:hAnsi="Times New Roman" w:cs="Times New Roman"/>
                <w:b/>
                <w:bCs/>
              </w:rPr>
              <w:t>3、</w:t>
            </w:r>
            <w:r>
              <w:rPr>
                <w:rFonts w:hint="default" w:ascii="Times New Roman" w:hAnsi="Times New Roman" w:cs="Times New Roman"/>
                <w:b/>
                <w:bCs/>
                <w:sz w:val="24"/>
              </w:rPr>
              <w:t>环境风险分析及环境危害后果分析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根据项目性质，主要可能发生的环境风险为泄漏、火灾和爆炸。</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A、气化炉中空气混合不好，或气化中火层控制不好，形成风洞或温度过高造成结焦，可能使炉内产生的燃气中氧气含量过高，在燃气管道中发生爆炸事故；在出现意外停车，燃气倒入空气系统，在开空气风机时发生火灾、爆炸事故。</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B、气化炉系统的动、静密封点损坏，燃气管道膨胀节损坏及管道腐蚀、燃气增压风机在运行过程中可能造成机械密封破坏，管道法兰垫子老化或损坏等，造成燃气泄漏到空间中达到爆炸极限浓度范围，遇点火源发生燃烧或爆炸。</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C、气化炉的水封、切断水封及燃气处理设备的水封有可能因断水或水封桶损坏，造成水封高度不够，燃气冲破水封从而导致燃气泄漏，遇明火发生火灾爆炸。</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D、净化处理过程中，在净化输送工序中，设备、管道出现破裂或因操作失误，会发生燃气外泄或吸入空气，容易形成爆炸性混合物的危险。</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E、燃气的输配过程，燃气管道受腐蚀或意外破裂，导致燃气管道发生泄漏，遇明火发生火灾爆炸。</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F、</w:t>
            </w:r>
            <w:r>
              <w:rPr>
                <w:rFonts w:hint="default" w:ascii="Times New Roman" w:hAnsi="Times New Roman" w:cs="Times New Roman"/>
                <w:sz w:val="24"/>
              </w:rPr>
              <w:t>生物质气化燃气在生产、配输过程中因操作不当可能会发生泄漏及火灾爆炸事故，其在泄漏及火灾爆炸事故产生的二次污染物主要为CO、CO</w:t>
            </w:r>
            <w:r>
              <w:rPr>
                <w:rFonts w:hint="default" w:ascii="Times New Roman" w:hAnsi="Times New Roman" w:cs="Times New Roman"/>
                <w:sz w:val="24"/>
                <w:vertAlign w:val="subscript"/>
              </w:rPr>
              <w:t>2</w:t>
            </w:r>
            <w:r>
              <w:rPr>
                <w:rFonts w:hint="default" w:ascii="Times New Roman" w:hAnsi="Times New Roman" w:cs="Times New Roman"/>
                <w:sz w:val="24"/>
              </w:rPr>
              <w:t>及消防废水。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G、</w:t>
            </w:r>
            <w:r>
              <w:rPr>
                <w:rFonts w:hint="default" w:ascii="Times New Roman" w:hAnsi="Times New Roman" w:cs="Times New Roman"/>
                <w:sz w:val="24"/>
              </w:rPr>
              <w:t>项目危废暂存间以及油品泄漏可能引起地下水及土壤污染，一旦发生火灾爆炸事故时，其燃烧爆炸产生的有害物质在不利风向时，周边的企业及员工、风险范围内的社会关注点等均会受到不同程度的影响。火灾爆炸事故后产生的污染物质会影响周边环境甚至危害人体健康。</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H、</w:t>
            </w:r>
            <w:r>
              <w:rPr>
                <w:rFonts w:hint="default" w:ascii="Times New Roman" w:hAnsi="Times New Roman" w:cs="Times New Roman"/>
                <w:sz w:val="24"/>
              </w:rPr>
              <w:t>风险物质如油品在运输、储存、转运和使用过程中发生泄漏、撒漏。一旦机油、柴油泄漏会造成土壤或地下水污染。</w:t>
            </w:r>
          </w:p>
          <w:p>
            <w:pPr>
              <w:spacing w:line="360" w:lineRule="auto"/>
              <w:ind w:firstLine="420"/>
              <w:rPr>
                <w:rFonts w:hint="default" w:ascii="Times New Roman" w:hAnsi="Times New Roman" w:cs="Times New Roman"/>
                <w:b/>
                <w:color w:val="000000"/>
                <w:sz w:val="24"/>
              </w:rPr>
            </w:pPr>
            <w:r>
              <w:rPr>
                <w:rFonts w:hint="default" w:ascii="Times New Roman" w:hAnsi="Times New Roman" w:cs="Times New Roman"/>
                <w:b/>
                <w:color w:val="000000"/>
                <w:sz w:val="24"/>
              </w:rPr>
              <w:t>4、环境风险防范措施</w:t>
            </w:r>
          </w:p>
          <w:p>
            <w:pPr>
              <w:spacing w:line="360" w:lineRule="auto"/>
              <w:ind w:firstLine="420"/>
              <w:rPr>
                <w:rFonts w:hint="default" w:ascii="Times New Roman" w:hAnsi="Times New Roman" w:cs="Times New Roman"/>
                <w:b/>
                <w:sz w:val="24"/>
              </w:rPr>
            </w:pPr>
            <w:r>
              <w:rPr>
                <w:rFonts w:hint="default" w:ascii="Times New Roman" w:hAnsi="Times New Roman" w:cs="Times New Roman"/>
                <w:b/>
                <w:sz w:val="24"/>
              </w:rPr>
              <w:t xml:space="preserve">（1）火灾防范措施 </w:t>
            </w:r>
          </w:p>
          <w:p>
            <w:pPr>
              <w:spacing w:line="360" w:lineRule="auto"/>
              <w:ind w:firstLine="420"/>
              <w:rPr>
                <w:rFonts w:hint="default" w:ascii="Times New Roman" w:hAnsi="Times New Roman" w:cs="Times New Roman"/>
                <w:sz w:val="24"/>
              </w:rPr>
            </w:pPr>
            <w:r>
              <w:rPr>
                <w:rFonts w:hint="default" w:ascii="Times New Roman" w:hAnsi="Times New Roman" w:cs="Times New Roman"/>
                <w:sz w:val="24"/>
              </w:rPr>
              <w:t xml:space="preserve">设立专门的环境管理机构，制定日常管理措施、消防措施和应急预案。对工作人员进行火灾事态时的报警培训，已成立环境风险事故应急救援领导小组和应急救援专业队伍。 </w:t>
            </w:r>
          </w:p>
          <w:p>
            <w:pPr>
              <w:spacing w:line="360" w:lineRule="auto"/>
              <w:ind w:firstLine="420"/>
              <w:rPr>
                <w:rFonts w:hint="default" w:ascii="Times New Roman" w:hAnsi="Times New Roman" w:cs="Times New Roman"/>
                <w:sz w:val="24"/>
              </w:rPr>
            </w:pPr>
            <w:r>
              <w:rPr>
                <w:rFonts w:hint="default" w:ascii="Times New Roman" w:hAnsi="Times New Roman" w:cs="Times New Roman"/>
                <w:sz w:val="24"/>
              </w:rPr>
              <w:t xml:space="preserve">加强厂区消防设施的日常管理，确保事故时消防设施能够正常使用，针对厂房等可能出现的火灾事故三个月进行一次消防演练。 </w:t>
            </w:r>
          </w:p>
          <w:p>
            <w:pPr>
              <w:spacing w:line="360" w:lineRule="auto"/>
              <w:ind w:firstLine="420"/>
              <w:rPr>
                <w:rFonts w:hint="default" w:ascii="Times New Roman" w:hAnsi="Times New Roman" w:cs="Times New Roman"/>
                <w:sz w:val="24"/>
              </w:rPr>
            </w:pPr>
            <w:r>
              <w:rPr>
                <w:rFonts w:hint="default" w:ascii="Times New Roman" w:hAnsi="Times New Roman" w:cs="Times New Roman"/>
                <w:sz w:val="24"/>
              </w:rPr>
              <w:t xml:space="preserve">严格明火管理。严格按照《中华人民共和国爆炸危险场所安全规程》和现行有关标准、规程及要求执行。 </w:t>
            </w:r>
          </w:p>
          <w:p>
            <w:pPr>
              <w:spacing w:line="360" w:lineRule="auto"/>
              <w:ind w:firstLine="420"/>
              <w:rPr>
                <w:rFonts w:hint="default" w:ascii="Times New Roman" w:hAnsi="Times New Roman" w:cs="Times New Roman"/>
                <w:sz w:val="24"/>
              </w:rPr>
            </w:pPr>
            <w:r>
              <w:rPr>
                <w:rFonts w:hint="default" w:ascii="Times New Roman" w:hAnsi="Times New Roman" w:cs="Times New Roman"/>
                <w:sz w:val="24"/>
              </w:rPr>
              <w:t xml:space="preserve">消防器材设置在明显和便于取用的地点，周围未堆放物品和杂物。消防设施、器材，由专人管理，负责检查、维修、保养、更换和添置，保证完好有效，严禁圈占、埋压和挪用。配备消防器材（如干粉灭火器等）和消防设施；标示明确，使用方便。 </w:t>
            </w:r>
          </w:p>
          <w:p>
            <w:pPr>
              <w:spacing w:line="360" w:lineRule="auto"/>
              <w:ind w:firstLine="420"/>
              <w:rPr>
                <w:rFonts w:hint="default" w:ascii="Times New Roman" w:hAnsi="Times New Roman" w:cs="Times New Roman"/>
                <w:sz w:val="24"/>
              </w:rPr>
            </w:pPr>
            <w:r>
              <w:rPr>
                <w:rFonts w:hint="default" w:ascii="Times New Roman" w:hAnsi="Times New Roman" w:cs="Times New Roman"/>
                <w:sz w:val="24"/>
              </w:rPr>
              <w:t xml:space="preserve">出现火灾时应及时将可燃物品搬离，远离火源。 </w:t>
            </w:r>
          </w:p>
          <w:p>
            <w:pPr>
              <w:spacing w:line="360" w:lineRule="auto"/>
              <w:ind w:firstLine="420"/>
              <w:rPr>
                <w:rFonts w:hint="default" w:ascii="Times New Roman" w:hAnsi="Times New Roman" w:cs="Times New Roman"/>
                <w:sz w:val="24"/>
              </w:rPr>
            </w:pPr>
            <w:r>
              <w:rPr>
                <w:rFonts w:hint="default" w:ascii="Times New Roman" w:hAnsi="Times New Roman" w:cs="Times New Roman"/>
                <w:sz w:val="24"/>
              </w:rPr>
              <w:t>项目内</w:t>
            </w:r>
            <w:bookmarkStart w:id="12" w:name="_Hlk87825459"/>
            <w:r>
              <w:rPr>
                <w:rFonts w:hint="default" w:ascii="Times New Roman" w:hAnsi="Times New Roman" w:cs="Times New Roman"/>
                <w:sz w:val="24"/>
              </w:rPr>
              <w:t>定期进行电路、电气检查，消除安全隐患</w:t>
            </w:r>
            <w:bookmarkEnd w:id="12"/>
            <w:r>
              <w:rPr>
                <w:rFonts w:hint="default" w:ascii="Times New Roman" w:hAnsi="Times New Roman" w:cs="Times New Roman"/>
                <w:sz w:val="24"/>
              </w:rPr>
              <w:t xml:space="preserve">。 </w:t>
            </w:r>
          </w:p>
          <w:p>
            <w:pPr>
              <w:spacing w:line="360" w:lineRule="auto"/>
              <w:ind w:firstLine="420"/>
              <w:rPr>
                <w:rFonts w:hint="default" w:ascii="Times New Roman" w:hAnsi="Times New Roman" w:cs="Times New Roman"/>
                <w:sz w:val="24"/>
              </w:rPr>
            </w:pPr>
            <w:r>
              <w:rPr>
                <w:rFonts w:hint="default" w:ascii="Times New Roman" w:hAnsi="Times New Roman" w:cs="Times New Roman"/>
                <w:sz w:val="24"/>
              </w:rPr>
              <w:t xml:space="preserve">建设单位在项目竣工经过消防验收合格后，才能投入使用。 </w:t>
            </w:r>
          </w:p>
          <w:p>
            <w:pPr>
              <w:pStyle w:val="20"/>
              <w:adjustRightInd w:val="0"/>
              <w:snapToGrid w:val="0"/>
              <w:spacing w:after="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为了防范火灾事故时可能造成的消防排水直接通过雨水管网排入地表水，避免造成环境风险事故，本项目</w:t>
            </w:r>
            <w:r>
              <w:rPr>
                <w:rFonts w:hint="eastAsia" w:ascii="Times New Roman" w:hAnsi="Times New Roman" w:cs="Times New Roman"/>
                <w:sz w:val="24"/>
                <w:lang w:val="en-US" w:eastAsia="zh-CN"/>
              </w:rPr>
              <w:t>新建</w:t>
            </w:r>
            <w:r>
              <w:rPr>
                <w:rFonts w:hint="default" w:ascii="Times New Roman" w:hAnsi="Times New Roman" w:cs="Times New Roman"/>
                <w:sz w:val="24"/>
              </w:rPr>
              <w:t>1个有效容积为20</w:t>
            </w:r>
            <w:r>
              <w:rPr>
                <w:rFonts w:hint="default" w:ascii="Times New Roman" w:hAnsi="Times New Roman" w:cs="Times New Roman"/>
                <w:sz w:val="24"/>
                <w:lang w:val="en-US" w:eastAsia="zh-CN"/>
              </w:rPr>
              <w:t>0</w:t>
            </w:r>
            <w:r>
              <w:rPr>
                <w:rFonts w:hint="default" w:ascii="Times New Roman" w:hAnsi="Times New Roman" w:cs="Times New Roman"/>
                <w:sz w:val="24"/>
              </w:rPr>
              <w:t>m</w:t>
            </w:r>
            <w:r>
              <w:rPr>
                <w:rFonts w:hint="default" w:ascii="Times New Roman" w:hAnsi="Times New Roman" w:cs="Times New Roman"/>
                <w:sz w:val="24"/>
                <w:vertAlign w:val="superscript"/>
              </w:rPr>
              <w:t xml:space="preserve">3 </w:t>
            </w:r>
            <w:r>
              <w:rPr>
                <w:rFonts w:hint="default" w:ascii="Times New Roman" w:hAnsi="Times New Roman" w:cs="Times New Roman"/>
                <w:sz w:val="24"/>
              </w:rPr>
              <w:t>消防水池（平时为空池状态），雨水总管出厂前设置截断阀，对厂区内消防废水进行收集，消防水池与预处理池通过管道连通，将消防水池内的废水缓慢、逐步转移至预处理池进行处理，处理达标后排放。</w:t>
            </w:r>
          </w:p>
          <w:p>
            <w:pPr>
              <w:spacing w:line="360" w:lineRule="auto"/>
              <w:ind w:firstLine="420"/>
              <w:rPr>
                <w:rFonts w:hint="default" w:ascii="Times New Roman" w:hAnsi="Times New Roman" w:cs="Times New Roman"/>
                <w:b/>
                <w:color w:val="000000"/>
                <w:sz w:val="24"/>
              </w:rPr>
            </w:pPr>
            <w:r>
              <w:rPr>
                <w:rFonts w:hint="default" w:ascii="Times New Roman" w:hAnsi="Times New Roman" w:cs="Times New Roman"/>
                <w:b/>
                <w:color w:val="000000"/>
                <w:sz w:val="24"/>
              </w:rPr>
              <w:t>（2）泄漏防范措施</w:t>
            </w:r>
          </w:p>
          <w:p>
            <w:pPr>
              <w:spacing w:line="360" w:lineRule="auto"/>
              <w:ind w:firstLine="482" w:firstLineChars="200"/>
              <w:rPr>
                <w:rFonts w:hint="default" w:ascii="Times New Roman" w:hAnsi="Times New Roman" w:cs="Times New Roman"/>
                <w:sz w:val="24"/>
              </w:rPr>
            </w:pPr>
            <w:r>
              <w:rPr>
                <w:rFonts w:hint="default" w:ascii="Times New Roman" w:hAnsi="Times New Roman" w:cs="Times New Roman"/>
                <w:b/>
                <w:sz w:val="24"/>
              </w:rPr>
              <w:t>加强</w:t>
            </w:r>
            <w:bookmarkStart w:id="13" w:name="_Hlk22304840"/>
            <w:r>
              <w:rPr>
                <w:rFonts w:hint="default" w:ascii="Times New Roman" w:hAnsi="Times New Roman" w:cs="Times New Roman"/>
                <w:b/>
                <w:sz w:val="24"/>
              </w:rPr>
              <w:t>机油、柴油等</w:t>
            </w:r>
            <w:bookmarkEnd w:id="13"/>
            <w:r>
              <w:rPr>
                <w:rFonts w:hint="default" w:ascii="Times New Roman" w:hAnsi="Times New Roman" w:cs="Times New Roman"/>
                <w:b/>
                <w:sz w:val="24"/>
              </w:rPr>
              <w:t>原辅材料的运输、使用、暂存管理：</w:t>
            </w:r>
            <w:r>
              <w:rPr>
                <w:rFonts w:hint="default" w:ascii="Times New Roman" w:hAnsi="Times New Roman" w:cs="Times New Roman"/>
                <w:sz w:val="24"/>
              </w:rPr>
              <w:t>加强机油、</w:t>
            </w:r>
            <w:r>
              <w:rPr>
                <w:rFonts w:hint="default" w:ascii="Times New Roman" w:hAnsi="Times New Roman" w:cs="Times New Roman"/>
                <w:bCs/>
                <w:sz w:val="24"/>
              </w:rPr>
              <w:t>柴油</w:t>
            </w:r>
            <w:r>
              <w:rPr>
                <w:rFonts w:hint="default" w:ascii="Times New Roman" w:hAnsi="Times New Roman" w:cs="Times New Roman"/>
                <w:sz w:val="24"/>
              </w:rPr>
              <w:t>运输、使用、暂存环节的环境管理措施，避免跑、冒、滴、漏，对可能出现漏油的使用</w:t>
            </w:r>
            <w:r>
              <w:rPr>
                <w:rFonts w:hint="default" w:ascii="Times New Roman" w:hAnsi="Times New Roman" w:cs="Times New Roman"/>
                <w:kern w:val="0"/>
                <w:sz w:val="24"/>
              </w:rPr>
              <w:t>机油</w:t>
            </w:r>
            <w:r>
              <w:rPr>
                <w:rFonts w:hint="default" w:ascii="Times New Roman" w:hAnsi="Times New Roman" w:cs="Times New Roman"/>
                <w:sz w:val="24"/>
              </w:rPr>
              <w:t>设备，在设备下加不锈钢托盘，并设置空桶作为备用设施，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储油间按重点防渗处理，并设置警告标识。使用后的废</w:t>
            </w:r>
            <w:r>
              <w:rPr>
                <w:rFonts w:hint="default" w:ascii="Times New Roman" w:hAnsi="Times New Roman" w:cs="Times New Roman"/>
                <w:bCs/>
                <w:color w:val="auto"/>
                <w:sz w:val="24"/>
              </w:rPr>
              <w:t>机油等油类物质收集后暂存于危废暂存间，设置专用桶，下面设置不锈钢托盘，</w:t>
            </w:r>
            <w:r>
              <w:rPr>
                <w:rFonts w:hint="default" w:ascii="Times New Roman" w:hAnsi="Times New Roman" w:cs="Times New Roman"/>
                <w:color w:val="auto"/>
                <w:sz w:val="24"/>
              </w:rPr>
              <w:t>并设置空桶作为备用设施，</w:t>
            </w:r>
            <w:r>
              <w:rPr>
                <w:rFonts w:hint="default" w:ascii="Times New Roman" w:hAnsi="Times New Roman" w:cs="Times New Roman"/>
                <w:bCs/>
                <w:color w:val="auto"/>
                <w:sz w:val="24"/>
              </w:rPr>
              <w:t>定期由资质单位处置</w:t>
            </w:r>
            <w:r>
              <w:rPr>
                <w:rFonts w:hint="default" w:ascii="Times New Roman" w:hAnsi="Times New Roman" w:cs="Times New Roman"/>
                <w:color w:val="auto"/>
                <w:sz w:val="24"/>
              </w:rPr>
              <w:t>。</w:t>
            </w:r>
          </w:p>
          <w:p>
            <w:pPr>
              <w:spacing w:line="360" w:lineRule="auto"/>
              <w:ind w:firstLine="482" w:firstLineChars="200"/>
              <w:rPr>
                <w:rFonts w:hint="default" w:ascii="Times New Roman" w:hAnsi="Times New Roman" w:cs="Times New Roman"/>
                <w:color w:val="000000"/>
                <w:sz w:val="24"/>
                <w:szCs w:val="20"/>
              </w:rPr>
            </w:pPr>
            <w:r>
              <w:rPr>
                <w:rFonts w:hint="default" w:ascii="Times New Roman" w:hAnsi="Times New Roman" w:cs="Times New Roman"/>
                <w:b/>
                <w:color w:val="auto"/>
                <w:sz w:val="24"/>
                <w:szCs w:val="20"/>
              </w:rPr>
              <w:t>对危废暂存间加强管理：</w:t>
            </w:r>
            <w:r>
              <w:rPr>
                <w:rFonts w:hint="default" w:ascii="Times New Roman" w:hAnsi="Times New Roman" w:cs="Times New Roman"/>
                <w:color w:val="auto"/>
                <w:sz w:val="24"/>
                <w:szCs w:val="20"/>
              </w:rPr>
              <w:t>设置</w:t>
            </w:r>
            <w:r>
              <w:rPr>
                <w:rFonts w:hint="default" w:ascii="Times New Roman" w:hAnsi="Times New Roman" w:cs="Times New Roman"/>
                <w:color w:val="000000"/>
                <w:sz w:val="24"/>
                <w:szCs w:val="20"/>
              </w:rPr>
              <w:t>专用容器作为备用容器；危险废物全部暂存于危险废物暂存库内，做到“四防”；危险废物暂存间内地面</w:t>
            </w:r>
            <w:r>
              <w:rPr>
                <w:rFonts w:hint="default" w:ascii="Times New Roman" w:hAnsi="Times New Roman" w:cs="Times New Roman"/>
                <w:color w:val="000000"/>
                <w:sz w:val="24"/>
              </w:rPr>
              <w:t>增加2mm厚的环氧树脂防渗膜</w:t>
            </w:r>
            <w:r>
              <w:rPr>
                <w:rFonts w:hint="default" w:ascii="Times New Roman" w:hAnsi="Times New Roman" w:cs="Times New Roman"/>
                <w:color w:val="000000"/>
                <w:sz w:val="24"/>
                <w:szCs w:val="20"/>
              </w:rPr>
              <w:t>或其他防渗材料进行防渗</w:t>
            </w:r>
            <w:r>
              <w:rPr>
                <w:rFonts w:hint="default" w:ascii="Times New Roman" w:hAnsi="Times New Roman" w:cs="Times New Roman"/>
                <w:color w:val="000000"/>
                <w:sz w:val="24"/>
              </w:rPr>
              <w:t>进行防渗处理，同时设置防漏裙脚或围堰（围堰高度不低于10cm）</w:t>
            </w:r>
            <w:r>
              <w:rPr>
                <w:rFonts w:hint="default" w:ascii="Times New Roman" w:hAnsi="Times New Roman" w:cs="Times New Roman"/>
                <w:color w:val="000000"/>
                <w:sz w:val="24"/>
                <w:szCs w:val="20"/>
              </w:rPr>
              <w:t>；危险废物分类暂存，装载液体、半固体危险废物的容器内须留足够空间，盛装危险废物的容器上必须粘贴符合标准的标签，各种危险废物的储存容器都有很好的密封性，各暂存于危险废物暂存间内的危险废物定期（不超过1年）交由有危废处理资质的单位进行处理。</w:t>
            </w:r>
          </w:p>
          <w:p>
            <w:pPr>
              <w:pStyle w:val="2"/>
              <w:adjustRightInd w:val="0"/>
              <w:spacing w:before="0" w:after="0" w:line="360" w:lineRule="auto"/>
              <w:ind w:right="0" w:firstLine="482" w:firstLineChars="200"/>
              <w:rPr>
                <w:rFonts w:hint="default" w:ascii="Times New Roman" w:hAnsi="Times New Roman" w:cs="Times New Roman"/>
                <w:b/>
                <w:bCs/>
                <w:sz w:val="24"/>
              </w:rPr>
            </w:pPr>
            <w:r>
              <w:rPr>
                <w:rFonts w:hint="default" w:ascii="Times New Roman" w:hAnsi="Times New Roman" w:cs="Times New Roman"/>
                <w:b/>
                <w:bCs/>
                <w:sz w:val="24"/>
              </w:rPr>
              <w:t>（3）废气事故排放</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对各类安全设施、环保设施、消防器材等进行定期检查，并将发现的问题责任到人落实整改；公司环保专员应定期对厂区设备进行检查，当环保设施装置故障时，应及时关闭生产设备，从源头制止污染源产生，及时对环保设备</w:t>
            </w:r>
            <w:r>
              <w:rPr>
                <w:rFonts w:hint="default" w:ascii="Times New Roman" w:hAnsi="Times New Roman" w:cs="Times New Roman"/>
                <w:color w:val="auto"/>
                <w:sz w:val="24"/>
              </w:rPr>
              <w:t>（低氮燃烧装置）进</w:t>
            </w:r>
            <w:r>
              <w:rPr>
                <w:rFonts w:hint="default" w:ascii="Times New Roman" w:hAnsi="Times New Roman" w:cs="Times New Roman"/>
                <w:sz w:val="24"/>
              </w:rPr>
              <w:t>行检修，确保废气达标排放。</w:t>
            </w:r>
          </w:p>
          <w:p>
            <w:pPr>
              <w:spacing w:line="360" w:lineRule="auto"/>
              <w:ind w:firstLine="480"/>
              <w:rPr>
                <w:rFonts w:hint="default" w:ascii="Times New Roman" w:hAnsi="Times New Roman" w:cs="Times New Roman"/>
                <w:b/>
                <w:bCs/>
                <w:sz w:val="24"/>
              </w:rPr>
            </w:pPr>
            <w:r>
              <w:rPr>
                <w:rFonts w:hint="default" w:ascii="Times New Roman" w:hAnsi="Times New Roman" w:cs="Times New Roman"/>
                <w:b/>
                <w:bCs/>
                <w:sz w:val="24"/>
              </w:rPr>
              <w:t>（4）锅炉运行过程中风险防范措施</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①工艺技术安全措施：加强通风，防止</w:t>
            </w:r>
            <w:r>
              <w:rPr>
                <w:rFonts w:hint="eastAsia" w:ascii="Times New Roman" w:hAnsi="Times New Roman" w:cs="Times New Roman"/>
                <w:sz w:val="24"/>
                <w:lang w:val="en-US" w:eastAsia="zh-CN"/>
              </w:rPr>
              <w:t>气体</w:t>
            </w:r>
            <w:r>
              <w:rPr>
                <w:rFonts w:hint="default" w:ascii="Times New Roman" w:hAnsi="Times New Roman" w:cs="Times New Roman"/>
                <w:sz w:val="24"/>
              </w:rPr>
              <w:t>积聚；增加燃烧室高度，保证</w:t>
            </w:r>
            <w:r>
              <w:rPr>
                <w:rFonts w:hint="eastAsia" w:ascii="Times New Roman" w:hAnsi="Times New Roman" w:cs="Times New Roman"/>
                <w:sz w:val="24"/>
                <w:lang w:val="en-US" w:eastAsia="zh-CN"/>
              </w:rPr>
              <w:t>生物质</w:t>
            </w:r>
            <w:r>
              <w:rPr>
                <w:rFonts w:hint="default" w:ascii="Times New Roman" w:hAnsi="Times New Roman" w:cs="Times New Roman"/>
                <w:sz w:val="24"/>
              </w:rPr>
              <w:t>气完全燃烧：设置PLC监控系统，锅炉点火、燃烧、吹扫、火焰监视及</w:t>
            </w:r>
            <w:r>
              <w:rPr>
                <w:rFonts w:hint="eastAsia" w:ascii="Times New Roman" w:hAnsi="Times New Roman" w:cs="Times New Roman"/>
                <w:sz w:val="24"/>
                <w:lang w:val="en-US" w:eastAsia="zh-CN"/>
              </w:rPr>
              <w:t>气体</w:t>
            </w:r>
            <w:r>
              <w:rPr>
                <w:rFonts w:hint="default" w:ascii="Times New Roman" w:hAnsi="Times New Roman" w:cs="Times New Roman"/>
                <w:sz w:val="24"/>
              </w:rPr>
              <w:t>与空气的比例调节均实现自动化,确保完全、安全燃烧，在锅炉点火过程中，如主烧咀未点燃，将关闭所有阀门，用氮气吹扫、测爆，再重复点燃操作：烧咀点燃、运转数分钟后，在烟囱测试烟气中是否含可燃成分：设置可燃气体泄漏报警装置。</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②防火防爆措施：防爆区域选用防爆电气设备。爆炸危险区域设置防雷、防静电接地。设置火灾自动报警系统，现场设置防爆手动报警按钮及防爆火警铃。</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③平面布置安全措施：锅炉与周边装置的距离要符合规范的防火间距要求。本项目输气风机属于爆炸危险区域，确保足够的防火间距。</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④输气管线设置静电接地装置，并和防雷感应的接地装置相连。</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⑤安全管理措施：建设单位设置专门的安环部门，负责项目安全、环境管理工作。针对燃气锅炉的风险特征采取相应的安全管理措施，确保燃气锅炉安全运行。日常工作中，定期对锅炉各类设备运行进行监视、检查、维护，确保各类设备、设施、仪表处于完好状态：对各类消防设施定期检验，防止失效：制定相关规章制度，包括锅炉生产安全、环保技术规程、锅炉岗位操作法、锅炉工艺规程、员工安全生产责任制、安全检修制度等，定期对员工开展安全培训。制定全面的应急预案，针对存在的事故隐患，编制应急处置方案，定期开展应急演习。维修、保养过程严格按照相关安全规程进行。</w:t>
            </w:r>
          </w:p>
          <w:p>
            <w:pPr>
              <w:spacing w:line="360" w:lineRule="auto"/>
              <w:ind w:firstLine="480"/>
              <w:rPr>
                <w:rFonts w:hint="default" w:ascii="Times New Roman" w:hAnsi="Times New Roman" w:cs="Times New Roman"/>
                <w:b/>
                <w:bCs/>
                <w:sz w:val="24"/>
                <w:lang w:val="en-US" w:eastAsia="zh-CN"/>
              </w:rPr>
            </w:pPr>
            <w:r>
              <w:rPr>
                <w:rFonts w:hint="default" w:ascii="Times New Roman" w:hAnsi="Times New Roman" w:cs="Times New Roman"/>
                <w:b/>
                <w:bCs/>
                <w:sz w:val="24"/>
                <w:lang w:eastAsia="zh-CN"/>
              </w:rPr>
              <w:t>（</w:t>
            </w:r>
            <w:r>
              <w:rPr>
                <w:rFonts w:hint="default" w:ascii="Times New Roman" w:hAnsi="Times New Roman" w:cs="Times New Roman"/>
                <w:b/>
                <w:bCs/>
                <w:sz w:val="24"/>
                <w:lang w:val="en-US" w:eastAsia="zh-CN"/>
              </w:rPr>
              <w:t>5</w:t>
            </w:r>
            <w:r>
              <w:rPr>
                <w:rFonts w:hint="default" w:ascii="Times New Roman" w:hAnsi="Times New Roman" w:cs="Times New Roman"/>
                <w:b/>
                <w:bCs/>
                <w:sz w:val="24"/>
                <w:lang w:eastAsia="zh-CN"/>
              </w:rPr>
              <w:t>）</w:t>
            </w:r>
            <w:r>
              <w:rPr>
                <w:rFonts w:hint="default" w:ascii="Times New Roman" w:hAnsi="Times New Roman" w:cs="Times New Roman"/>
                <w:b/>
                <w:bCs/>
                <w:sz w:val="24"/>
                <w:lang w:val="en-US" w:eastAsia="zh-CN"/>
              </w:rPr>
              <w:t>其他防范措施</w:t>
            </w:r>
          </w:p>
          <w:p>
            <w:pPr>
              <w:spacing w:line="360" w:lineRule="auto"/>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①注重对作业人员的操作培训和教育，操作使用要严格按操作规程操作，确保设备的正常运行，并每半年对设备检查一次，半年维护一次；</w:t>
            </w:r>
          </w:p>
          <w:p>
            <w:pPr>
              <w:spacing w:line="360" w:lineRule="auto"/>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②生产设备要建立完善的运转、故障、检修的技术档案；</w:t>
            </w:r>
          </w:p>
          <w:p>
            <w:pPr>
              <w:spacing w:line="360" w:lineRule="auto"/>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③项目气化、净化设备配置水封装置及可燃气体报警装置，同时配置温度、压力等测量仪表，在燃气管道上配置燃气低压报警装置，生产及输配的所有设备和管道应经常检查，严防跑、冒、滴、漏；</w:t>
            </w:r>
          </w:p>
          <w:p>
            <w:pPr>
              <w:spacing w:line="360" w:lineRule="auto"/>
              <w:ind w:firstLine="480"/>
              <w:rPr>
                <w:rFonts w:hint="default" w:ascii="Times New Roman" w:hAnsi="Times New Roman" w:eastAsia="宋体" w:cs="Times New Roman"/>
                <w:sz w:val="24"/>
                <w:lang w:eastAsia="zh-CN"/>
              </w:rPr>
            </w:pPr>
            <w:r>
              <w:rPr>
                <w:rFonts w:hint="default" w:ascii="Times New Roman" w:hAnsi="Times New Roman" w:cs="Times New Roman"/>
                <w:sz w:val="24"/>
                <w:lang w:eastAsia="zh-CN"/>
              </w:rPr>
              <w:t>④项目锅炉房配置消防灭火器、消防沙等应急物资。</w:t>
            </w:r>
          </w:p>
          <w:p>
            <w:pPr>
              <w:pStyle w:val="2"/>
              <w:adjustRightInd w:val="0"/>
              <w:spacing w:before="0" w:after="0" w:line="360" w:lineRule="auto"/>
              <w:ind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5、事故应急预案</w:t>
            </w:r>
          </w:p>
          <w:p>
            <w:pPr>
              <w:pStyle w:val="2"/>
              <w:adjustRightInd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对可能发生的事故，建设单位应制定相应的应急预案，在风险发生时能做出最快的处理和防范，使风险降到最低。</w:t>
            </w:r>
          </w:p>
          <w:p>
            <w:pPr>
              <w:pStyle w:val="2"/>
              <w:adjustRightInd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事故发生后，应根据具体情况采取应急措施，切断泄露源、火源，控制事故扩大，同时根据事故类型、大小启动相应的应急预案；事故发生后，应立即通知当地突发事故领导小组、环保、卫生、消防、供电、自来水公司等部门，进行必要的救援与监控。发生重大事故，应立即上报相关部门，启动社会救援系统，就近地区调拨专业救援队伍协助处理，并及时做好撤离疏散工作。</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根据《国家突发公共事故总体应急预案》、《国家安全事故灾害应急预案》以及最新环境风险控制要求，通过对污染事故的风险评价各企业应制定突发环境应急预案。一旦出现突发事故，必须先按拟定的应急方法进行紧急处理。本项目应急预案建议如下：</w:t>
            </w:r>
          </w:p>
          <w:p>
            <w:pPr>
              <w:pStyle w:val="63"/>
              <w:ind w:firstLine="480"/>
              <w:rPr>
                <w:rFonts w:hint="default" w:ascii="Times New Roman" w:hAnsi="Times New Roman" w:cs="Times New Roman"/>
                <w:sz w:val="21"/>
              </w:rPr>
            </w:pPr>
            <w:r>
              <w:rPr>
                <w:rFonts w:hint="default" w:ascii="Times New Roman" w:hAnsi="Times New Roman" w:cs="Times New Roman"/>
                <w:sz w:val="21"/>
              </w:rPr>
              <w:t>表4-1</w:t>
            </w:r>
            <w:r>
              <w:rPr>
                <w:rFonts w:hint="eastAsia" w:cs="Times New Roman"/>
                <w:sz w:val="21"/>
                <w:lang w:val="en-US" w:eastAsia="zh-CN"/>
              </w:rPr>
              <w:t>4</w:t>
            </w:r>
            <w:r>
              <w:rPr>
                <w:rFonts w:hint="default" w:ascii="Times New Roman" w:hAnsi="Times New Roman" w:cs="Times New Roman"/>
                <w:sz w:val="21"/>
              </w:rPr>
              <w:t xml:space="preserve"> 应急预案内容</w:t>
            </w:r>
          </w:p>
          <w:tbl>
            <w:tblPr>
              <w:tblStyle w:val="25"/>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0"/>
              <w:gridCol w:w="2174"/>
              <w:gridCol w:w="51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tblHeader/>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
                      <w:szCs w:val="21"/>
                    </w:rPr>
                  </w:pPr>
                  <w:r>
                    <w:rPr>
                      <w:rFonts w:hint="default" w:ascii="Times New Roman" w:hAnsi="Times New Roman" w:cs="Times New Roman"/>
                      <w:b/>
                      <w:szCs w:val="21"/>
                    </w:rPr>
                    <w:t>项  目</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
                      <w:szCs w:val="21"/>
                    </w:rPr>
                  </w:pPr>
                  <w:r>
                    <w:rPr>
                      <w:rFonts w:hint="default" w:ascii="Times New Roman" w:hAnsi="Times New Roman" w:cs="Times New Roman"/>
                      <w:b/>
                      <w:szCs w:val="21"/>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exac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1</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应急计划区</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危险目标：生产车间、危废暂存间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3" w:hRule="exac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2</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环境风险评价</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阐述生产车间、危废暂存间存在的危险源及环境风险评价结果</w:t>
                  </w:r>
                </w:p>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以及可能发生事故的后果和波及范围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6" w:hRule="exac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3</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应急组织机构、人员</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与社会组织联动，加强与</w:t>
                  </w:r>
                  <w:r>
                    <w:rPr>
                      <w:rFonts w:hint="eastAsia" w:ascii="Times New Roman" w:hAnsi="Times New Roman" w:cs="Times New Roman"/>
                      <w:bCs/>
                      <w:szCs w:val="21"/>
                      <w:lang w:val="en-US" w:eastAsia="zh-CN"/>
                    </w:rPr>
                    <w:t>大英县</w:t>
                  </w:r>
                  <w:r>
                    <w:rPr>
                      <w:rFonts w:hint="default" w:ascii="Times New Roman" w:hAnsi="Times New Roman" w:cs="Times New Roman"/>
                      <w:bCs/>
                      <w:szCs w:val="21"/>
                    </w:rPr>
                    <w:t>救援组织</w:t>
                  </w:r>
                </w:p>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如消防、卫生、环保部门之前的联系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2" w:hRule="exac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4</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预防和预警</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明确本单位对危险源监测监控的方式、方法，以及采取的预防措施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exac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5</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信息报告和通报</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按照《国家突发环境事件应急预案》及国家有关规定，明确信息报告时限和发布的程序、内容和方式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exac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6</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预案分级响应条件</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规定预案的级别及分级响应程序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exac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7</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应急救援保障</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应急设施、设备与器材等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1" w:hRule="atLeas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8</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报警、通讯联络方式</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规定应急状态下的报警通讯方式、通知方式和交通保障、管制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5" w:hRule="atLeas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9</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应急环境监测、抢险、救援及控制措施</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由专业队伍负责对事故现场进行侦查监测，对事故性质、参数与后果进行评估，为指挥部门提供决策依据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3" w:hRule="atLeas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10</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应急监测、防护措施、清除泄漏措施和器材</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事故现场、邻近区域、控制防火区域，</w:t>
                  </w:r>
                </w:p>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控制和清楚危险的措施及相应设备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11</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人员紧急撤离、疏散撤离组织计划</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在显眼位置设置明显指示标志，保持逃生道路通畅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3" w:hRule="atLeas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12</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事故应急救援关闭程序与恢复措施</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事故现场善后处理，恢复措施邻近区域解除事故警戒及善后恢复措施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8" w:hRule="exac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13</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应急培训计划</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定期组织人员进行事故演练，在过程中逐渐完善应急预案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42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14</w:t>
                  </w:r>
                </w:p>
              </w:tc>
              <w:tc>
                <w:tcPr>
                  <w:tcW w:w="1366"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公众教育和信息</w:t>
                  </w:r>
                </w:p>
              </w:tc>
              <w:tc>
                <w:tcPr>
                  <w:tcW w:w="3211" w:type="pct"/>
                  <w:vAlign w:val="center"/>
                </w:tcPr>
                <w:p>
                  <w:pPr>
                    <w:pStyle w:val="92"/>
                    <w:widowControl/>
                    <w:wordWrap/>
                    <w:adjustRightInd w:val="0"/>
                    <w:snapToGrid w:val="0"/>
                    <w:spacing w:line="24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对职工及相关人员开展公众教育、培训和发布有关信息</w:t>
                  </w:r>
                </w:p>
              </w:tc>
            </w:tr>
          </w:tbl>
          <w:p>
            <w:pPr>
              <w:adjustRightInd w:val="0"/>
              <w:snapToGrid w:val="0"/>
              <w:spacing w:before="120" w:beforeLines="50"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本项目存在一定环境风险</w:t>
            </w:r>
            <w:r>
              <w:rPr>
                <w:rFonts w:hint="default" w:ascii="Times New Roman" w:hAnsi="Times New Roman" w:cs="Times New Roman"/>
                <w:b/>
                <w:bCs/>
                <w:spacing w:val="-58"/>
                <w:sz w:val="24"/>
              </w:rPr>
              <w:t>，</w:t>
            </w:r>
            <w:r>
              <w:rPr>
                <w:rFonts w:hint="default" w:ascii="Times New Roman" w:hAnsi="Times New Roman" w:cs="Times New Roman"/>
                <w:b/>
                <w:bCs/>
                <w:sz w:val="24"/>
              </w:rPr>
              <w:t>为防范风险事故的发生</w:t>
            </w:r>
            <w:r>
              <w:rPr>
                <w:rFonts w:hint="default" w:ascii="Times New Roman" w:hAnsi="Times New Roman" w:cs="Times New Roman"/>
                <w:b/>
                <w:bCs/>
                <w:spacing w:val="-56"/>
                <w:sz w:val="24"/>
              </w:rPr>
              <w:t>，</w:t>
            </w:r>
            <w:r>
              <w:rPr>
                <w:rFonts w:hint="default" w:ascii="Times New Roman" w:hAnsi="Times New Roman" w:cs="Times New Roman"/>
                <w:b/>
                <w:bCs/>
                <w:sz w:val="24"/>
              </w:rPr>
              <w:t>建设单位只要严格按照本报告提出的要求</w:t>
            </w:r>
            <w:r>
              <w:rPr>
                <w:rFonts w:hint="default" w:ascii="Times New Roman" w:hAnsi="Times New Roman" w:cs="Times New Roman"/>
                <w:b/>
                <w:bCs/>
                <w:spacing w:val="-39"/>
                <w:sz w:val="24"/>
              </w:rPr>
              <w:t>，</w:t>
            </w:r>
            <w:r>
              <w:rPr>
                <w:rFonts w:hint="default" w:ascii="Times New Roman" w:hAnsi="Times New Roman" w:cs="Times New Roman"/>
                <w:b/>
                <w:bCs/>
                <w:sz w:val="24"/>
              </w:rPr>
              <w:t>加强管理</w:t>
            </w:r>
            <w:r>
              <w:rPr>
                <w:rFonts w:hint="default" w:ascii="Times New Roman" w:hAnsi="Times New Roman" w:cs="Times New Roman"/>
                <w:b/>
                <w:bCs/>
                <w:spacing w:val="-39"/>
                <w:sz w:val="24"/>
              </w:rPr>
              <w:t>，</w:t>
            </w:r>
            <w:r>
              <w:rPr>
                <w:rFonts w:hint="default" w:ascii="Times New Roman" w:hAnsi="Times New Roman" w:cs="Times New Roman"/>
                <w:b/>
                <w:bCs/>
                <w:sz w:val="24"/>
              </w:rPr>
              <w:t>思想上引起重视</w:t>
            </w:r>
            <w:r>
              <w:rPr>
                <w:rFonts w:hint="default" w:ascii="Times New Roman" w:hAnsi="Times New Roman" w:cs="Times New Roman"/>
                <w:b/>
                <w:bCs/>
                <w:spacing w:val="-36"/>
                <w:sz w:val="24"/>
              </w:rPr>
              <w:t>，</w:t>
            </w:r>
            <w:r>
              <w:rPr>
                <w:rFonts w:hint="default" w:ascii="Times New Roman" w:hAnsi="Times New Roman" w:cs="Times New Roman"/>
                <w:b/>
                <w:bCs/>
                <w:sz w:val="24"/>
              </w:rPr>
              <w:t>建立健全相应的应急预案与应急措施并得到认真落实</w:t>
            </w:r>
            <w:r>
              <w:rPr>
                <w:rFonts w:hint="default" w:ascii="Times New Roman" w:hAnsi="Times New Roman" w:cs="Times New Roman"/>
                <w:b/>
                <w:bCs/>
                <w:spacing w:val="-58"/>
                <w:sz w:val="24"/>
              </w:rPr>
              <w:t>，</w:t>
            </w:r>
            <w:r>
              <w:rPr>
                <w:rFonts w:hint="default" w:ascii="Times New Roman" w:hAnsi="Times New Roman" w:cs="Times New Roman"/>
                <w:b/>
                <w:bCs/>
                <w:sz w:val="24"/>
              </w:rPr>
              <w:t>可以将环境风险降低到可接受的水平</w:t>
            </w:r>
            <w:r>
              <w:rPr>
                <w:rFonts w:hint="default" w:ascii="Times New Roman" w:hAnsi="Times New Roman" w:cs="Times New Roman"/>
                <w:b/>
                <w:bCs/>
                <w:spacing w:val="-56"/>
                <w:sz w:val="24"/>
              </w:rPr>
              <w:t>。</w:t>
            </w:r>
            <w:r>
              <w:rPr>
                <w:rFonts w:hint="default" w:ascii="Times New Roman" w:hAnsi="Times New Roman" w:cs="Times New Roman"/>
                <w:b/>
                <w:bCs/>
                <w:sz w:val="24"/>
              </w:rPr>
              <w:t>从环境风险角度，本项目的建设是可行的。</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1.8项目环保投资估算</w:t>
            </w:r>
          </w:p>
          <w:p>
            <w:pPr>
              <w:pStyle w:val="2"/>
              <w:adjustRightInd w:val="0"/>
              <w:spacing w:before="0" w:after="0" w:line="360" w:lineRule="auto"/>
              <w:ind w:right="0" w:firstLine="480" w:firstLineChars="200"/>
              <w:rPr>
                <w:rFonts w:hint="default" w:ascii="Times New Roman" w:hAnsi="Times New Roman" w:cs="Times New Roman"/>
                <w:sz w:val="24"/>
              </w:rPr>
            </w:pPr>
            <w:r>
              <w:rPr>
                <w:rFonts w:hint="default" w:ascii="Times New Roman" w:hAnsi="Times New Roman" w:cs="Times New Roman"/>
                <w:sz w:val="24"/>
              </w:rPr>
              <w:t>本项目总投资</w:t>
            </w:r>
            <w:r>
              <w:rPr>
                <w:rFonts w:hint="eastAsia" w:ascii="Times New Roman" w:hAnsi="Times New Roman" w:cs="Times New Roman"/>
                <w:sz w:val="24"/>
                <w:lang w:val="en-US" w:eastAsia="zh-CN"/>
              </w:rPr>
              <w:t>1</w:t>
            </w:r>
            <w:r>
              <w:rPr>
                <w:rFonts w:hint="default" w:ascii="Times New Roman" w:hAnsi="Times New Roman" w:cs="Times New Roman"/>
                <w:sz w:val="24"/>
              </w:rPr>
              <w:t>000万元，环保投资约</w:t>
            </w:r>
            <w:r>
              <w:rPr>
                <w:rFonts w:hint="eastAsia" w:ascii="Times New Roman" w:hAnsi="Times New Roman" w:cs="Times New Roman"/>
                <w:sz w:val="24"/>
                <w:lang w:val="en-US" w:eastAsia="zh-CN"/>
              </w:rPr>
              <w:t>109</w:t>
            </w:r>
            <w:r>
              <w:rPr>
                <w:rFonts w:hint="default" w:ascii="Times New Roman" w:hAnsi="Times New Roman" w:cs="Times New Roman"/>
                <w:sz w:val="24"/>
              </w:rPr>
              <w:t>万元，约占工程总投资的</w:t>
            </w:r>
            <w:r>
              <w:rPr>
                <w:rFonts w:hint="eastAsia" w:cs="Times New Roman"/>
                <w:sz w:val="24"/>
                <w:lang w:val="en-US" w:eastAsia="zh-CN"/>
              </w:rPr>
              <w:t>10.9</w:t>
            </w:r>
            <w:r>
              <w:rPr>
                <w:rFonts w:hint="default" w:ascii="Times New Roman" w:hAnsi="Times New Roman" w:cs="Times New Roman"/>
                <w:sz w:val="24"/>
              </w:rPr>
              <w:t>%。各污染物治理费用汇总如下表：</w:t>
            </w:r>
          </w:p>
          <w:p>
            <w:pPr>
              <w:pStyle w:val="63"/>
              <w:ind w:firstLine="480"/>
              <w:rPr>
                <w:rFonts w:hint="default" w:ascii="Times New Roman" w:hAnsi="Times New Roman" w:cs="Times New Roman"/>
                <w:sz w:val="21"/>
              </w:rPr>
            </w:pPr>
            <w:r>
              <w:rPr>
                <w:rFonts w:hint="default" w:ascii="Times New Roman" w:hAnsi="Times New Roman" w:cs="Times New Roman"/>
                <w:sz w:val="21"/>
              </w:rPr>
              <w:t>表4-1</w:t>
            </w:r>
            <w:r>
              <w:rPr>
                <w:rFonts w:hint="eastAsia" w:cs="Times New Roman"/>
                <w:sz w:val="21"/>
                <w:lang w:val="en-US" w:eastAsia="zh-CN"/>
              </w:rPr>
              <w:t>5</w:t>
            </w:r>
            <w:r>
              <w:rPr>
                <w:rFonts w:hint="default" w:ascii="Times New Roman" w:hAnsi="Times New Roman" w:cs="Times New Roman"/>
                <w:sz w:val="21"/>
              </w:rPr>
              <w:t xml:space="preserve"> 投资估算一览表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40"/>
              <w:gridCol w:w="1040"/>
              <w:gridCol w:w="5344"/>
              <w:gridCol w:w="789"/>
              <w:gridCol w:w="5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4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时期</w:t>
                  </w:r>
                </w:p>
              </w:tc>
              <w:tc>
                <w:tcPr>
                  <w:tcW w:w="6384"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w:t>
                  </w:r>
                </w:p>
              </w:tc>
              <w:tc>
                <w:tcPr>
                  <w:tcW w:w="7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投资</w:t>
                  </w:r>
                </w:p>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（万元）</w:t>
                  </w:r>
                </w:p>
              </w:tc>
              <w:tc>
                <w:tcPr>
                  <w:tcW w:w="5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240"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施工期</w:t>
                  </w:r>
                </w:p>
              </w:tc>
              <w:tc>
                <w:tcPr>
                  <w:tcW w:w="104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highlight w:val="none"/>
                    </w:rPr>
                    <w:t>扬尘</w:t>
                  </w:r>
                </w:p>
              </w:tc>
              <w:tc>
                <w:tcPr>
                  <w:tcW w:w="534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highlight w:val="none"/>
                    </w:rPr>
                    <w:t>运输车加盖篷布运输，及时清扫道路沿线遗洒物料，冲洗出场车辆车轮、定期洒水降尘</w:t>
                  </w:r>
                </w:p>
              </w:tc>
              <w:tc>
                <w:tcPr>
                  <w:tcW w:w="7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5</w:t>
                  </w:r>
                </w:p>
              </w:tc>
              <w:tc>
                <w:tcPr>
                  <w:tcW w:w="5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0" w:type="dxa"/>
                  <w:vMerge w:val="continue"/>
                  <w:vAlign w:val="center"/>
                </w:tcPr>
                <w:p>
                  <w:pPr>
                    <w:jc w:val="center"/>
                    <w:rPr>
                      <w:rFonts w:hint="default" w:ascii="Times New Roman" w:hAnsi="Times New Roman" w:cs="Times New Roman"/>
                      <w:color w:val="000000"/>
                      <w:szCs w:val="21"/>
                    </w:rPr>
                  </w:pPr>
                </w:p>
              </w:tc>
              <w:tc>
                <w:tcPr>
                  <w:tcW w:w="104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燃油废气</w:t>
                  </w:r>
                </w:p>
              </w:tc>
              <w:tc>
                <w:tcPr>
                  <w:tcW w:w="5344" w:type="dxa"/>
                  <w:vAlign w:val="center"/>
                </w:tcPr>
                <w:p>
                  <w:pPr>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highlight w:val="none"/>
                    </w:rPr>
                    <w:t>加强车辆管理</w:t>
                  </w:r>
                </w:p>
              </w:tc>
              <w:tc>
                <w:tcPr>
                  <w:tcW w:w="7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0.5</w:t>
                  </w:r>
                </w:p>
              </w:tc>
              <w:tc>
                <w:tcPr>
                  <w:tcW w:w="5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0" w:type="dxa"/>
                  <w:vMerge w:val="continue"/>
                  <w:vAlign w:val="center"/>
                </w:tcPr>
                <w:p>
                  <w:pPr>
                    <w:jc w:val="center"/>
                    <w:rPr>
                      <w:rFonts w:hint="default" w:ascii="Times New Roman" w:hAnsi="Times New Roman" w:cs="Times New Roman"/>
                      <w:color w:val="000000"/>
                      <w:szCs w:val="21"/>
                    </w:rPr>
                  </w:pPr>
                </w:p>
              </w:tc>
              <w:tc>
                <w:tcPr>
                  <w:tcW w:w="104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生活污水、清洗废水、浓水</w:t>
                  </w:r>
                </w:p>
              </w:tc>
              <w:tc>
                <w:tcPr>
                  <w:tcW w:w="534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项目新建一座预处理池（容积为200m</w:t>
                  </w:r>
                  <w:r>
                    <w:rPr>
                      <w:rFonts w:hint="default" w:ascii="Times New Roman" w:hAnsi="Times New Roman" w:cs="Times New Roman"/>
                      <w:color w:val="000000"/>
                      <w:sz w:val="21"/>
                      <w:szCs w:val="21"/>
                      <w:highlight w:val="none"/>
                      <w:vertAlign w:val="superscript"/>
                    </w:rPr>
                    <w:t>3</w:t>
                  </w:r>
                  <w:r>
                    <w:rPr>
                      <w:rFonts w:hint="default" w:ascii="Times New Roman" w:hAnsi="Times New Roman" w:cs="Times New Roman"/>
                      <w:color w:val="000000"/>
                      <w:sz w:val="21"/>
                      <w:szCs w:val="21"/>
                      <w:highlight w:val="none"/>
                    </w:rPr>
                    <w:t>），生活污水排入预处理池处理，处理后排入园区污水管网。</w:t>
                  </w:r>
                </w:p>
              </w:tc>
              <w:tc>
                <w:tcPr>
                  <w:tcW w:w="7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1</w:t>
                  </w:r>
                </w:p>
              </w:tc>
              <w:tc>
                <w:tcPr>
                  <w:tcW w:w="5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240" w:type="dxa"/>
                  <w:vMerge w:val="continue"/>
                  <w:vAlign w:val="center"/>
                </w:tcPr>
                <w:p>
                  <w:pPr>
                    <w:jc w:val="center"/>
                    <w:rPr>
                      <w:rFonts w:hint="default" w:ascii="Times New Roman" w:hAnsi="Times New Roman" w:cs="Times New Roman"/>
                      <w:color w:val="000000"/>
                      <w:szCs w:val="21"/>
                    </w:rPr>
                  </w:pPr>
                </w:p>
              </w:tc>
              <w:tc>
                <w:tcPr>
                  <w:tcW w:w="104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highlight w:val="none"/>
                    </w:rPr>
                    <w:t>施工噪声</w:t>
                  </w:r>
                </w:p>
              </w:tc>
              <w:tc>
                <w:tcPr>
                  <w:tcW w:w="534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highlight w:val="none"/>
                    </w:rPr>
                    <w:t>合理施工布局，采用低噪声设备，隔声降噪，合理安排施工时间等</w:t>
                  </w:r>
                </w:p>
              </w:tc>
              <w:tc>
                <w:tcPr>
                  <w:tcW w:w="7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5</w:t>
                  </w:r>
                </w:p>
              </w:tc>
              <w:tc>
                <w:tcPr>
                  <w:tcW w:w="5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240" w:type="dxa"/>
                  <w:vMerge w:val="continue"/>
                  <w:vAlign w:val="center"/>
                </w:tcPr>
                <w:p>
                  <w:pPr>
                    <w:jc w:val="center"/>
                    <w:rPr>
                      <w:rFonts w:hint="default" w:ascii="Times New Roman" w:hAnsi="Times New Roman" w:cs="Times New Roman"/>
                      <w:color w:val="000000"/>
                      <w:szCs w:val="21"/>
                    </w:rPr>
                  </w:pPr>
                </w:p>
              </w:tc>
              <w:tc>
                <w:tcPr>
                  <w:tcW w:w="104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建渣</w:t>
                  </w:r>
                </w:p>
              </w:tc>
              <w:tc>
                <w:tcPr>
                  <w:tcW w:w="534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highlight w:val="none"/>
                    </w:rPr>
                    <w:t>定时清运到指定垃圾场</w:t>
                  </w:r>
                </w:p>
              </w:tc>
              <w:tc>
                <w:tcPr>
                  <w:tcW w:w="7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25</w:t>
                  </w:r>
                </w:p>
              </w:tc>
              <w:tc>
                <w:tcPr>
                  <w:tcW w:w="5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40" w:type="dxa"/>
                  <w:vMerge w:val="continue"/>
                  <w:vAlign w:val="center"/>
                </w:tcPr>
                <w:p>
                  <w:pPr>
                    <w:jc w:val="center"/>
                    <w:rPr>
                      <w:rFonts w:hint="default" w:ascii="Times New Roman" w:hAnsi="Times New Roman" w:cs="Times New Roman"/>
                      <w:color w:val="000000"/>
                      <w:szCs w:val="21"/>
                    </w:rPr>
                  </w:pPr>
                </w:p>
              </w:tc>
              <w:tc>
                <w:tcPr>
                  <w:tcW w:w="104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highlight w:val="none"/>
                    </w:rPr>
                    <w:t>生活垃圾</w:t>
                  </w:r>
                </w:p>
              </w:tc>
              <w:tc>
                <w:tcPr>
                  <w:tcW w:w="534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highlight w:val="none"/>
                    </w:rPr>
                    <w:t>环卫部门负责清运处理</w:t>
                  </w:r>
                </w:p>
              </w:tc>
              <w:tc>
                <w:tcPr>
                  <w:tcW w:w="7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3</w:t>
                  </w:r>
                </w:p>
              </w:tc>
              <w:tc>
                <w:tcPr>
                  <w:tcW w:w="5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240"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运营期</w:t>
                  </w:r>
                </w:p>
              </w:tc>
              <w:tc>
                <w:tcPr>
                  <w:tcW w:w="104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废气治理</w:t>
                  </w:r>
                </w:p>
              </w:tc>
              <w:tc>
                <w:tcPr>
                  <w:tcW w:w="5344" w:type="dxa"/>
                  <w:vAlign w:val="center"/>
                </w:tcPr>
                <w:p>
                  <w:pPr>
                    <w:pStyle w:val="2"/>
                    <w:adjustRightInd w:val="0"/>
                    <w:spacing w:before="0" w:after="0" w:line="240" w:lineRule="auto"/>
                    <w:ind w:right="0"/>
                    <w:jc w:val="center"/>
                    <w:rPr>
                      <w:rFonts w:hint="default" w:ascii="Times New Roman" w:hAnsi="Times New Roman" w:cs="Times New Roman"/>
                      <w:color w:val="FF0000"/>
                    </w:rPr>
                  </w:pPr>
                  <w:r>
                    <w:rPr>
                      <w:rFonts w:hint="default" w:ascii="Times New Roman" w:hAnsi="Times New Roman" w:cs="Times New Roman"/>
                      <w:color w:val="000000"/>
                      <w:kern w:val="2"/>
                      <w:sz w:val="21"/>
                      <w:szCs w:val="21"/>
                      <w:lang w:val="en-US" w:eastAsia="zh-CN"/>
                    </w:rPr>
                    <w:t>生物质</w:t>
                  </w:r>
                  <w:r>
                    <w:rPr>
                      <w:rFonts w:hint="default" w:ascii="Times New Roman" w:hAnsi="Times New Roman" w:cs="Times New Roman"/>
                      <w:color w:val="000000"/>
                      <w:kern w:val="2"/>
                      <w:sz w:val="21"/>
                      <w:szCs w:val="21"/>
                    </w:rPr>
                    <w:t>燃烧废气：经SCR脱硝+消石灰干法脱硫+旋风布袋除尘器</w:t>
                  </w:r>
                  <w:r>
                    <w:rPr>
                      <w:rFonts w:hint="default" w:ascii="Times New Roman" w:hAnsi="Times New Roman" w:cs="Times New Roman"/>
                      <w:color w:val="000000"/>
                      <w:kern w:val="2"/>
                      <w:sz w:val="21"/>
                      <w:szCs w:val="21"/>
                      <w:lang w:val="en-US" w:eastAsia="zh-CN"/>
                    </w:rPr>
                    <w:t>处理后由</w:t>
                  </w:r>
                  <w:r>
                    <w:rPr>
                      <w:rFonts w:hint="eastAsia" w:cs="Times New Roman"/>
                      <w:color w:val="000000"/>
                      <w:kern w:val="2"/>
                      <w:sz w:val="21"/>
                      <w:szCs w:val="21"/>
                      <w:lang w:eastAsia="zh-CN"/>
                    </w:rPr>
                    <w:t>1根40m高</w:t>
                  </w:r>
                  <w:r>
                    <w:rPr>
                      <w:rFonts w:hint="default" w:ascii="Times New Roman" w:hAnsi="Times New Roman" w:cs="Times New Roman"/>
                      <w:color w:val="000000"/>
                      <w:kern w:val="2"/>
                      <w:sz w:val="21"/>
                      <w:szCs w:val="21"/>
                    </w:rPr>
                    <w:t>排气筒排放。</w:t>
                  </w:r>
                </w:p>
              </w:tc>
              <w:tc>
                <w:tcPr>
                  <w:tcW w:w="78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50</w:t>
                  </w:r>
                </w:p>
              </w:tc>
              <w:tc>
                <w:tcPr>
                  <w:tcW w:w="55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240" w:type="dxa"/>
                  <w:vMerge w:val="continue"/>
                  <w:vAlign w:val="center"/>
                </w:tcPr>
                <w:p>
                  <w:pPr>
                    <w:jc w:val="center"/>
                    <w:rPr>
                      <w:rFonts w:hint="default" w:ascii="Times New Roman" w:hAnsi="Times New Roman" w:cs="Times New Roman"/>
                      <w:color w:val="000000"/>
                      <w:szCs w:val="21"/>
                    </w:rPr>
                  </w:pPr>
                </w:p>
              </w:tc>
              <w:tc>
                <w:tcPr>
                  <w:tcW w:w="104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废水治理</w:t>
                  </w:r>
                </w:p>
              </w:tc>
              <w:tc>
                <w:tcPr>
                  <w:tcW w:w="5344" w:type="dxa"/>
                  <w:vAlign w:val="center"/>
                </w:tcPr>
                <w:p>
                  <w:pPr>
                    <w:jc w:val="center"/>
                    <w:rPr>
                      <w:rFonts w:hint="default" w:ascii="Times New Roman" w:hAnsi="Times New Roman" w:eastAsia="宋体" w:cs="Times New Roman"/>
                      <w:color w:val="FF0000"/>
                      <w:szCs w:val="21"/>
                      <w:lang w:eastAsia="zh-CN"/>
                    </w:rPr>
                  </w:pPr>
                  <w:r>
                    <w:rPr>
                      <w:rFonts w:hint="default" w:ascii="Times New Roman" w:hAnsi="Times New Roman" w:cs="Times New Roman"/>
                      <w:szCs w:val="21"/>
                    </w:rPr>
                    <w:t>生活污水、锅炉废水经预处理池处理后，达到排放标准后进入</w:t>
                  </w:r>
                  <w:r>
                    <w:rPr>
                      <w:rFonts w:hint="default" w:ascii="Times New Roman" w:hAnsi="Times New Roman" w:cs="Times New Roman"/>
                      <w:szCs w:val="21"/>
                      <w:lang w:eastAsia="zh-CN"/>
                    </w:rPr>
                    <w:t>园区污水管网</w:t>
                  </w:r>
                  <w:r>
                    <w:rPr>
                      <w:rFonts w:hint="default" w:ascii="Times New Roman" w:hAnsi="Times New Roman" w:cs="Times New Roman"/>
                      <w:szCs w:val="21"/>
                    </w:rPr>
                    <w:t>后进入</w:t>
                  </w:r>
                  <w:r>
                    <w:rPr>
                      <w:rFonts w:hint="default" w:ascii="Times New Roman" w:hAnsi="Times New Roman" w:cs="Times New Roman"/>
                      <w:color w:val="000000"/>
                      <w:szCs w:val="21"/>
                      <w:lang w:eastAsia="zh-CN"/>
                    </w:rPr>
                    <w:t>大英工业集中区污水处理厂</w:t>
                  </w:r>
                  <w:r>
                    <w:rPr>
                      <w:rFonts w:hint="default" w:ascii="Times New Roman" w:hAnsi="Times New Roman" w:cs="Times New Roman"/>
                      <w:color w:val="000000"/>
                      <w:szCs w:val="21"/>
                    </w:rPr>
                    <w:t>处理达标排入</w:t>
                  </w:r>
                  <w:r>
                    <w:rPr>
                      <w:rFonts w:hint="default" w:ascii="Times New Roman" w:hAnsi="Times New Roman" w:cs="Times New Roman"/>
                      <w:color w:val="000000"/>
                      <w:szCs w:val="21"/>
                      <w:lang w:eastAsia="zh-CN"/>
                    </w:rPr>
                    <w:t>郪江</w:t>
                  </w:r>
                </w:p>
              </w:tc>
              <w:tc>
                <w:tcPr>
                  <w:tcW w:w="789" w:type="dxa"/>
                  <w:vAlign w:val="center"/>
                </w:tcPr>
                <w:p>
                  <w:pPr>
                    <w:jc w:val="center"/>
                    <w:rPr>
                      <w:rFonts w:hint="eastAsia" w:ascii="Times New Roman" w:hAnsi="Times New Roman" w:eastAsia="宋体" w:cs="Times New Roman"/>
                      <w:szCs w:val="21"/>
                      <w:lang w:val="en-US" w:eastAsia="zh-CN"/>
                    </w:rPr>
                  </w:pPr>
                  <w:r>
                    <w:rPr>
                      <w:rFonts w:hint="default" w:ascii="Times New Roman" w:hAnsi="Times New Roman" w:cs="Times New Roman"/>
                      <w:szCs w:val="21"/>
                    </w:rPr>
                    <w:t>0.</w:t>
                  </w:r>
                  <w:r>
                    <w:rPr>
                      <w:rFonts w:hint="eastAsia" w:ascii="Times New Roman" w:hAnsi="Times New Roman" w:cs="Times New Roman"/>
                      <w:szCs w:val="21"/>
                      <w:lang w:val="en-US" w:eastAsia="zh-CN"/>
                    </w:rPr>
                    <w:t>5</w:t>
                  </w:r>
                </w:p>
              </w:tc>
              <w:tc>
                <w:tcPr>
                  <w:tcW w:w="55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240" w:type="dxa"/>
                  <w:vMerge w:val="continue"/>
                  <w:vAlign w:val="center"/>
                </w:tcPr>
                <w:p>
                  <w:pPr>
                    <w:jc w:val="center"/>
                    <w:rPr>
                      <w:rFonts w:hint="default" w:ascii="Times New Roman" w:hAnsi="Times New Roman" w:cs="Times New Roman"/>
                      <w:color w:val="000000"/>
                      <w:szCs w:val="21"/>
                    </w:rPr>
                  </w:pPr>
                </w:p>
              </w:tc>
              <w:tc>
                <w:tcPr>
                  <w:tcW w:w="104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噪声治理</w:t>
                  </w:r>
                </w:p>
              </w:tc>
              <w:tc>
                <w:tcPr>
                  <w:tcW w:w="534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采取合理布置、厂房隔声等措施</w:t>
                  </w:r>
                </w:p>
              </w:tc>
              <w:tc>
                <w:tcPr>
                  <w:tcW w:w="78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5.0</w:t>
                  </w:r>
                </w:p>
              </w:tc>
              <w:tc>
                <w:tcPr>
                  <w:tcW w:w="55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240" w:type="dxa"/>
                  <w:vMerge w:val="continue"/>
                  <w:vAlign w:val="center"/>
                </w:tcPr>
                <w:p>
                  <w:pPr>
                    <w:jc w:val="center"/>
                    <w:rPr>
                      <w:rFonts w:hint="default" w:ascii="Times New Roman" w:hAnsi="Times New Roman" w:cs="Times New Roman"/>
                      <w:color w:val="000000"/>
                      <w:szCs w:val="21"/>
                    </w:rPr>
                  </w:pPr>
                </w:p>
              </w:tc>
              <w:tc>
                <w:tcPr>
                  <w:tcW w:w="1040"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固废治理</w:t>
                  </w:r>
                </w:p>
              </w:tc>
              <w:tc>
                <w:tcPr>
                  <w:tcW w:w="534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生活垃圾收集后交环卫部门统一处理</w:t>
                  </w:r>
                </w:p>
              </w:tc>
              <w:tc>
                <w:tcPr>
                  <w:tcW w:w="78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55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240" w:type="dxa"/>
                  <w:vMerge w:val="continue"/>
                  <w:vAlign w:val="center"/>
                </w:tcPr>
                <w:p>
                  <w:pPr>
                    <w:jc w:val="center"/>
                    <w:rPr>
                      <w:rFonts w:hint="default" w:ascii="Times New Roman" w:hAnsi="Times New Roman" w:cs="Times New Roman"/>
                      <w:color w:val="000000"/>
                      <w:szCs w:val="21"/>
                    </w:rPr>
                  </w:pPr>
                </w:p>
              </w:tc>
              <w:tc>
                <w:tcPr>
                  <w:tcW w:w="1040" w:type="dxa"/>
                  <w:vMerge w:val="continue"/>
                  <w:vAlign w:val="center"/>
                </w:tcPr>
                <w:p>
                  <w:pPr>
                    <w:jc w:val="center"/>
                    <w:rPr>
                      <w:rFonts w:hint="default" w:ascii="Times New Roman" w:hAnsi="Times New Roman" w:cs="Times New Roman"/>
                      <w:color w:val="000000"/>
                      <w:szCs w:val="21"/>
                    </w:rPr>
                  </w:pPr>
                </w:p>
              </w:tc>
              <w:tc>
                <w:tcPr>
                  <w:tcW w:w="534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设置危废暂存间1 间（5m</w:t>
                  </w:r>
                  <w:r>
                    <w:rPr>
                      <w:rFonts w:hint="default" w:ascii="Times New Roman" w:hAnsi="Times New Roman" w:cs="Times New Roman"/>
                      <w:szCs w:val="21"/>
                      <w:vertAlign w:val="superscript"/>
                    </w:rPr>
                    <w:t>2</w:t>
                  </w:r>
                  <w:r>
                    <w:rPr>
                      <w:rFonts w:hint="eastAsia" w:cs="Times New Roman"/>
                      <w:szCs w:val="21"/>
                      <w:lang w:eastAsia="zh-CN"/>
                    </w:rPr>
                    <w:t>）</w:t>
                  </w:r>
                  <w:r>
                    <w:rPr>
                      <w:rFonts w:hint="default" w:ascii="Times New Roman" w:hAnsi="Times New Roman" w:cs="Times New Roman"/>
                      <w:szCs w:val="21"/>
                    </w:rPr>
                    <w:t>，暂存危废暂存间</w:t>
                  </w:r>
                  <w:r>
                    <w:rPr>
                      <w:rFonts w:hint="default" w:ascii="Times New Roman" w:hAnsi="Times New Roman" w:cs="Times New Roman"/>
                    </w:rPr>
                    <w:t>，并签订危废处置协议，危险废物</w:t>
                  </w:r>
                  <w:r>
                    <w:rPr>
                      <w:rFonts w:hint="default" w:ascii="Times New Roman" w:hAnsi="Times New Roman" w:cs="Times New Roman"/>
                      <w:szCs w:val="21"/>
                    </w:rPr>
                    <w:t>分类暂存危废暂存间</w:t>
                  </w:r>
                </w:p>
              </w:tc>
              <w:tc>
                <w:tcPr>
                  <w:tcW w:w="78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55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39" w:hRule="atLeast"/>
                <w:jc w:val="center"/>
              </w:trPr>
              <w:tc>
                <w:tcPr>
                  <w:tcW w:w="240" w:type="dxa"/>
                  <w:vMerge w:val="continue"/>
                  <w:vAlign w:val="center"/>
                </w:tcPr>
                <w:p>
                  <w:pPr>
                    <w:jc w:val="center"/>
                    <w:rPr>
                      <w:rFonts w:hint="default" w:ascii="Times New Roman" w:hAnsi="Times New Roman" w:cs="Times New Roman"/>
                      <w:color w:val="000000"/>
                      <w:szCs w:val="21"/>
                    </w:rPr>
                  </w:pPr>
                </w:p>
              </w:tc>
              <w:tc>
                <w:tcPr>
                  <w:tcW w:w="104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地下水防治</w:t>
                  </w:r>
                </w:p>
              </w:tc>
              <w:tc>
                <w:tcPr>
                  <w:tcW w:w="5344" w:type="dxa"/>
                  <w:vAlign w:val="center"/>
                </w:tcPr>
                <w:p>
                  <w:pPr>
                    <w:snapToGrid w:val="0"/>
                    <w:ind w:firstLine="420" w:firstLineChars="200"/>
                    <w:jc w:val="center"/>
                    <w:rPr>
                      <w:rFonts w:hint="default" w:ascii="Times New Roman" w:hAnsi="Times New Roman" w:cs="Times New Roman"/>
                      <w:szCs w:val="21"/>
                    </w:rPr>
                  </w:pPr>
                  <w:r>
                    <w:rPr>
                      <w:rFonts w:hint="default" w:ascii="Times New Roman" w:hAnsi="Times New Roman" w:cs="Times New Roman"/>
                      <w:szCs w:val="21"/>
                    </w:rPr>
                    <w:t>危废暂存间、储油间、柴油发电机房增加2mm厚的环氧树脂或其他防渗材料，保证防渗层满足防渗技术要求等效黏土防渗层Mb≥6.0m，K≤1.0×10</w:t>
                  </w:r>
                  <w:r>
                    <w:rPr>
                      <w:rFonts w:hint="default" w:ascii="Times New Roman" w:hAnsi="Times New Roman" w:cs="Times New Roman"/>
                      <w:szCs w:val="21"/>
                      <w:vertAlign w:val="superscript"/>
                    </w:rPr>
                    <w:t>-7</w:t>
                  </w:r>
                  <w:r>
                    <w:rPr>
                      <w:rFonts w:hint="default" w:ascii="Times New Roman" w:hAnsi="Times New Roman" w:cs="Times New Roman"/>
                      <w:szCs w:val="21"/>
                    </w:rPr>
                    <w:t>cm/s</w:t>
                  </w:r>
                </w:p>
              </w:tc>
              <w:tc>
                <w:tcPr>
                  <w:tcW w:w="78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5.0</w:t>
                  </w:r>
                </w:p>
              </w:tc>
              <w:tc>
                <w:tcPr>
                  <w:tcW w:w="55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240" w:type="dxa"/>
                  <w:vMerge w:val="continue"/>
                  <w:vAlign w:val="center"/>
                </w:tcPr>
                <w:p>
                  <w:pPr>
                    <w:jc w:val="center"/>
                    <w:rPr>
                      <w:rFonts w:hint="default" w:ascii="Times New Roman" w:hAnsi="Times New Roman" w:cs="Times New Roman"/>
                      <w:color w:val="000000"/>
                      <w:szCs w:val="21"/>
                    </w:rPr>
                  </w:pPr>
                </w:p>
              </w:tc>
              <w:tc>
                <w:tcPr>
                  <w:tcW w:w="1040" w:type="dxa"/>
                  <w:vMerge w:val="restart"/>
                  <w:vAlign w:val="center"/>
                </w:tcPr>
                <w:p>
                  <w:pPr>
                    <w:pStyle w:val="93"/>
                    <w:widowControl w:val="0"/>
                    <w:autoSpaceDE w:val="0"/>
                    <w:autoSpaceDN w:val="0"/>
                    <w:spacing w:before="0" w:after="0"/>
                    <w:jc w:val="center"/>
                    <w:rPr>
                      <w:rFonts w:hint="default" w:ascii="Times New Roman" w:hAnsi="Times New Roman" w:eastAsia="宋体" w:cs="Times New Roman"/>
                      <w:bCs/>
                      <w:color w:val="000000"/>
                      <w:spacing w:val="-1"/>
                      <w:kern w:val="2"/>
                      <w:sz w:val="21"/>
                      <w:szCs w:val="21"/>
                      <w:lang w:eastAsia="zh-CN"/>
                    </w:rPr>
                  </w:pPr>
                  <w:r>
                    <w:rPr>
                      <w:rFonts w:hint="default" w:ascii="Times New Roman" w:hAnsi="Times New Roman" w:eastAsia="宋体" w:cs="Times New Roman"/>
                      <w:bCs/>
                      <w:color w:val="000000"/>
                      <w:spacing w:val="-1"/>
                      <w:kern w:val="2"/>
                      <w:sz w:val="21"/>
                      <w:szCs w:val="21"/>
                      <w:lang w:eastAsia="zh-CN"/>
                    </w:rPr>
                    <w:t>环境风险防范</w:t>
                  </w:r>
                </w:p>
              </w:tc>
              <w:tc>
                <w:tcPr>
                  <w:tcW w:w="5344" w:type="dxa"/>
                  <w:vAlign w:val="center"/>
                </w:tcPr>
                <w:p>
                  <w:pPr>
                    <w:jc w:val="center"/>
                    <w:rPr>
                      <w:rFonts w:hint="default" w:ascii="Times New Roman" w:hAnsi="Times New Roman" w:cs="Times New Roman"/>
                      <w:szCs w:val="21"/>
                    </w:rPr>
                  </w:pPr>
                  <w:r>
                    <w:rPr>
                      <w:rFonts w:hint="default" w:ascii="Times New Roman" w:hAnsi="Times New Roman" w:cs="Times New Roman"/>
                      <w:bCs/>
                      <w:spacing w:val="-1"/>
                      <w:szCs w:val="21"/>
                    </w:rPr>
                    <w:t>在</w:t>
                  </w:r>
                  <w:r>
                    <w:rPr>
                      <w:rFonts w:hint="default" w:ascii="Times New Roman" w:hAnsi="Times New Roman" w:cs="Times New Roman"/>
                      <w:bCs/>
                      <w:spacing w:val="-1"/>
                      <w:szCs w:val="21"/>
                      <w:lang w:val="en-US" w:eastAsia="zh-CN"/>
                    </w:rPr>
                    <w:t>生物质燃料库房内</w:t>
                  </w:r>
                  <w:r>
                    <w:rPr>
                      <w:rFonts w:hint="default" w:ascii="Times New Roman" w:hAnsi="Times New Roman" w:cs="Times New Roman"/>
                      <w:bCs/>
                      <w:spacing w:val="-1"/>
                      <w:szCs w:val="21"/>
                    </w:rPr>
                    <w:t>堆放处设置明显、易见、显眼防火、防爆标识，配备相应品种和数量的消防器材</w:t>
                  </w:r>
                </w:p>
              </w:tc>
              <w:tc>
                <w:tcPr>
                  <w:tcW w:w="789"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5</w:t>
                  </w:r>
                </w:p>
              </w:tc>
              <w:tc>
                <w:tcPr>
                  <w:tcW w:w="55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 w:type="dxa"/>
                  <w:vMerge w:val="continue"/>
                  <w:vAlign w:val="center"/>
                </w:tcPr>
                <w:p>
                  <w:pPr>
                    <w:jc w:val="center"/>
                    <w:rPr>
                      <w:rFonts w:hint="default" w:ascii="Times New Roman" w:hAnsi="Times New Roman" w:cs="Times New Roman"/>
                      <w:color w:val="000000"/>
                      <w:szCs w:val="21"/>
                    </w:rPr>
                  </w:pPr>
                </w:p>
              </w:tc>
              <w:tc>
                <w:tcPr>
                  <w:tcW w:w="1040" w:type="dxa"/>
                  <w:vMerge w:val="continue"/>
                  <w:vAlign w:val="center"/>
                </w:tcPr>
                <w:p>
                  <w:pPr>
                    <w:pStyle w:val="93"/>
                    <w:widowControl w:val="0"/>
                    <w:autoSpaceDE w:val="0"/>
                    <w:autoSpaceDN w:val="0"/>
                    <w:spacing w:before="0" w:after="0"/>
                    <w:jc w:val="center"/>
                    <w:rPr>
                      <w:rFonts w:hint="default" w:ascii="Times New Roman" w:hAnsi="Times New Roman" w:eastAsia="宋体" w:cs="Times New Roman"/>
                      <w:bCs/>
                      <w:color w:val="000000"/>
                      <w:spacing w:val="-1"/>
                      <w:kern w:val="2"/>
                      <w:sz w:val="21"/>
                      <w:szCs w:val="21"/>
                      <w:lang w:eastAsia="zh-CN"/>
                    </w:rPr>
                  </w:pPr>
                </w:p>
              </w:tc>
              <w:tc>
                <w:tcPr>
                  <w:tcW w:w="5344" w:type="dxa"/>
                  <w:vAlign w:val="center"/>
                </w:tcPr>
                <w:p>
                  <w:pPr>
                    <w:jc w:val="center"/>
                    <w:rPr>
                      <w:rFonts w:hint="default" w:ascii="Times New Roman" w:hAnsi="Times New Roman" w:cs="Times New Roman"/>
                      <w:bCs/>
                      <w:spacing w:val="-1"/>
                      <w:szCs w:val="21"/>
                    </w:rPr>
                  </w:pPr>
                  <w:r>
                    <w:rPr>
                      <w:rFonts w:hint="default" w:ascii="Times New Roman" w:hAnsi="Times New Roman" w:cs="Times New Roman"/>
                      <w:bCs/>
                      <w:spacing w:val="-1"/>
                      <w:szCs w:val="21"/>
                    </w:rPr>
                    <w:t>消防设施定期检查，维护，电器线路定期检查、维修、保养</w:t>
                  </w:r>
                </w:p>
              </w:tc>
              <w:tc>
                <w:tcPr>
                  <w:tcW w:w="789" w:type="dxa"/>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2</w:t>
                  </w:r>
                  <w:r>
                    <w:rPr>
                      <w:rFonts w:hint="default" w:ascii="Times New Roman" w:hAnsi="Times New Roman" w:cs="Times New Roman"/>
                      <w:szCs w:val="21"/>
                    </w:rPr>
                    <w:t>.0</w:t>
                  </w:r>
                </w:p>
              </w:tc>
              <w:tc>
                <w:tcPr>
                  <w:tcW w:w="55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624" w:type="dxa"/>
                  <w:gridSpan w:val="3"/>
                  <w:vAlign w:val="center"/>
                </w:tcPr>
                <w:p>
                  <w:pPr>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环境保护措施投资合计</w:t>
                  </w:r>
                </w:p>
              </w:tc>
              <w:tc>
                <w:tcPr>
                  <w:tcW w:w="1339" w:type="dxa"/>
                  <w:gridSpan w:val="2"/>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109</w:t>
                  </w:r>
                </w:p>
              </w:tc>
            </w:tr>
          </w:tbl>
          <w:p>
            <w:pPr>
              <w:adjustRightInd w:val="0"/>
              <w:snapToGrid w:val="0"/>
              <w:spacing w:line="360" w:lineRule="auto"/>
              <w:rPr>
                <w:rFonts w:hint="default" w:ascii="Times New Roman" w:hAnsi="Times New Roman" w:cs="Times New Roman"/>
                <w:bCs/>
                <w:spacing w:val="-10"/>
                <w:szCs w:val="21"/>
              </w:rPr>
            </w:pPr>
          </w:p>
        </w:tc>
      </w:tr>
    </w:tbl>
    <w:p>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1"/>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五、</w:t>
      </w:r>
      <w:bookmarkStart w:id="14" w:name="_Hlk54167917"/>
      <w:r>
        <w:rPr>
          <w:rFonts w:hint="default" w:ascii="Times New Roman" w:hAnsi="Times New Roman" w:eastAsia="黑体" w:cs="Times New Roman"/>
          <w:snapToGrid w:val="0"/>
          <w:sz w:val="30"/>
          <w:szCs w:val="30"/>
        </w:rPr>
        <w:t>环境保护措施监督检查清单</w:t>
      </w:r>
      <w:bookmarkEnd w:id="14"/>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580"/>
        <w:gridCol w:w="1320"/>
        <w:gridCol w:w="2152"/>
        <w:gridCol w:w="19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rFonts w:hint="default" w:ascii="Times New Roman" w:hAnsi="Times New Roman" w:cs="Times New Roman"/>
                <w:szCs w:val="21"/>
              </w:rPr>
            </w:pPr>
            <w:r>
              <w:rPr>
                <w:rFonts w:hint="default" w:ascii="Times New Roman" w:hAnsi="Times New Roman" w:cs="Times New Roman"/>
                <w:szCs w:val="21"/>
              </w:rPr>
              <w:t>内容</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要素</w:t>
            </w:r>
          </w:p>
        </w:tc>
        <w:tc>
          <w:tcPr>
            <w:tcW w:w="15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排放口</w:t>
            </w:r>
            <w:r>
              <w:rPr>
                <w:rFonts w:hint="eastAsia" w:cs="Times New Roman"/>
                <w:szCs w:val="21"/>
                <w:lang w:eastAsia="zh-CN"/>
              </w:rPr>
              <w:t>（</w:t>
            </w:r>
            <w:r>
              <w:rPr>
                <w:rFonts w:hint="default" w:ascii="Times New Roman" w:hAnsi="Times New Roman" w:cs="Times New Roman"/>
                <w:szCs w:val="21"/>
              </w:rPr>
              <w:t>编号、</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名称</w:t>
            </w:r>
            <w:r>
              <w:rPr>
                <w:rFonts w:hint="eastAsia" w:cs="Times New Roman"/>
                <w:szCs w:val="21"/>
                <w:lang w:eastAsia="zh-CN"/>
              </w:rPr>
              <w:t>）</w:t>
            </w:r>
            <w:r>
              <w:rPr>
                <w:rFonts w:hint="default" w:ascii="Times New Roman" w:hAnsi="Times New Roman" w:cs="Times New Roman"/>
                <w:szCs w:val="21"/>
              </w:rPr>
              <w:t>/污染源</w:t>
            </w:r>
          </w:p>
        </w:tc>
        <w:tc>
          <w:tcPr>
            <w:tcW w:w="132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污染物项目</w:t>
            </w:r>
          </w:p>
        </w:tc>
        <w:tc>
          <w:tcPr>
            <w:tcW w:w="215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环境保护措施</w:t>
            </w:r>
          </w:p>
        </w:tc>
        <w:tc>
          <w:tcPr>
            <w:tcW w:w="197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778"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大气环境</w:t>
            </w:r>
          </w:p>
        </w:tc>
        <w:tc>
          <w:tcPr>
            <w:tcW w:w="15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DA001</w:t>
            </w:r>
          </w:p>
        </w:tc>
        <w:tc>
          <w:tcPr>
            <w:tcW w:w="1320" w:type="dxa"/>
            <w:vAlign w:val="center"/>
          </w:tcPr>
          <w:p>
            <w:pPr>
              <w:adjustRightInd w:val="0"/>
              <w:snapToGrid w:val="0"/>
              <w:jc w:val="center"/>
              <w:rPr>
                <w:rFonts w:hint="default" w:ascii="Times New Roman" w:hAnsi="Times New Roman" w:cs="Times New Roman"/>
                <w:bCs/>
                <w:spacing w:val="-10"/>
                <w:szCs w:val="21"/>
              </w:rPr>
            </w:pPr>
            <w:r>
              <w:rPr>
                <w:rFonts w:hint="default" w:ascii="Times New Roman" w:hAnsi="Times New Roman" w:cs="Times New Roman"/>
                <w:szCs w:val="21"/>
              </w:rPr>
              <w:t>SO</w:t>
            </w:r>
            <w:r>
              <w:rPr>
                <w:rFonts w:hint="default" w:ascii="Times New Roman" w:hAnsi="Times New Roman" w:cs="Times New Roman"/>
                <w:szCs w:val="21"/>
                <w:vertAlign w:val="subscript"/>
              </w:rPr>
              <w:t>2</w:t>
            </w:r>
            <w:r>
              <w:rPr>
                <w:rFonts w:hint="default" w:ascii="Times New Roman" w:hAnsi="Times New Roman" w:cs="Times New Roman"/>
                <w:szCs w:val="21"/>
              </w:rPr>
              <w:t>、NO</w:t>
            </w:r>
            <w:r>
              <w:rPr>
                <w:rFonts w:hint="default" w:ascii="Times New Roman" w:hAnsi="Times New Roman" w:cs="Times New Roman"/>
                <w:szCs w:val="21"/>
                <w:vertAlign w:val="subscript"/>
              </w:rPr>
              <w:t>X</w:t>
            </w:r>
            <w:r>
              <w:rPr>
                <w:rFonts w:hint="default" w:ascii="Times New Roman" w:hAnsi="Times New Roman" w:cs="Times New Roman"/>
                <w:szCs w:val="21"/>
              </w:rPr>
              <w:t>、颗粒物、CO</w:t>
            </w:r>
          </w:p>
        </w:tc>
        <w:tc>
          <w:tcPr>
            <w:tcW w:w="215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经SCR脱硝+消石灰干法脱硫+旋风布袋除尘器处理后由</w:t>
            </w:r>
            <w:r>
              <w:rPr>
                <w:rFonts w:hint="eastAsia" w:cs="Times New Roman"/>
                <w:szCs w:val="21"/>
                <w:lang w:eastAsia="zh-CN"/>
              </w:rPr>
              <w:t>1根40m高</w:t>
            </w:r>
            <w:r>
              <w:rPr>
                <w:rFonts w:hint="default" w:ascii="Times New Roman" w:hAnsi="Times New Roman" w:cs="Times New Roman"/>
                <w:szCs w:val="21"/>
              </w:rPr>
              <w:t>排气筒排放</w:t>
            </w:r>
          </w:p>
        </w:tc>
        <w:tc>
          <w:tcPr>
            <w:tcW w:w="197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《锅炉大气污染物排放标准》GB13271-2014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地表水环境</w:t>
            </w:r>
          </w:p>
        </w:tc>
        <w:tc>
          <w:tcPr>
            <w:tcW w:w="15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D</w:t>
            </w:r>
            <w:r>
              <w:rPr>
                <w:rFonts w:hint="default" w:ascii="Times New Roman" w:hAnsi="Times New Roman" w:cs="Times New Roman"/>
                <w:szCs w:val="21"/>
              </w:rPr>
              <w:t>W</w:t>
            </w:r>
            <w:r>
              <w:rPr>
                <w:rFonts w:hint="default" w:ascii="Times New Roman" w:hAnsi="Times New Roman" w:cs="Times New Roman"/>
                <w:szCs w:val="21"/>
                <w:lang w:val="en-US" w:eastAsia="zh-CN"/>
              </w:rPr>
              <w:t>00</w:t>
            </w:r>
            <w:r>
              <w:rPr>
                <w:rFonts w:hint="default" w:ascii="Times New Roman" w:hAnsi="Times New Roman" w:cs="Times New Roman"/>
                <w:szCs w:val="21"/>
              </w:rPr>
              <w:t>1</w:t>
            </w:r>
            <w:r>
              <w:rPr>
                <w:rFonts w:hint="default" w:ascii="Times New Roman" w:hAnsi="Times New Roman" w:cs="Times New Roman"/>
                <w:szCs w:val="21"/>
                <w:lang w:eastAsia="zh-CN"/>
              </w:rPr>
              <w:t>预处理池</w:t>
            </w:r>
            <w:r>
              <w:rPr>
                <w:rFonts w:hint="default" w:ascii="Times New Roman" w:hAnsi="Times New Roman" w:cs="Times New Roman"/>
                <w:szCs w:val="21"/>
              </w:rPr>
              <w:t>排口</w:t>
            </w:r>
          </w:p>
        </w:tc>
        <w:tc>
          <w:tcPr>
            <w:tcW w:w="132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bCs/>
                <w:spacing w:val="-10"/>
                <w:szCs w:val="21"/>
              </w:rPr>
              <w:t>综合污水</w:t>
            </w:r>
          </w:p>
        </w:tc>
        <w:tc>
          <w:tcPr>
            <w:tcW w:w="2152" w:type="dxa"/>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rPr>
              <w:t>生活污水、锅炉废水经预处理池（</w:t>
            </w:r>
            <w:r>
              <w:rPr>
                <w:rFonts w:hint="default" w:ascii="Times New Roman" w:hAnsi="Times New Roman" w:cs="Times New Roman"/>
                <w:szCs w:val="21"/>
                <w:lang w:val="en-US" w:eastAsia="zh-CN"/>
              </w:rPr>
              <w:t>1</w:t>
            </w:r>
            <w:r>
              <w:rPr>
                <w:rFonts w:hint="default" w:ascii="Times New Roman" w:hAnsi="Times New Roman" w:cs="Times New Roman"/>
                <w:szCs w:val="21"/>
              </w:rPr>
              <w:t>00m</w:t>
            </w:r>
            <w:r>
              <w:rPr>
                <w:rFonts w:hint="default" w:ascii="Times New Roman" w:hAnsi="Times New Roman" w:cs="Times New Roman"/>
                <w:szCs w:val="21"/>
                <w:vertAlign w:val="superscript"/>
              </w:rPr>
              <w:t>3</w:t>
            </w:r>
            <w:r>
              <w:rPr>
                <w:rFonts w:hint="default" w:ascii="Times New Roman" w:hAnsi="Times New Roman" w:cs="Times New Roman"/>
                <w:szCs w:val="21"/>
              </w:rPr>
              <w:t>）处理后，达到排放标准后进入</w:t>
            </w:r>
            <w:r>
              <w:rPr>
                <w:rFonts w:hint="default" w:ascii="Times New Roman" w:hAnsi="Times New Roman" w:cs="Times New Roman"/>
                <w:szCs w:val="21"/>
                <w:lang w:eastAsia="zh-CN"/>
              </w:rPr>
              <w:t>园区污水管网</w:t>
            </w:r>
            <w:r>
              <w:rPr>
                <w:rFonts w:hint="default" w:ascii="Times New Roman" w:hAnsi="Times New Roman" w:cs="Times New Roman"/>
                <w:szCs w:val="21"/>
              </w:rPr>
              <w:t>后进入</w:t>
            </w:r>
            <w:r>
              <w:rPr>
                <w:rFonts w:hint="default" w:ascii="Times New Roman" w:hAnsi="Times New Roman" w:cs="Times New Roman"/>
                <w:szCs w:val="21"/>
                <w:lang w:eastAsia="zh-CN"/>
              </w:rPr>
              <w:t>大英工业集中区污水处理厂</w:t>
            </w:r>
            <w:r>
              <w:rPr>
                <w:rFonts w:hint="default" w:ascii="Times New Roman" w:hAnsi="Times New Roman" w:cs="Times New Roman"/>
                <w:szCs w:val="21"/>
              </w:rPr>
              <w:t>处理达标排入</w:t>
            </w:r>
            <w:r>
              <w:rPr>
                <w:rFonts w:hint="default" w:ascii="Times New Roman" w:hAnsi="Times New Roman" w:cs="Times New Roman"/>
                <w:szCs w:val="21"/>
                <w:lang w:eastAsia="zh-CN"/>
              </w:rPr>
              <w:t>郪江</w:t>
            </w:r>
          </w:p>
        </w:tc>
        <w:tc>
          <w:tcPr>
            <w:tcW w:w="197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声环境</w:t>
            </w:r>
          </w:p>
        </w:tc>
        <w:tc>
          <w:tcPr>
            <w:tcW w:w="15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东厂界</w:t>
            </w:r>
          </w:p>
        </w:tc>
        <w:tc>
          <w:tcPr>
            <w:tcW w:w="1320"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等效联系A声级</w:t>
            </w:r>
          </w:p>
        </w:tc>
        <w:tc>
          <w:tcPr>
            <w:tcW w:w="2152"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选用低噪声设备，合理车间内布局，设备安装减震垫，厂房隔声，加强管理等</w:t>
            </w:r>
          </w:p>
        </w:tc>
        <w:tc>
          <w:tcPr>
            <w:tcW w:w="1970"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《工业企业厂界环境噪声排放标准》（GB12348-2008）中3类标准限值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szCs w:val="21"/>
              </w:rPr>
            </w:pPr>
          </w:p>
        </w:tc>
        <w:tc>
          <w:tcPr>
            <w:tcW w:w="15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南厂界</w:t>
            </w:r>
          </w:p>
        </w:tc>
        <w:tc>
          <w:tcPr>
            <w:tcW w:w="1320" w:type="dxa"/>
            <w:vMerge w:val="continue"/>
            <w:vAlign w:val="center"/>
          </w:tcPr>
          <w:p>
            <w:pPr>
              <w:adjustRightInd w:val="0"/>
              <w:snapToGrid w:val="0"/>
              <w:jc w:val="center"/>
              <w:rPr>
                <w:rFonts w:hint="default" w:ascii="Times New Roman" w:hAnsi="Times New Roman" w:cs="Times New Roman"/>
                <w:szCs w:val="21"/>
              </w:rPr>
            </w:pPr>
          </w:p>
        </w:tc>
        <w:tc>
          <w:tcPr>
            <w:tcW w:w="2152" w:type="dxa"/>
            <w:vMerge w:val="continue"/>
            <w:vAlign w:val="center"/>
          </w:tcPr>
          <w:p>
            <w:pPr>
              <w:adjustRightInd w:val="0"/>
              <w:snapToGrid w:val="0"/>
              <w:jc w:val="center"/>
              <w:rPr>
                <w:rFonts w:hint="default" w:ascii="Times New Roman" w:hAnsi="Times New Roman" w:cs="Times New Roman"/>
                <w:szCs w:val="21"/>
              </w:rPr>
            </w:pPr>
          </w:p>
        </w:tc>
        <w:tc>
          <w:tcPr>
            <w:tcW w:w="1970" w:type="dxa"/>
            <w:vMerge w:val="continue"/>
            <w:vAlign w:val="center"/>
          </w:tcPr>
          <w:p>
            <w:pPr>
              <w:adjustRightInd w:val="0"/>
              <w:snapToGrid w:val="0"/>
              <w:jc w:val="center"/>
              <w:rPr>
                <w:rFonts w:hint="default"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szCs w:val="21"/>
              </w:rPr>
            </w:pPr>
          </w:p>
        </w:tc>
        <w:tc>
          <w:tcPr>
            <w:tcW w:w="15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西厂界</w:t>
            </w:r>
          </w:p>
        </w:tc>
        <w:tc>
          <w:tcPr>
            <w:tcW w:w="1320" w:type="dxa"/>
            <w:vMerge w:val="continue"/>
            <w:vAlign w:val="center"/>
          </w:tcPr>
          <w:p>
            <w:pPr>
              <w:adjustRightInd w:val="0"/>
              <w:snapToGrid w:val="0"/>
              <w:jc w:val="center"/>
              <w:rPr>
                <w:rFonts w:hint="default" w:ascii="Times New Roman" w:hAnsi="Times New Roman" w:cs="Times New Roman"/>
                <w:szCs w:val="21"/>
              </w:rPr>
            </w:pPr>
          </w:p>
        </w:tc>
        <w:tc>
          <w:tcPr>
            <w:tcW w:w="2152" w:type="dxa"/>
            <w:vMerge w:val="continue"/>
            <w:vAlign w:val="center"/>
          </w:tcPr>
          <w:p>
            <w:pPr>
              <w:adjustRightInd w:val="0"/>
              <w:snapToGrid w:val="0"/>
              <w:jc w:val="center"/>
              <w:rPr>
                <w:rFonts w:hint="default" w:ascii="Times New Roman" w:hAnsi="Times New Roman" w:cs="Times New Roman"/>
                <w:szCs w:val="21"/>
              </w:rPr>
            </w:pPr>
          </w:p>
        </w:tc>
        <w:tc>
          <w:tcPr>
            <w:tcW w:w="1970" w:type="dxa"/>
            <w:vMerge w:val="continue"/>
            <w:vAlign w:val="center"/>
          </w:tcPr>
          <w:p>
            <w:pPr>
              <w:adjustRightInd w:val="0"/>
              <w:snapToGrid w:val="0"/>
              <w:jc w:val="center"/>
              <w:rPr>
                <w:rFonts w:hint="default"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szCs w:val="21"/>
              </w:rPr>
            </w:pPr>
          </w:p>
        </w:tc>
        <w:tc>
          <w:tcPr>
            <w:tcW w:w="15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北厂界</w:t>
            </w:r>
          </w:p>
        </w:tc>
        <w:tc>
          <w:tcPr>
            <w:tcW w:w="1320" w:type="dxa"/>
            <w:vMerge w:val="continue"/>
            <w:vAlign w:val="center"/>
          </w:tcPr>
          <w:p>
            <w:pPr>
              <w:adjustRightInd w:val="0"/>
              <w:snapToGrid w:val="0"/>
              <w:jc w:val="center"/>
              <w:rPr>
                <w:rFonts w:hint="default" w:ascii="Times New Roman" w:hAnsi="Times New Roman" w:cs="Times New Roman"/>
                <w:szCs w:val="21"/>
              </w:rPr>
            </w:pPr>
          </w:p>
        </w:tc>
        <w:tc>
          <w:tcPr>
            <w:tcW w:w="2152" w:type="dxa"/>
            <w:vMerge w:val="continue"/>
            <w:vAlign w:val="center"/>
          </w:tcPr>
          <w:p>
            <w:pPr>
              <w:adjustRightInd w:val="0"/>
              <w:snapToGrid w:val="0"/>
              <w:jc w:val="center"/>
              <w:rPr>
                <w:rFonts w:hint="default" w:ascii="Times New Roman" w:hAnsi="Times New Roman" w:cs="Times New Roman"/>
                <w:szCs w:val="21"/>
              </w:rPr>
            </w:pPr>
          </w:p>
        </w:tc>
        <w:tc>
          <w:tcPr>
            <w:tcW w:w="1970" w:type="dxa"/>
            <w:vMerge w:val="continue"/>
            <w:vAlign w:val="center"/>
          </w:tcPr>
          <w:p>
            <w:pPr>
              <w:adjustRightInd w:val="0"/>
              <w:snapToGrid w:val="0"/>
              <w:jc w:val="center"/>
              <w:rPr>
                <w:rFonts w:hint="default"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电磁辐射</w:t>
            </w:r>
          </w:p>
        </w:tc>
        <w:tc>
          <w:tcPr>
            <w:tcW w:w="15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132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215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197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固体废物</w:t>
            </w:r>
          </w:p>
        </w:tc>
        <w:tc>
          <w:tcPr>
            <w:tcW w:w="7022" w:type="dxa"/>
            <w:gridSpan w:val="4"/>
            <w:vAlign w:val="center"/>
          </w:tcPr>
          <w:p>
            <w:pPr>
              <w:adjustRightInd w:val="0"/>
              <w:snapToGrid w:val="0"/>
              <w:spacing w:line="360" w:lineRule="auto"/>
              <w:rPr>
                <w:rFonts w:hint="default" w:ascii="Times New Roman" w:hAnsi="Times New Roman" w:cs="Times New Roman"/>
                <w:szCs w:val="21"/>
              </w:rPr>
            </w:pPr>
            <w:r>
              <w:rPr>
                <w:rFonts w:hint="default" w:ascii="Times New Roman" w:hAnsi="Times New Roman" w:cs="Times New Roman"/>
                <w:b/>
                <w:szCs w:val="21"/>
              </w:rPr>
              <w:t>一般固废：</w:t>
            </w:r>
            <w:r>
              <w:rPr>
                <w:rFonts w:hint="default" w:ascii="Times New Roman" w:hAnsi="Times New Roman" w:cs="Times New Roman"/>
                <w:szCs w:val="21"/>
              </w:rPr>
              <w:t>生活垃圾交环卫部门定期清运。</w:t>
            </w:r>
          </w:p>
          <w:p>
            <w:pPr>
              <w:adjustRightInd w:val="0"/>
              <w:snapToGrid w:val="0"/>
              <w:spacing w:line="360" w:lineRule="auto"/>
              <w:rPr>
                <w:rFonts w:hint="default" w:ascii="Times New Roman" w:hAnsi="Times New Roman" w:cs="Times New Roman"/>
                <w:szCs w:val="21"/>
              </w:rPr>
            </w:pPr>
            <w:r>
              <w:rPr>
                <w:rFonts w:hint="default" w:ascii="Times New Roman" w:hAnsi="Times New Roman" w:cs="Times New Roman"/>
                <w:b/>
                <w:szCs w:val="21"/>
              </w:rPr>
              <w:t>危险固废：</w:t>
            </w:r>
            <w:r>
              <w:rPr>
                <w:rFonts w:hint="default" w:ascii="Times New Roman" w:hAnsi="Times New Roman" w:cs="Times New Roman"/>
                <w:szCs w:val="21"/>
              </w:rPr>
              <w:t>废机油及桶、油水分离器废油、废含油手套抹布</w:t>
            </w:r>
            <w:r>
              <w:rPr>
                <w:rFonts w:hint="default" w:ascii="Times New Roman" w:hAnsi="Times New Roman" w:cs="Times New Roman"/>
                <w:bCs/>
                <w:spacing w:val="-2"/>
                <w:szCs w:val="21"/>
              </w:rPr>
              <w:t>分类暂存危险废物暂存间，定期交具有处置资质的单位处置</w:t>
            </w:r>
            <w:r>
              <w:rPr>
                <w:rFonts w:hint="default"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778"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土壤及地下水</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污染防治措施</w:t>
            </w:r>
          </w:p>
        </w:tc>
        <w:tc>
          <w:tcPr>
            <w:tcW w:w="7022" w:type="dxa"/>
            <w:gridSpan w:val="4"/>
            <w:vAlign w:val="center"/>
          </w:tcPr>
          <w:p>
            <w:pPr>
              <w:adjustRightInd w:val="0"/>
              <w:snapToGrid w:val="0"/>
              <w:spacing w:line="360" w:lineRule="auto"/>
              <w:rPr>
                <w:rFonts w:hint="default" w:ascii="Times New Roman" w:hAnsi="Times New Roman" w:cs="Times New Roman"/>
                <w:szCs w:val="21"/>
              </w:rPr>
            </w:pPr>
            <w:r>
              <w:rPr>
                <w:rFonts w:hint="default" w:ascii="Times New Roman" w:hAnsi="Times New Roman" w:cs="Times New Roman"/>
                <w:b/>
                <w:szCs w:val="21"/>
              </w:rPr>
              <w:t>地下水防治措施：</w:t>
            </w:r>
            <w:r>
              <w:rPr>
                <w:rFonts w:hint="default" w:ascii="Times New Roman" w:hAnsi="Times New Roman" w:cs="Times New Roman"/>
                <w:szCs w:val="21"/>
              </w:rPr>
              <w:t>将厂区划分为重点污染防渗区、一般污染防渗区和简单防渗区，重点防渗区地面铺设20cm厚的P4抗渗透混凝土+2mm环氧树脂膜进行防渗处理，同时危废间铺设钢制托盘接漏防渗，以确保渗透系数≤10</w:t>
            </w:r>
            <w:r>
              <w:rPr>
                <w:rFonts w:hint="default" w:ascii="Times New Roman" w:hAnsi="Times New Roman" w:cs="Times New Roman"/>
                <w:szCs w:val="21"/>
                <w:vertAlign w:val="superscript"/>
              </w:rPr>
              <w:t>-</w:t>
            </w:r>
            <w:r>
              <w:rPr>
                <w:rFonts w:hint="default" w:ascii="Times New Roman" w:hAnsi="Times New Roman" w:cs="Times New Roman"/>
                <w:szCs w:val="21"/>
                <w:vertAlign w:val="superscript"/>
                <w:lang w:val="en-US" w:eastAsia="zh-CN"/>
              </w:rPr>
              <w:t>7</w:t>
            </w:r>
            <w:r>
              <w:rPr>
                <w:rFonts w:hint="default" w:ascii="Times New Roman" w:hAnsi="Times New Roman" w:cs="Times New Roman"/>
                <w:szCs w:val="21"/>
              </w:rPr>
              <w:t>cm/s；一般防渗区为防渗混凝土硬化，能保证等效黏土防渗层Mb≥1.5m、渗透系数K≤10</w:t>
            </w:r>
            <w:r>
              <w:rPr>
                <w:rFonts w:hint="default" w:ascii="Times New Roman" w:hAnsi="Times New Roman" w:cs="Times New Roman"/>
                <w:szCs w:val="21"/>
                <w:vertAlign w:val="superscript"/>
              </w:rPr>
              <w:t>-7</w:t>
            </w:r>
            <w:r>
              <w:rPr>
                <w:rFonts w:hint="default" w:ascii="Times New Roman" w:hAnsi="Times New Roman" w:cs="Times New Roman"/>
                <w:szCs w:val="21"/>
              </w:rPr>
              <w:t>cm/s的要求；简单防渗区为防渗混凝土硬化；加强原辅料、气瓶、危险固废等的暂存管理；</w:t>
            </w:r>
          </w:p>
          <w:p>
            <w:pPr>
              <w:adjustRightInd w:val="0"/>
              <w:snapToGrid w:val="0"/>
              <w:spacing w:line="360" w:lineRule="auto"/>
              <w:ind w:firstLine="422" w:firstLineChars="200"/>
              <w:rPr>
                <w:rFonts w:hint="default" w:ascii="Times New Roman" w:hAnsi="Times New Roman" w:cs="Times New Roman"/>
                <w:szCs w:val="21"/>
              </w:rPr>
            </w:pPr>
            <w:r>
              <w:rPr>
                <w:rFonts w:hint="default" w:ascii="Times New Roman" w:hAnsi="Times New Roman" w:cs="Times New Roman"/>
                <w:b/>
                <w:szCs w:val="21"/>
              </w:rPr>
              <w:t>土壤防治措施：</w:t>
            </w:r>
            <w:r>
              <w:rPr>
                <w:rFonts w:hint="default" w:ascii="Times New Roman" w:hAnsi="Times New Roman" w:cs="Times New Roman"/>
              </w:rPr>
              <w:t>从原料和产品储存、装卸、运输、生产过程、污染处理装置等全过程控制各种原辅材料、中间产品及固废、生产废水泄漏（含跑、冒、滴、漏），同时对有害物质可能泄漏到</w:t>
            </w:r>
            <w:r>
              <w:rPr>
                <w:rFonts w:hint="default" w:ascii="Times New Roman" w:hAnsi="Times New Roman" w:cs="Times New Roman"/>
                <w:lang w:val="en-US" w:eastAsia="zh-CN"/>
              </w:rPr>
              <w:t xml:space="preserve"> </w:t>
            </w:r>
            <w:r>
              <w:rPr>
                <w:rFonts w:hint="default" w:ascii="Times New Roman" w:hAnsi="Times New Roman" w:cs="Times New Roman"/>
              </w:rPr>
              <w:t>地面的区域采取防渗措施，阻止其进入土壤中，即从源头到末端全方位采取控制措施，防止项目的建设对土壤造成污染；从生产过程入手，在工艺、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针对各类废气污染物均采取了对应的治理措施，确保污染物达标排放；涉及地面漫流途径须设置多级防控、全厂分区防渗等措施；全厂按重点污染防治区、一般污染防治区、简单防渗区分别采取不同等级的防渗措施；跟踪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生态保护措施</w:t>
            </w:r>
          </w:p>
        </w:tc>
        <w:tc>
          <w:tcPr>
            <w:tcW w:w="702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①在施工过程中必须做到对施工区土壤的分层剥离、分层开挖、分层堆放和循序分层回填。应注意表层土壤的堆放及防护问题，避免雨天施工，施工时采取修建挡土墙、排水沟、覆盖塑料布等措施，可有效防止水土流失。施工设置杂货区、垃圾箱，明确卫生责任区，确定责任人，并定期打扫清除。</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szCs w:val="21"/>
              </w:rPr>
            </w:pPr>
            <w:r>
              <w:rPr>
                <w:rFonts w:hint="default" w:ascii="Times New Roman" w:hAnsi="Times New Roman" w:cs="Times New Roman"/>
                <w:color w:val="000000"/>
                <w:sz w:val="21"/>
                <w:szCs w:val="21"/>
                <w:highlight w:val="none"/>
              </w:rPr>
              <w:t>②尽量减少施工人员及施工机械对作业场外的植被破坏。施工便道尽量利用现有道路。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778" w:type="dxa"/>
            <w:vAlign w:val="center"/>
          </w:tcPr>
          <w:p>
            <w:pPr>
              <w:adjustRightInd w:val="0"/>
              <w:snapToGrid w:val="0"/>
              <w:jc w:val="center"/>
              <w:rPr>
                <w:rFonts w:hint="default" w:ascii="Times New Roman" w:hAnsi="Times New Roman" w:cs="Times New Roman"/>
                <w:spacing w:val="-8"/>
                <w:szCs w:val="21"/>
              </w:rPr>
            </w:pPr>
            <w:r>
              <w:rPr>
                <w:rFonts w:hint="default" w:ascii="Times New Roman" w:hAnsi="Times New Roman" w:cs="Times New Roman"/>
                <w:spacing w:val="-8"/>
                <w:szCs w:val="21"/>
              </w:rPr>
              <w:t>环境风险</w:t>
            </w:r>
          </w:p>
          <w:p>
            <w:pPr>
              <w:adjustRightInd w:val="0"/>
              <w:snapToGrid w:val="0"/>
              <w:jc w:val="center"/>
              <w:rPr>
                <w:rFonts w:hint="default" w:ascii="Times New Roman" w:hAnsi="Times New Roman" w:cs="Times New Roman"/>
                <w:spacing w:val="-8"/>
                <w:szCs w:val="21"/>
              </w:rPr>
            </w:pPr>
            <w:r>
              <w:rPr>
                <w:rFonts w:hint="default" w:ascii="Times New Roman" w:hAnsi="Times New Roman" w:cs="Times New Roman"/>
                <w:spacing w:val="-8"/>
                <w:szCs w:val="21"/>
              </w:rPr>
              <w:t>防范措施</w:t>
            </w:r>
          </w:p>
        </w:tc>
        <w:tc>
          <w:tcPr>
            <w:tcW w:w="7022" w:type="dxa"/>
            <w:gridSpan w:val="4"/>
            <w:vAlign w:val="center"/>
          </w:tcPr>
          <w:p>
            <w:pPr>
              <w:spacing w:line="360" w:lineRule="auto"/>
              <w:ind w:firstLine="420"/>
              <w:rPr>
                <w:rFonts w:hint="default" w:ascii="Times New Roman" w:hAnsi="Times New Roman" w:cs="Times New Roman"/>
              </w:rPr>
            </w:pPr>
            <w:r>
              <w:rPr>
                <w:rFonts w:hint="default" w:ascii="Times New Roman" w:hAnsi="Times New Roman" w:cs="Times New Roman"/>
              </w:rPr>
              <w:t xml:space="preserve">（1）火灾防范措施 </w:t>
            </w:r>
          </w:p>
          <w:p>
            <w:pPr>
              <w:spacing w:line="360" w:lineRule="auto"/>
              <w:ind w:firstLine="420"/>
              <w:rPr>
                <w:rFonts w:hint="default" w:ascii="Times New Roman" w:hAnsi="Times New Roman" w:cs="Times New Roman"/>
              </w:rPr>
            </w:pPr>
            <w:r>
              <w:rPr>
                <w:rFonts w:hint="default" w:ascii="Times New Roman" w:hAnsi="Times New Roman" w:cs="Times New Roman"/>
              </w:rPr>
              <w:t xml:space="preserve">设立专门的环境管理机构，制定日常管理措施、消防措施和应急预案。对工作人员进行火灾事态时的报警培训，已成立环境风险事故应急救援领导小组和应急救援专业队伍。 </w:t>
            </w:r>
          </w:p>
          <w:p>
            <w:pPr>
              <w:spacing w:line="360" w:lineRule="auto"/>
              <w:ind w:firstLine="420"/>
              <w:rPr>
                <w:rFonts w:hint="default" w:ascii="Times New Roman" w:hAnsi="Times New Roman" w:cs="Times New Roman"/>
              </w:rPr>
            </w:pPr>
            <w:r>
              <w:rPr>
                <w:rFonts w:hint="default" w:ascii="Times New Roman" w:hAnsi="Times New Roman" w:cs="Times New Roman"/>
              </w:rPr>
              <w:t xml:space="preserve">加强厂区消防设施的日常管理，确保事故时消防设施能够正常使用，针对厂房等可能出现的火灾事故三个月进行一次消防演练。 </w:t>
            </w:r>
          </w:p>
          <w:p>
            <w:pPr>
              <w:spacing w:line="360" w:lineRule="auto"/>
              <w:ind w:firstLine="420"/>
              <w:rPr>
                <w:rFonts w:hint="default" w:ascii="Times New Roman" w:hAnsi="Times New Roman" w:cs="Times New Roman"/>
              </w:rPr>
            </w:pPr>
            <w:r>
              <w:rPr>
                <w:rFonts w:hint="default" w:ascii="Times New Roman" w:hAnsi="Times New Roman" w:cs="Times New Roman"/>
              </w:rPr>
              <w:t xml:space="preserve">严格明火管理。严格按照《中华人民共和国爆炸危险场所安全规程》和现行有关标准、规程及要求执行。 </w:t>
            </w:r>
          </w:p>
          <w:p>
            <w:pPr>
              <w:spacing w:line="360" w:lineRule="auto"/>
              <w:ind w:firstLine="420"/>
              <w:rPr>
                <w:rFonts w:hint="default" w:ascii="Times New Roman" w:hAnsi="Times New Roman" w:cs="Times New Roman"/>
              </w:rPr>
            </w:pPr>
            <w:r>
              <w:rPr>
                <w:rFonts w:hint="default" w:ascii="Times New Roman" w:hAnsi="Times New Roman" w:cs="Times New Roman"/>
              </w:rPr>
              <w:t xml:space="preserve">消防器材设置在明显和便于取用的地点，周围未堆放物品和杂物。消防设施、器材，由专人管理，负责检查、维修、保养、更换和添置，保证完好有效，严禁圈占、埋压和挪用。配备消防器材（如干粉灭火器等）和消防设施；标示明确，使用方便。 </w:t>
            </w:r>
          </w:p>
          <w:p>
            <w:pPr>
              <w:spacing w:line="360" w:lineRule="auto"/>
              <w:ind w:firstLine="420"/>
              <w:rPr>
                <w:rFonts w:hint="default" w:ascii="Times New Roman" w:hAnsi="Times New Roman" w:cs="Times New Roman"/>
              </w:rPr>
            </w:pPr>
            <w:r>
              <w:rPr>
                <w:rFonts w:hint="default" w:ascii="Times New Roman" w:hAnsi="Times New Roman" w:cs="Times New Roman"/>
              </w:rPr>
              <w:t xml:space="preserve">出现火灾时应及时将可燃物品搬离，远离火源。 </w:t>
            </w:r>
          </w:p>
          <w:p>
            <w:pPr>
              <w:spacing w:line="360" w:lineRule="auto"/>
              <w:ind w:firstLine="420"/>
              <w:rPr>
                <w:rFonts w:hint="default" w:ascii="Times New Roman" w:hAnsi="Times New Roman" w:cs="Times New Roman"/>
              </w:rPr>
            </w:pPr>
            <w:r>
              <w:rPr>
                <w:rFonts w:hint="default" w:ascii="Times New Roman" w:hAnsi="Times New Roman" w:cs="Times New Roman"/>
              </w:rPr>
              <w:t xml:space="preserve">项目内定期进行电路、电气检查，消除安全隐患。 </w:t>
            </w:r>
          </w:p>
          <w:p>
            <w:pPr>
              <w:spacing w:line="360" w:lineRule="auto"/>
              <w:ind w:firstLine="420"/>
              <w:rPr>
                <w:rFonts w:hint="default" w:ascii="Times New Roman" w:hAnsi="Times New Roman" w:cs="Times New Roman"/>
              </w:rPr>
            </w:pPr>
            <w:r>
              <w:rPr>
                <w:rFonts w:hint="default" w:ascii="Times New Roman" w:hAnsi="Times New Roman" w:cs="Times New Roman"/>
              </w:rPr>
              <w:t xml:space="preserve">建设单位在项目竣工经过消防验收合格后，才能投入使用。 </w:t>
            </w:r>
          </w:p>
          <w:p>
            <w:pPr>
              <w:spacing w:line="360" w:lineRule="auto"/>
              <w:ind w:firstLine="420"/>
              <w:rPr>
                <w:rFonts w:hint="default" w:ascii="Times New Roman" w:hAnsi="Times New Roman" w:cs="Times New Roman"/>
              </w:rPr>
            </w:pPr>
            <w:r>
              <w:rPr>
                <w:rFonts w:hint="default" w:ascii="Times New Roman" w:hAnsi="Times New Roman" w:cs="Times New Roman"/>
              </w:rPr>
              <w:t>（2）泄漏防范措施</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加强机油、柴油等原辅材料的运输、使用管理：加强机油、柴油运输、使用环节的环境管理措施，避免跑、冒、滴、漏，对可能出现漏油的使用机油设备，在设备下加不锈钢托盘，并设置空桶作为备用设施，</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储油间按重点防渗处理。使用后的废机油、柴油等油类物质收集后暂存于危废暂存间，设置专用桶，下面设置不锈钢托盘，并设置空桶作为备用设施，定期由资质单位处置。</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对危废暂存间加强管理：设置专用容器作为备用容器；危险废物全部暂存于危险废物暂存库内，做到“四防”；危险废物暂存间内地面增加2mm厚的环氧树脂防渗膜或其他防渗材料进行防渗进行防渗处理，同时设置防漏裙脚或围堰（围堰高度不低于10cm）；危险废物分类暂存，装载液体、半固体危险废物的容器内须留足够空间，盛装危险废物的容器上必须粘贴符合标准的标签，各种危险废物的储存容器都有很好的密封性，各暂存于危险废物暂存间内的危险废物定期（不超过1年）交由有危废处理资质的单位进行处理。</w:t>
            </w:r>
          </w:p>
          <w:p>
            <w:pPr>
              <w:pStyle w:val="2"/>
              <w:adjustRightInd w:val="0"/>
              <w:spacing w:before="0" w:after="0" w:line="360" w:lineRule="auto"/>
              <w:ind w:right="0"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）废气事故排放</w:t>
            </w:r>
          </w:p>
          <w:p>
            <w:pPr>
              <w:pStyle w:val="2"/>
              <w:adjustRightInd w:val="0"/>
              <w:spacing w:before="0" w:after="0" w:line="360" w:lineRule="auto"/>
              <w:ind w:right="0"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对各类安全设施、环保设施、消防器材等进行定期检查，并将发现的问题责任到人落实整改；公司环保专员应定期对厂区设备进行检查，当环保设施装置故障时，应及时关闭生产设备，从源头制止污染源产生，及时对环保设备进行检修，确保废气达标排放。</w:t>
            </w:r>
          </w:p>
          <w:p>
            <w:pPr>
              <w:pStyle w:val="2"/>
              <w:adjustRightInd w:val="0"/>
              <w:spacing w:before="0" w:after="0" w:line="360" w:lineRule="auto"/>
              <w:ind w:right="0"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（4）锅炉运行过程中风险防范措施</w:t>
            </w:r>
          </w:p>
          <w:p>
            <w:pPr>
              <w:pStyle w:val="2"/>
              <w:adjustRightInd w:val="0"/>
              <w:spacing w:before="0" w:after="0" w:line="360" w:lineRule="auto"/>
              <w:ind w:right="0"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①工艺技术安全措施：加强通风，防止</w:t>
            </w:r>
            <w:r>
              <w:rPr>
                <w:rFonts w:hint="eastAsia" w:ascii="Times New Roman" w:hAnsi="Times New Roman" w:cs="Times New Roman"/>
                <w:sz w:val="21"/>
                <w:szCs w:val="21"/>
                <w:lang w:val="en-US" w:eastAsia="zh-CN"/>
              </w:rPr>
              <w:t>气体</w:t>
            </w:r>
            <w:r>
              <w:rPr>
                <w:rFonts w:hint="default" w:ascii="Times New Roman" w:hAnsi="Times New Roman" w:cs="Times New Roman"/>
                <w:sz w:val="21"/>
                <w:szCs w:val="21"/>
                <w:lang w:val="en-US" w:eastAsia="zh-CN"/>
              </w:rPr>
              <w:t>积聚；增加燃烧室高度，保证</w:t>
            </w:r>
            <w:r>
              <w:rPr>
                <w:rFonts w:hint="eastAsia" w:ascii="Times New Roman" w:hAnsi="Times New Roman" w:cs="Times New Roman"/>
                <w:sz w:val="21"/>
                <w:szCs w:val="21"/>
                <w:lang w:val="en-US" w:eastAsia="zh-CN"/>
              </w:rPr>
              <w:t>生物质气体</w:t>
            </w:r>
            <w:r>
              <w:rPr>
                <w:rFonts w:hint="default" w:ascii="Times New Roman" w:hAnsi="Times New Roman" w:cs="Times New Roman"/>
                <w:sz w:val="21"/>
                <w:szCs w:val="21"/>
                <w:lang w:val="en-US" w:eastAsia="zh-CN"/>
              </w:rPr>
              <w:t>完全燃烧：设置PLC监控系统，锅炉点火、燃烧、吹扫、火焰监视及</w:t>
            </w:r>
            <w:r>
              <w:rPr>
                <w:rFonts w:hint="eastAsia" w:ascii="Times New Roman" w:hAnsi="Times New Roman" w:cs="Times New Roman"/>
                <w:sz w:val="21"/>
                <w:szCs w:val="21"/>
                <w:lang w:val="en-US" w:eastAsia="zh-CN"/>
              </w:rPr>
              <w:t>气体</w:t>
            </w:r>
            <w:r>
              <w:rPr>
                <w:rFonts w:hint="default" w:ascii="Times New Roman" w:hAnsi="Times New Roman" w:cs="Times New Roman"/>
                <w:sz w:val="21"/>
                <w:szCs w:val="21"/>
                <w:lang w:val="en-US" w:eastAsia="zh-CN"/>
              </w:rPr>
              <w:t>与空气的比例调节均实现自动化,确保完全、安全燃烧，在锅炉点火过程中，如主烧咀未点燃，将关闭所有阀门，用氮气吹扫、测爆，再重复点燃操作：烧咀点燃、运转数分钟后，在烟囱测试烟气中是否含可燃成分：设置可燃气体泄漏报警装置。</w:t>
            </w:r>
          </w:p>
          <w:p>
            <w:pPr>
              <w:pStyle w:val="2"/>
              <w:adjustRightInd w:val="0"/>
              <w:spacing w:before="0" w:after="0" w:line="360" w:lineRule="auto"/>
              <w:ind w:right="0"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②防火防爆措施：防爆区域选用防爆电气设备。爆炸危险区域设置防雷、防静电接地。设置火灾自动报警系统，现场设置防爆手动报警按钮及防爆火警铃。</w:t>
            </w:r>
          </w:p>
          <w:p>
            <w:pPr>
              <w:pStyle w:val="2"/>
              <w:adjustRightInd w:val="0"/>
              <w:spacing w:before="0" w:after="0" w:line="360" w:lineRule="auto"/>
              <w:ind w:right="0"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③平面布置安全措施：锅炉与周边装置的距离要符合规范的防火间距要求。本项目输气风机属于爆炸危险区域，确保足够的防火间距。</w:t>
            </w:r>
          </w:p>
          <w:p>
            <w:pPr>
              <w:pStyle w:val="2"/>
              <w:adjustRightInd w:val="0"/>
              <w:spacing w:before="0" w:after="0" w:line="360" w:lineRule="auto"/>
              <w:ind w:right="0"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④输气管线设置静电接地装置，并和防雷感应的接地装置相连。</w:t>
            </w:r>
          </w:p>
          <w:p>
            <w:pPr>
              <w:pStyle w:val="2"/>
              <w:adjustRightInd w:val="0"/>
              <w:spacing w:before="0" w:after="0" w:line="360" w:lineRule="auto"/>
              <w:ind w:right="0"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⑤安全管理措施：建设单位设置专门的安环部门，负责项目安全、环境管理工作。针对燃气锅炉的风险特征采取相应的安全管理措施，确保燃气锅炉安全运行。日常工作中，定期对锅炉各类设备运行进行监视、检查、维护，确保各类设备、设施、仪表处于完好状态：对各类消防设施定期检验，防止失效：制定相关规章制度，包括锅炉生产安全、环保技术规程、锅炉岗位操作法、锅炉工艺规程、员工安全生产责任制、安全检修制度等，定期对员工开展安全培训。制定全面的应急预案，针对存在的事故隐患，编制应急处置方案，定期开展应急演习。维修、保养过程严格按照相关安全规程进行。</w:t>
            </w:r>
          </w:p>
          <w:p>
            <w:pPr>
              <w:pStyle w:val="2"/>
              <w:adjustRightInd w:val="0"/>
              <w:spacing w:before="0" w:after="0" w:line="360" w:lineRule="auto"/>
              <w:ind w:right="0"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（5）其他防范措施</w:t>
            </w:r>
          </w:p>
          <w:p>
            <w:pPr>
              <w:pStyle w:val="2"/>
              <w:adjustRightInd w:val="0"/>
              <w:spacing w:before="0" w:after="0" w:line="360" w:lineRule="auto"/>
              <w:ind w:right="0"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①注重对作业人员的操作培训和教育，操作使用要严格按操作规程操作，确保设备的正常运行，并每半年对设备检查一次，半年维护一次；</w:t>
            </w:r>
          </w:p>
          <w:p>
            <w:pPr>
              <w:pStyle w:val="2"/>
              <w:adjustRightInd w:val="0"/>
              <w:spacing w:before="0" w:after="0" w:line="360" w:lineRule="auto"/>
              <w:ind w:right="0"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②生产设备要建立完善的运转、故障、检修的技术档案；</w:t>
            </w:r>
          </w:p>
          <w:p>
            <w:pPr>
              <w:pStyle w:val="2"/>
              <w:adjustRightInd w:val="0"/>
              <w:spacing w:before="0" w:after="0" w:line="360" w:lineRule="auto"/>
              <w:ind w:right="0"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③项目气化、净化设备配置水封装置及可燃气体报警装置，同时配置温度、压力等测量仪表，在燃气管道上配置燃气低压报警装置，生产及输配的所有设备和管道应经常检查，严防跑、冒、滴、漏；</w:t>
            </w:r>
          </w:p>
          <w:p>
            <w:pPr>
              <w:pStyle w:val="2"/>
              <w:adjustRightInd w:val="0"/>
              <w:spacing w:before="0" w:after="0" w:line="360" w:lineRule="auto"/>
              <w:ind w:right="0" w:firstLine="420" w:firstLineChars="20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④项目锅炉房配置消防灭火器、消防沙等应急物资。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adjustRightInd w:val="0"/>
              <w:snapToGrid w:val="0"/>
              <w:jc w:val="center"/>
              <w:rPr>
                <w:rFonts w:hint="default" w:ascii="Times New Roman" w:hAnsi="Times New Roman" w:cs="Times New Roman"/>
                <w:spacing w:val="-8"/>
                <w:szCs w:val="21"/>
              </w:rPr>
            </w:pPr>
            <w:r>
              <w:rPr>
                <w:rFonts w:hint="default" w:ascii="Times New Roman" w:hAnsi="Times New Roman" w:cs="Times New Roman"/>
                <w:spacing w:val="-8"/>
                <w:szCs w:val="21"/>
              </w:rPr>
              <w:t>其他环境</w:t>
            </w:r>
          </w:p>
          <w:p>
            <w:pPr>
              <w:adjustRightInd w:val="0"/>
              <w:snapToGrid w:val="0"/>
              <w:jc w:val="center"/>
              <w:rPr>
                <w:rFonts w:hint="default" w:ascii="Times New Roman" w:hAnsi="Times New Roman" w:cs="Times New Roman"/>
                <w:spacing w:val="-8"/>
                <w:szCs w:val="21"/>
              </w:rPr>
            </w:pPr>
            <w:r>
              <w:rPr>
                <w:rFonts w:hint="default" w:ascii="Times New Roman" w:hAnsi="Times New Roman" w:cs="Times New Roman"/>
                <w:spacing w:val="-8"/>
                <w:szCs w:val="21"/>
              </w:rPr>
              <w:t>管理要求</w:t>
            </w:r>
          </w:p>
        </w:tc>
        <w:tc>
          <w:tcPr>
            <w:tcW w:w="7022" w:type="dxa"/>
            <w:gridSpan w:val="4"/>
            <w:vAlign w:val="center"/>
          </w:tcPr>
          <w:p>
            <w:pPr>
              <w:adjustRightInd w:val="0"/>
              <w:snapToGrid w:val="0"/>
              <w:spacing w:line="360" w:lineRule="auto"/>
              <w:ind w:firstLine="420" w:firstLineChars="200"/>
              <w:rPr>
                <w:rFonts w:hint="default" w:ascii="Times New Roman" w:hAnsi="Times New Roman" w:cs="Times New Roman"/>
              </w:rPr>
            </w:pPr>
            <w:r>
              <w:rPr>
                <w:rFonts w:hint="default" w:ascii="Times New Roman" w:hAnsi="Times New Roman" w:cs="Times New Roman"/>
              </w:rPr>
              <w:t>建立相应环保机构，配置专兼职环保人员，健全环保档案管理制度。</w:t>
            </w:r>
          </w:p>
          <w:p>
            <w:pPr>
              <w:adjustRightInd w:val="0"/>
              <w:snapToGrid w:val="0"/>
              <w:spacing w:line="360" w:lineRule="auto"/>
              <w:ind w:firstLine="420" w:firstLineChars="200"/>
              <w:rPr>
                <w:rFonts w:hint="default" w:ascii="Times New Roman" w:hAnsi="Times New Roman" w:cs="Times New Roman"/>
              </w:rPr>
            </w:pPr>
            <w:r>
              <w:rPr>
                <w:rFonts w:hint="default" w:ascii="Times New Roman" w:hAnsi="Times New Roman" w:cs="Times New Roman"/>
              </w:rPr>
              <w:t>保持厂区地面清洁，同时厂区内应指定危废暂存间，做好防护措施，并设置标识标牌。</w:t>
            </w:r>
          </w:p>
          <w:p>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rPr>
              <w:t>严格执行建设项目的“三同时”制度，强化工程的环境保护工作。按《建设项目环境管理保护</w:t>
            </w:r>
            <w:r>
              <w:rPr>
                <w:rFonts w:hint="eastAsia" w:cs="Times New Roman"/>
                <w:lang w:val="en-US" w:eastAsia="zh-CN"/>
              </w:rPr>
              <w:t>条例</w:t>
            </w:r>
            <w:r>
              <w:rPr>
                <w:rFonts w:hint="default" w:ascii="Times New Roman" w:hAnsi="Times New Roman" w:cs="Times New Roman"/>
              </w:rPr>
              <w:t>》（中华人民共和国国务院令第682 号《国务院关于修改〈建设项目环境保护管理</w:t>
            </w:r>
            <w:r>
              <w:rPr>
                <w:rFonts w:hint="eastAsia" w:cs="Times New Roman"/>
                <w:lang w:val="en-US" w:eastAsia="zh-CN"/>
              </w:rPr>
              <w:t>条例</w:t>
            </w:r>
            <w:r>
              <w:rPr>
                <w:rFonts w:hint="default" w:ascii="Times New Roman" w:hAnsi="Times New Roman" w:cs="Times New Roman"/>
              </w:rPr>
              <w:t>〉的决定》）规定，项目试运行后及时自行组织项目竣工环保验收，验收通过后方可</w:t>
            </w:r>
            <w:bookmarkStart w:id="15" w:name="_GoBack"/>
            <w:bookmarkEnd w:id="15"/>
            <w:r>
              <w:rPr>
                <w:rFonts w:hint="default" w:ascii="Times New Roman" w:hAnsi="Times New Roman" w:cs="Times New Roman"/>
              </w:rPr>
              <w:t>进行正式运行。环保竣工验收资料及时报送环境保护主管部门备案并公示。</w:t>
            </w:r>
          </w:p>
        </w:tc>
      </w:tr>
    </w:tbl>
    <w:p>
      <w:pPr>
        <w:pStyle w:val="21"/>
        <w:jc w:val="center"/>
        <w:outlineLvl w:val="0"/>
        <w:rPr>
          <w:rFonts w:hint="default" w:ascii="Times New Roman" w:hAnsi="Times New Roman" w:eastAsia="黑体" w:cs="Times New Roman"/>
          <w:snapToGrid w:val="0"/>
          <w:sz w:val="30"/>
          <w:szCs w:val="30"/>
        </w:rPr>
      </w:pPr>
      <w:r>
        <w:rPr>
          <w:rFonts w:hint="default" w:ascii="Times New Roman" w:hAnsi="Times New Roman" w:cs="Times New Roman"/>
          <w:snapToGrid w:val="0"/>
        </w:rPr>
        <w:br w:type="page"/>
      </w:r>
      <w:r>
        <w:rPr>
          <w:rFonts w:hint="default" w:ascii="Times New Roman" w:hAnsi="Times New Roman" w:eastAsia="黑体" w:cs="Times New Roman"/>
          <w:snapToGrid w:val="0"/>
          <w:sz w:val="30"/>
          <w:szCs w:val="30"/>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before="240"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zh-CN"/>
              </w:rPr>
              <w:t>本项目的建设符合国家产业政策和当地规划，符合“三线一单”要求，</w:t>
            </w:r>
            <w:r>
              <w:rPr>
                <w:rFonts w:hint="default" w:ascii="Times New Roman" w:hAnsi="Times New Roman" w:cs="Times New Roman"/>
                <w:sz w:val="24"/>
              </w:rPr>
              <w:t>选址无明显环境制约因素，总图布置合理。建设单位严格落实本环评提出的污染防治措施及风险防范措施后可实现废水、废气、噪声的达标排放，固废的合理处置，环境风险在可接受范围。因此，</w:t>
            </w:r>
            <w:r>
              <w:rPr>
                <w:rFonts w:hint="default" w:ascii="Times New Roman" w:hAnsi="Times New Roman" w:cs="Times New Roman"/>
                <w:sz w:val="24"/>
                <w:lang w:val="zh-CN"/>
              </w:rPr>
              <w:t>从环境保护角度而言，</w:t>
            </w:r>
            <w:r>
              <w:rPr>
                <w:rFonts w:hint="default" w:ascii="Times New Roman" w:hAnsi="Times New Roman" w:cs="Times New Roman"/>
                <w:sz w:val="24"/>
              </w:rPr>
              <w:t>项目的建设是可行的。</w:t>
            </w: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ind w:firstLine="420" w:firstLineChars="200"/>
              <w:rPr>
                <w:rFonts w:hint="default" w:ascii="Times New Roman" w:hAnsi="Times New Roman" w:cs="Times New Roman"/>
              </w:rPr>
            </w:pPr>
          </w:p>
          <w:p>
            <w:pPr>
              <w:spacing w:line="360" w:lineRule="auto"/>
              <w:rPr>
                <w:rFonts w:hint="default" w:ascii="Times New Roman" w:hAnsi="Times New Roman" w:cs="Times New Roman"/>
                <w:sz w:val="24"/>
              </w:rPr>
            </w:pPr>
          </w:p>
        </w:tc>
      </w:tr>
    </w:tbl>
    <w:p>
      <w:pPr>
        <w:rPr>
          <w:rFonts w:hint="default" w:ascii="Times New Roman" w:hAnsi="Times New Roman" w:cs="Times New Roma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1"/>
        <w:adjustRightInd w:val="0"/>
        <w:snapToGrid w:val="0"/>
        <w:spacing w:before="0" w:beforeAutospacing="0" w:after="0" w:afterAutospacing="0" w:line="360" w:lineRule="auto"/>
        <w:rPr>
          <w:rFonts w:hint="default" w:ascii="Times New Roman" w:hAnsi="Times New Roman" w:eastAsia="黑体" w:cs="Times New Roman"/>
          <w:snapToGrid w:val="0"/>
          <w:sz w:val="32"/>
          <w:szCs w:val="32"/>
        </w:rPr>
      </w:pPr>
      <w:r>
        <w:rPr>
          <w:rFonts w:hint="default" w:ascii="Times New Roman" w:hAnsi="Times New Roman" w:eastAsia="黑体" w:cs="Times New Roman"/>
          <w:snapToGrid w:val="0"/>
          <w:sz w:val="32"/>
          <w:szCs w:val="32"/>
        </w:rPr>
        <w:t>附表</w:t>
      </w:r>
    </w:p>
    <w:p>
      <w:pPr>
        <w:pStyle w:val="21"/>
        <w:adjustRightInd w:val="0"/>
        <w:snapToGrid w:val="0"/>
        <w:spacing w:before="0" w:beforeAutospacing="0" w:after="0" w:afterAutospacing="0" w:line="552" w:lineRule="auto"/>
        <w:jc w:val="center"/>
        <w:outlineLvl w:val="0"/>
        <w:rPr>
          <w:rFonts w:hint="default" w:ascii="Times New Roman" w:hAnsi="Times New Roman" w:eastAsia="方正小标宋_GBK" w:cs="Times New Roman"/>
          <w:snapToGrid w:val="0"/>
          <w:sz w:val="38"/>
          <w:szCs w:val="38"/>
        </w:rPr>
      </w:pPr>
      <w:r>
        <w:rPr>
          <w:rFonts w:hint="default" w:ascii="Times New Roman" w:hAnsi="Times New Roman" w:eastAsia="方正小标宋_GBK" w:cs="Times New Roman"/>
          <w:snapToGrid w:val="0"/>
          <w:sz w:val="38"/>
          <w:szCs w:val="38"/>
        </w:rPr>
        <w:t>建设项目污染物排放量汇总表</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984"/>
        <w:gridCol w:w="1276"/>
        <w:gridCol w:w="1134"/>
        <w:gridCol w:w="1417"/>
        <w:gridCol w:w="1560"/>
        <w:gridCol w:w="1559"/>
        <w:gridCol w:w="1701"/>
        <w:gridCol w:w="15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40"/>
              <w:spacing w:beforeLines="0" w:afterLines="0" w:line="240" w:lineRule="auto"/>
              <w:ind w:left="396" w:hanging="396"/>
              <w:jc w:val="right"/>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项目</w:t>
            </w:r>
          </w:p>
          <w:p>
            <w:pPr>
              <w:pStyle w:val="40"/>
              <w:spacing w:beforeLines="0" w:afterLines="0" w:line="240" w:lineRule="auto"/>
              <w:ind w:left="396" w:hanging="396"/>
              <w:jc w:val="left"/>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分类</w:t>
            </w:r>
          </w:p>
        </w:tc>
        <w:tc>
          <w:tcPr>
            <w:tcW w:w="1984" w:type="dxa"/>
            <w:tcMar>
              <w:left w:w="28" w:type="dxa"/>
              <w:right w:w="28" w:type="dxa"/>
            </w:tcMar>
            <w:vAlign w:val="center"/>
          </w:tcPr>
          <w:p>
            <w:pPr>
              <w:pStyle w:val="40"/>
              <w:spacing w:beforeLines="0" w:afterLines="0" w:line="240" w:lineRule="auto"/>
              <w:ind w:left="396" w:hanging="396"/>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污染物名称</w:t>
            </w:r>
          </w:p>
        </w:tc>
        <w:tc>
          <w:tcPr>
            <w:tcW w:w="1276" w:type="dxa"/>
            <w:tcMar>
              <w:left w:w="28" w:type="dxa"/>
              <w:right w:w="28" w:type="dxa"/>
            </w:tcMar>
            <w:vAlign w:val="center"/>
          </w:tcPr>
          <w:p>
            <w:pPr>
              <w:pStyle w:val="40"/>
              <w:spacing w:beforeLines="0" w:afterLines="0" w:line="240" w:lineRule="auto"/>
              <w:ind w:left="396" w:hanging="396"/>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现有工程</w:t>
            </w:r>
          </w:p>
          <w:p>
            <w:pPr>
              <w:pStyle w:val="40"/>
              <w:spacing w:beforeLines="0" w:afterLines="0" w:line="240" w:lineRule="auto"/>
              <w:ind w:left="396" w:hanging="396"/>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排放量（固体废物产生量）</w:t>
            </w: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1 \* GB3 \* MERGEFORMAT </w:instrText>
            </w:r>
            <w:r>
              <w:rPr>
                <w:rFonts w:hint="default" w:ascii="Times New Roman" w:hAnsi="Times New Roman" w:eastAsia="黑体" w:cs="Times New Roman"/>
                <w:snapToGrid w:val="0"/>
                <w:spacing w:val="-6"/>
                <w:kern w:val="21"/>
                <w:szCs w:val="21"/>
              </w:rPr>
              <w:fldChar w:fldCharType="separate"/>
            </w:r>
            <w:r>
              <w:rPr>
                <w:rFonts w:hint="default" w:ascii="Times New Roman" w:hAnsi="Times New Roman" w:cs="Times New Roman"/>
                <w:kern w:val="2"/>
                <w:szCs w:val="21"/>
              </w:rPr>
              <w:t>①</w:t>
            </w:r>
            <w:r>
              <w:rPr>
                <w:rFonts w:hint="default" w:ascii="Times New Roman" w:hAnsi="Times New Roman" w:eastAsia="黑体" w:cs="Times New Roman"/>
                <w:snapToGrid w:val="0"/>
                <w:spacing w:val="-6"/>
                <w:kern w:val="21"/>
                <w:szCs w:val="21"/>
              </w:rPr>
              <w:fldChar w:fldCharType="end"/>
            </w:r>
          </w:p>
        </w:tc>
        <w:tc>
          <w:tcPr>
            <w:tcW w:w="1134" w:type="dxa"/>
            <w:tcMar>
              <w:left w:w="28" w:type="dxa"/>
              <w:right w:w="28" w:type="dxa"/>
            </w:tcMar>
            <w:vAlign w:val="center"/>
          </w:tcPr>
          <w:p>
            <w:pPr>
              <w:pStyle w:val="40"/>
              <w:spacing w:beforeLines="0" w:afterLines="0" w:line="240" w:lineRule="auto"/>
              <w:ind w:left="396" w:hanging="396"/>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现有工程</w:t>
            </w:r>
          </w:p>
          <w:p>
            <w:pPr>
              <w:pStyle w:val="40"/>
              <w:spacing w:beforeLines="0" w:afterLines="0" w:line="240" w:lineRule="auto"/>
              <w:ind w:left="396" w:hanging="396"/>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许可排放量</w:t>
            </w:r>
          </w:p>
          <w:p>
            <w:pPr>
              <w:pStyle w:val="40"/>
              <w:spacing w:beforeLines="0" w:afterLines="0"/>
              <w:ind w:left="420" w:hanging="420"/>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2 \* GB3 \* MERGEFORMAT </w:instrText>
            </w:r>
            <w:r>
              <w:rPr>
                <w:rFonts w:hint="default" w:ascii="Times New Roman" w:hAnsi="Times New Roman" w:eastAsia="黑体" w:cs="Times New Roman"/>
                <w:snapToGrid w:val="0"/>
                <w:spacing w:val="-6"/>
                <w:kern w:val="21"/>
                <w:szCs w:val="21"/>
              </w:rPr>
              <w:fldChar w:fldCharType="separate"/>
            </w:r>
            <w:r>
              <w:rPr>
                <w:rFonts w:hint="default" w:ascii="Times New Roman" w:hAnsi="Times New Roman" w:cs="Times New Roman"/>
                <w:snapToGrid w:val="0"/>
                <w:spacing w:val="-6"/>
                <w:kern w:val="21"/>
                <w:szCs w:val="21"/>
              </w:rPr>
              <w:t>②</w:t>
            </w:r>
            <w:r>
              <w:rPr>
                <w:rFonts w:hint="default" w:ascii="Times New Roman" w:hAnsi="Times New Roman" w:eastAsia="黑体" w:cs="Times New Roman"/>
                <w:snapToGrid w:val="0"/>
                <w:spacing w:val="-6"/>
                <w:kern w:val="21"/>
                <w:szCs w:val="21"/>
              </w:rPr>
              <w:fldChar w:fldCharType="end"/>
            </w:r>
          </w:p>
        </w:tc>
        <w:tc>
          <w:tcPr>
            <w:tcW w:w="1417" w:type="dxa"/>
            <w:tcMar>
              <w:left w:w="28" w:type="dxa"/>
              <w:right w:w="28" w:type="dxa"/>
            </w:tcMar>
            <w:vAlign w:val="center"/>
          </w:tcPr>
          <w:p>
            <w:pPr>
              <w:pStyle w:val="40"/>
              <w:spacing w:beforeLines="0" w:afterLines="0" w:line="240" w:lineRule="auto"/>
              <w:ind w:left="396" w:hanging="396"/>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在建工程</w:t>
            </w:r>
          </w:p>
          <w:p>
            <w:pPr>
              <w:pStyle w:val="40"/>
              <w:spacing w:beforeLines="0" w:afterLines="0" w:line="240" w:lineRule="auto"/>
              <w:ind w:left="396" w:hanging="396"/>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排放量（固体废物产生量）</w:t>
            </w: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3 \* GB3 \* MERGEFORMAT </w:instrText>
            </w:r>
            <w:r>
              <w:rPr>
                <w:rFonts w:hint="default" w:ascii="Times New Roman" w:hAnsi="Times New Roman" w:eastAsia="黑体" w:cs="Times New Roman"/>
                <w:snapToGrid w:val="0"/>
                <w:spacing w:val="-6"/>
                <w:kern w:val="21"/>
                <w:szCs w:val="21"/>
              </w:rPr>
              <w:fldChar w:fldCharType="separate"/>
            </w:r>
            <w:r>
              <w:rPr>
                <w:rFonts w:hint="default" w:ascii="Times New Roman" w:hAnsi="Times New Roman" w:cs="Times New Roman"/>
                <w:kern w:val="2"/>
                <w:szCs w:val="21"/>
              </w:rPr>
              <w:t>③</w:t>
            </w:r>
            <w:r>
              <w:rPr>
                <w:rFonts w:hint="default" w:ascii="Times New Roman" w:hAnsi="Times New Roman" w:eastAsia="黑体" w:cs="Times New Roman"/>
                <w:snapToGrid w:val="0"/>
                <w:spacing w:val="-6"/>
                <w:kern w:val="21"/>
                <w:szCs w:val="21"/>
              </w:rPr>
              <w:fldChar w:fldCharType="end"/>
            </w:r>
          </w:p>
        </w:tc>
        <w:tc>
          <w:tcPr>
            <w:tcW w:w="1560" w:type="dxa"/>
            <w:tcMar>
              <w:left w:w="28" w:type="dxa"/>
              <w:right w:w="28" w:type="dxa"/>
            </w:tcMar>
            <w:vAlign w:val="center"/>
          </w:tcPr>
          <w:p>
            <w:pPr>
              <w:pStyle w:val="40"/>
              <w:spacing w:beforeLines="0" w:afterLines="0" w:line="240" w:lineRule="auto"/>
              <w:ind w:left="396" w:hanging="396"/>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本项目</w:t>
            </w:r>
          </w:p>
          <w:p>
            <w:pPr>
              <w:pStyle w:val="40"/>
              <w:spacing w:beforeLines="0" w:afterLines="0" w:line="240" w:lineRule="auto"/>
              <w:ind w:left="396" w:hanging="396"/>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排放量（固体废物产生量）</w:t>
            </w: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4 \* GB3 \* MERGEFORMAT </w:instrText>
            </w:r>
            <w:r>
              <w:rPr>
                <w:rFonts w:hint="default" w:ascii="Times New Roman" w:hAnsi="Times New Roman" w:eastAsia="黑体" w:cs="Times New Roman"/>
                <w:snapToGrid w:val="0"/>
                <w:spacing w:val="-6"/>
                <w:kern w:val="21"/>
                <w:szCs w:val="21"/>
              </w:rPr>
              <w:fldChar w:fldCharType="separate"/>
            </w:r>
            <w:r>
              <w:rPr>
                <w:rFonts w:hint="default" w:ascii="Times New Roman" w:hAnsi="Times New Roman" w:cs="Times New Roman"/>
                <w:kern w:val="2"/>
                <w:szCs w:val="21"/>
              </w:rPr>
              <w:t>④</w:t>
            </w:r>
            <w:r>
              <w:rPr>
                <w:rFonts w:hint="default" w:ascii="Times New Roman" w:hAnsi="Times New Roman" w:eastAsia="黑体" w:cs="Times New Roman"/>
                <w:snapToGrid w:val="0"/>
                <w:spacing w:val="-6"/>
                <w:kern w:val="21"/>
                <w:szCs w:val="21"/>
              </w:rPr>
              <w:fldChar w:fldCharType="end"/>
            </w:r>
          </w:p>
        </w:tc>
        <w:tc>
          <w:tcPr>
            <w:tcW w:w="1559" w:type="dxa"/>
            <w:tcMar>
              <w:left w:w="28" w:type="dxa"/>
              <w:right w:w="28" w:type="dxa"/>
            </w:tcMar>
            <w:vAlign w:val="center"/>
          </w:tcPr>
          <w:p>
            <w:pPr>
              <w:pStyle w:val="40"/>
              <w:spacing w:beforeLines="0" w:afterLines="0" w:line="240" w:lineRule="auto"/>
              <w:ind w:left="356" w:hanging="356"/>
              <w:rPr>
                <w:rFonts w:hint="default" w:ascii="Times New Roman" w:hAnsi="Times New Roman" w:eastAsia="黑体" w:cs="Times New Roman"/>
                <w:snapToGrid w:val="0"/>
                <w:spacing w:val="-16"/>
                <w:kern w:val="21"/>
                <w:szCs w:val="21"/>
              </w:rPr>
            </w:pPr>
            <w:r>
              <w:rPr>
                <w:rFonts w:hint="default" w:ascii="Times New Roman" w:hAnsi="Times New Roman" w:eastAsia="黑体" w:cs="Times New Roman"/>
                <w:snapToGrid w:val="0"/>
                <w:spacing w:val="-16"/>
                <w:kern w:val="21"/>
                <w:szCs w:val="21"/>
              </w:rPr>
              <w:t>以新带老削减量（新建项目不填）</w:t>
            </w:r>
            <w:r>
              <w:rPr>
                <w:rFonts w:hint="default" w:ascii="Times New Roman" w:hAnsi="Times New Roman" w:eastAsia="黑体" w:cs="Times New Roman"/>
                <w:snapToGrid w:val="0"/>
                <w:spacing w:val="-16"/>
                <w:kern w:val="21"/>
                <w:szCs w:val="21"/>
              </w:rPr>
              <w:fldChar w:fldCharType="begin"/>
            </w:r>
            <w:r>
              <w:rPr>
                <w:rFonts w:hint="default" w:ascii="Times New Roman" w:hAnsi="Times New Roman" w:eastAsia="黑体" w:cs="Times New Roman"/>
                <w:snapToGrid w:val="0"/>
                <w:spacing w:val="-16"/>
                <w:kern w:val="21"/>
                <w:szCs w:val="21"/>
              </w:rPr>
              <w:instrText xml:space="preserve"> = 5 \* GB3 \* MERGEFORMAT </w:instrText>
            </w:r>
            <w:r>
              <w:rPr>
                <w:rFonts w:hint="default" w:ascii="Times New Roman" w:hAnsi="Times New Roman" w:eastAsia="黑体" w:cs="Times New Roman"/>
                <w:snapToGrid w:val="0"/>
                <w:spacing w:val="-16"/>
                <w:kern w:val="21"/>
                <w:szCs w:val="21"/>
              </w:rPr>
              <w:fldChar w:fldCharType="separate"/>
            </w:r>
            <w:r>
              <w:rPr>
                <w:rFonts w:hint="default" w:ascii="Times New Roman" w:hAnsi="Times New Roman" w:cs="Times New Roman"/>
                <w:kern w:val="2"/>
                <w:szCs w:val="21"/>
              </w:rPr>
              <w:t>⑤</w:t>
            </w:r>
            <w:r>
              <w:rPr>
                <w:rFonts w:hint="default" w:ascii="Times New Roman" w:hAnsi="Times New Roman" w:eastAsia="黑体" w:cs="Times New Roman"/>
                <w:snapToGrid w:val="0"/>
                <w:spacing w:val="-16"/>
                <w:kern w:val="21"/>
                <w:szCs w:val="21"/>
              </w:rPr>
              <w:fldChar w:fldCharType="end"/>
            </w:r>
          </w:p>
        </w:tc>
        <w:tc>
          <w:tcPr>
            <w:tcW w:w="1701" w:type="dxa"/>
            <w:tcMar>
              <w:left w:w="28" w:type="dxa"/>
              <w:right w:w="28" w:type="dxa"/>
            </w:tcMar>
            <w:vAlign w:val="center"/>
          </w:tcPr>
          <w:p>
            <w:pPr>
              <w:pStyle w:val="40"/>
              <w:spacing w:beforeLines="0" w:afterLines="0" w:line="240" w:lineRule="auto"/>
              <w:ind w:left="356" w:hanging="356"/>
              <w:rPr>
                <w:rFonts w:hint="default" w:ascii="Times New Roman" w:hAnsi="Times New Roman" w:eastAsia="黑体" w:cs="Times New Roman"/>
                <w:snapToGrid w:val="0"/>
                <w:spacing w:val="-16"/>
                <w:kern w:val="21"/>
                <w:szCs w:val="21"/>
              </w:rPr>
            </w:pPr>
            <w:r>
              <w:rPr>
                <w:rFonts w:hint="default" w:ascii="Times New Roman" w:hAnsi="Times New Roman" w:eastAsia="黑体" w:cs="Times New Roman"/>
                <w:snapToGrid w:val="0"/>
                <w:spacing w:val="-16"/>
                <w:kern w:val="21"/>
                <w:szCs w:val="21"/>
              </w:rPr>
              <w:t>本项目建成后</w:t>
            </w:r>
          </w:p>
          <w:p>
            <w:pPr>
              <w:pStyle w:val="40"/>
              <w:spacing w:beforeLines="0" w:afterLines="0" w:line="240" w:lineRule="auto"/>
              <w:ind w:left="356" w:hanging="356"/>
              <w:rPr>
                <w:rFonts w:hint="default" w:ascii="Times New Roman" w:hAnsi="Times New Roman" w:eastAsia="黑体" w:cs="Times New Roman"/>
                <w:snapToGrid w:val="0"/>
                <w:spacing w:val="-16"/>
                <w:kern w:val="21"/>
                <w:szCs w:val="21"/>
              </w:rPr>
            </w:pPr>
            <w:r>
              <w:rPr>
                <w:rFonts w:hint="default" w:ascii="Times New Roman" w:hAnsi="Times New Roman" w:eastAsia="黑体" w:cs="Times New Roman"/>
                <w:snapToGrid w:val="0"/>
                <w:spacing w:val="-16"/>
                <w:kern w:val="21"/>
                <w:szCs w:val="21"/>
              </w:rPr>
              <w:t>全厂排放量（固体废物产生量）</w:t>
            </w:r>
            <w:r>
              <w:rPr>
                <w:rFonts w:hint="default" w:ascii="Times New Roman" w:hAnsi="Times New Roman" w:eastAsia="黑体" w:cs="Times New Roman"/>
                <w:snapToGrid w:val="0"/>
                <w:spacing w:val="-16"/>
                <w:kern w:val="21"/>
                <w:szCs w:val="21"/>
              </w:rPr>
              <w:fldChar w:fldCharType="begin"/>
            </w:r>
            <w:r>
              <w:rPr>
                <w:rFonts w:hint="default" w:ascii="Times New Roman" w:hAnsi="Times New Roman" w:eastAsia="黑体" w:cs="Times New Roman"/>
                <w:snapToGrid w:val="0"/>
                <w:spacing w:val="-16"/>
                <w:kern w:val="21"/>
                <w:szCs w:val="21"/>
              </w:rPr>
              <w:instrText xml:space="preserve"> = 6 \* GB3 \* MERGEFORMAT </w:instrText>
            </w:r>
            <w:r>
              <w:rPr>
                <w:rFonts w:hint="default" w:ascii="Times New Roman" w:hAnsi="Times New Roman" w:eastAsia="黑体" w:cs="Times New Roman"/>
                <w:snapToGrid w:val="0"/>
                <w:spacing w:val="-16"/>
                <w:kern w:val="21"/>
                <w:szCs w:val="21"/>
              </w:rPr>
              <w:fldChar w:fldCharType="separate"/>
            </w:r>
            <w:r>
              <w:rPr>
                <w:rFonts w:hint="default" w:ascii="Times New Roman" w:hAnsi="Times New Roman" w:cs="Times New Roman"/>
                <w:kern w:val="2"/>
                <w:szCs w:val="21"/>
              </w:rPr>
              <w:t>⑥</w:t>
            </w:r>
            <w:r>
              <w:rPr>
                <w:rFonts w:hint="default" w:ascii="Times New Roman" w:hAnsi="Times New Roman" w:eastAsia="黑体" w:cs="Times New Roman"/>
                <w:snapToGrid w:val="0"/>
                <w:spacing w:val="-16"/>
                <w:kern w:val="21"/>
                <w:szCs w:val="21"/>
              </w:rPr>
              <w:fldChar w:fldCharType="end"/>
            </w:r>
          </w:p>
        </w:tc>
        <w:tc>
          <w:tcPr>
            <w:tcW w:w="1569" w:type="dxa"/>
            <w:tcMar>
              <w:left w:w="28" w:type="dxa"/>
              <w:right w:w="28" w:type="dxa"/>
            </w:tcMar>
            <w:vAlign w:val="center"/>
          </w:tcPr>
          <w:p>
            <w:pPr>
              <w:pStyle w:val="40"/>
              <w:spacing w:beforeLines="0" w:afterLines="0" w:line="240" w:lineRule="auto"/>
              <w:ind w:left="396" w:hanging="396"/>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变化量</w:t>
            </w:r>
          </w:p>
          <w:p>
            <w:pPr>
              <w:pStyle w:val="40"/>
              <w:spacing w:beforeLines="0" w:afterLines="0" w:line="240" w:lineRule="auto"/>
              <w:ind w:left="420" w:hanging="420"/>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7 \* GB3 \* MERGEFORMAT </w:instrText>
            </w:r>
            <w:r>
              <w:rPr>
                <w:rFonts w:hint="default" w:ascii="Times New Roman" w:hAnsi="Times New Roman" w:eastAsia="黑体" w:cs="Times New Roman"/>
                <w:snapToGrid w:val="0"/>
                <w:spacing w:val="-6"/>
                <w:kern w:val="21"/>
                <w:szCs w:val="21"/>
              </w:rPr>
              <w:fldChar w:fldCharType="separate"/>
            </w:r>
            <w:r>
              <w:rPr>
                <w:rFonts w:hint="default" w:ascii="Times New Roman" w:hAnsi="Times New Roman" w:cs="Times New Roman"/>
                <w:kern w:val="2"/>
                <w:szCs w:val="21"/>
              </w:rPr>
              <w:t>⑦</w:t>
            </w:r>
            <w:r>
              <w:rPr>
                <w:rFonts w:hint="default" w:ascii="Times New Roman" w:hAnsi="Times New Roman" w:eastAsia="黑体" w:cs="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588" w:type="dxa"/>
            <w:vMerge w:val="restart"/>
            <w:vAlign w:val="center"/>
          </w:tcPr>
          <w:p>
            <w:pPr>
              <w:pStyle w:val="40"/>
              <w:spacing w:beforeLines="0" w:afterLines="0" w:line="240" w:lineRule="auto"/>
              <w:ind w:left="420" w:hanging="420"/>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废气</w:t>
            </w:r>
          </w:p>
        </w:tc>
        <w:tc>
          <w:tcPr>
            <w:tcW w:w="1984" w:type="dxa"/>
            <w:vAlign w:val="center"/>
          </w:tcPr>
          <w:p>
            <w:pPr>
              <w:pStyle w:val="40"/>
              <w:spacing w:beforeLines="0" w:afterLines="0" w:line="240" w:lineRule="auto"/>
              <w:ind w:left="480" w:hanging="480"/>
              <w:rPr>
                <w:rFonts w:hint="default" w:ascii="Times New Roman" w:hAnsi="Times New Roman" w:cs="Times New Roman"/>
                <w:snapToGrid w:val="0"/>
                <w:color w:val="FF0000"/>
                <w:kern w:val="21"/>
                <w:sz w:val="21"/>
                <w:szCs w:val="21"/>
              </w:rPr>
            </w:pP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p>
        </w:tc>
        <w:tc>
          <w:tcPr>
            <w:tcW w:w="1276"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napToGrid w:val="0"/>
                <w:color w:val="FF0000"/>
                <w:kern w:val="21"/>
                <w:szCs w:val="21"/>
              </w:rPr>
            </w:pPr>
            <w:r>
              <w:rPr>
                <w:rFonts w:hint="eastAsia" w:ascii="Times New Roman" w:hAnsi="Times New Roman" w:cs="Times New Roman"/>
                <w:color w:val="000000"/>
                <w:kern w:val="0"/>
                <w:sz w:val="21"/>
                <w:szCs w:val="21"/>
                <w:lang w:val="en-US" w:eastAsia="zh-CN"/>
              </w:rPr>
              <w:t>0.064</w:t>
            </w:r>
            <w:r>
              <w:rPr>
                <w:rFonts w:hint="default" w:ascii="Times New Roman" w:hAnsi="Times New Roman" w:cs="Times New Roman"/>
                <w:b w:val="0"/>
                <w:snapToGrid w:val="0"/>
                <w:kern w:val="21"/>
              </w:rPr>
              <w:t>t/a</w:t>
            </w:r>
          </w:p>
        </w:tc>
        <w:tc>
          <w:tcPr>
            <w:tcW w:w="1134"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napToGrid w:val="0"/>
                <w:color w:val="FF0000"/>
                <w:kern w:val="21"/>
                <w:szCs w:val="21"/>
              </w:rPr>
            </w:pPr>
            <w:r>
              <w:rPr>
                <w:rFonts w:hint="eastAsia" w:ascii="Times New Roman" w:hAnsi="Times New Roman" w:cs="Times New Roman"/>
                <w:color w:val="000000"/>
                <w:kern w:val="0"/>
                <w:sz w:val="21"/>
                <w:szCs w:val="21"/>
                <w:lang w:val="en-US" w:eastAsia="zh-CN"/>
              </w:rPr>
              <w:t>0.064</w:t>
            </w:r>
            <w:r>
              <w:rPr>
                <w:rFonts w:hint="default" w:ascii="Times New Roman" w:hAnsi="Times New Roman" w:cs="Times New Roman"/>
                <w:b w:val="0"/>
                <w:snapToGrid w:val="0"/>
                <w:kern w:val="21"/>
              </w:rPr>
              <w:t>t/a</w:t>
            </w:r>
          </w:p>
        </w:tc>
        <w:tc>
          <w:tcPr>
            <w:tcW w:w="1417" w:type="dxa"/>
            <w:vAlign w:val="center"/>
          </w:tcPr>
          <w:p>
            <w:pPr>
              <w:pStyle w:val="40"/>
              <w:spacing w:beforeLines="0" w:afterLines="0" w:line="240" w:lineRule="auto"/>
              <w:ind w:left="420" w:hanging="420"/>
              <w:rPr>
                <w:rFonts w:hint="default" w:ascii="Times New Roman" w:hAnsi="Times New Roman" w:cs="Times New Roman"/>
                <w:snapToGrid w:val="0"/>
                <w:color w:val="FF0000"/>
                <w:kern w:val="21"/>
                <w:szCs w:val="21"/>
              </w:rPr>
            </w:pPr>
          </w:p>
        </w:tc>
        <w:tc>
          <w:tcPr>
            <w:tcW w:w="1560" w:type="dxa"/>
            <w:vAlign w:val="center"/>
          </w:tcPr>
          <w:p>
            <w:pPr>
              <w:pStyle w:val="84"/>
              <w:spacing w:line="300" w:lineRule="auto"/>
              <w:rPr>
                <w:rFonts w:hint="default" w:ascii="Times New Roman" w:hAnsi="Times New Roman" w:cs="Times New Roman"/>
                <w:b w:val="0"/>
                <w:snapToGrid w:val="0"/>
                <w:color w:val="FF0000"/>
                <w:kern w:val="21"/>
              </w:rPr>
            </w:pPr>
            <w:r>
              <w:rPr>
                <w:rFonts w:hint="eastAsia" w:hAnsi="Times New Roman" w:cs="Times New Roman"/>
                <w:b w:val="0"/>
                <w:lang w:eastAsia="zh-CN"/>
              </w:rPr>
              <w:t>0.37</w:t>
            </w:r>
            <w:r>
              <w:rPr>
                <w:rFonts w:hint="default" w:ascii="Times New Roman" w:hAnsi="Times New Roman" w:cs="Times New Roman"/>
                <w:b w:val="0"/>
                <w:snapToGrid w:val="0"/>
                <w:kern w:val="21"/>
              </w:rPr>
              <w:t>t/a</w:t>
            </w:r>
          </w:p>
        </w:tc>
        <w:tc>
          <w:tcPr>
            <w:tcW w:w="1559" w:type="dxa"/>
            <w:vAlign w:val="center"/>
          </w:tcPr>
          <w:p>
            <w:pPr>
              <w:pStyle w:val="40"/>
              <w:spacing w:beforeLines="0" w:afterLines="0" w:line="240" w:lineRule="auto"/>
              <w:ind w:left="420" w:hanging="420"/>
              <w:rPr>
                <w:rFonts w:hint="default" w:ascii="Times New Roman" w:hAnsi="Times New Roman" w:cs="Times New Roman"/>
                <w:snapToGrid w:val="0"/>
                <w:color w:val="FF0000"/>
                <w:kern w:val="21"/>
                <w:szCs w:val="21"/>
              </w:rPr>
            </w:pPr>
          </w:p>
        </w:tc>
        <w:tc>
          <w:tcPr>
            <w:tcW w:w="1701" w:type="dxa"/>
            <w:vAlign w:val="center"/>
          </w:tcPr>
          <w:p>
            <w:pPr>
              <w:pStyle w:val="84"/>
              <w:spacing w:line="300" w:lineRule="auto"/>
              <w:rPr>
                <w:rFonts w:hint="default" w:ascii="Times New Roman" w:hAnsi="Times New Roman" w:cs="Times New Roman"/>
                <w:snapToGrid w:val="0"/>
                <w:color w:val="FF0000"/>
                <w:kern w:val="21"/>
              </w:rPr>
            </w:pPr>
            <w:r>
              <w:rPr>
                <w:rFonts w:hint="eastAsia" w:hAnsi="Times New Roman" w:cs="Times New Roman"/>
                <w:b w:val="0"/>
                <w:lang w:eastAsia="zh-CN"/>
              </w:rPr>
              <w:t>0.37</w:t>
            </w:r>
            <w:r>
              <w:rPr>
                <w:rFonts w:hint="default" w:ascii="Times New Roman" w:hAnsi="Times New Roman" w:cs="Times New Roman"/>
                <w:b w:val="0"/>
                <w:snapToGrid w:val="0"/>
                <w:kern w:val="21"/>
              </w:rPr>
              <w:t>t/a</w:t>
            </w:r>
          </w:p>
        </w:tc>
        <w:tc>
          <w:tcPr>
            <w:tcW w:w="1569"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napToGrid w:val="0"/>
                <w:kern w:val="21"/>
                <w:szCs w:val="21"/>
              </w:rPr>
            </w:pPr>
            <w:r>
              <w:rPr>
                <w:rFonts w:hint="eastAsia" w:ascii="Times New Roman" w:hAnsi="Times New Roman" w:eastAsia="宋体" w:cs="Times New Roman"/>
                <w:color w:val="000000"/>
                <w:kern w:val="0"/>
                <w:sz w:val="21"/>
                <w:szCs w:val="21"/>
                <w:lang w:val="en-US" w:eastAsia="zh-CN"/>
              </w:rPr>
              <w:t>+0.306</w:t>
            </w:r>
            <w:r>
              <w:rPr>
                <w:rFonts w:hint="default" w:ascii="Times New Roman" w:hAnsi="Times New Roman" w:cs="Times New Roman"/>
                <w:b w:val="0"/>
                <w:snapToGrid w:val="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88" w:type="dxa"/>
            <w:vMerge w:val="continue"/>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984" w:type="dxa"/>
            <w:vAlign w:val="center"/>
          </w:tcPr>
          <w:p>
            <w:pPr>
              <w:pStyle w:val="40"/>
              <w:spacing w:beforeLines="0" w:afterLines="0" w:line="240" w:lineRule="auto"/>
              <w:ind w:left="480" w:hanging="480"/>
              <w:rPr>
                <w:rFonts w:hint="default" w:ascii="Times New Roman" w:hAnsi="Times New Roman" w:cs="Times New Roman" w:eastAsiaTheme="minorEastAsia"/>
                <w:bCs/>
                <w:color w:val="FF0000"/>
                <w:spacing w:val="-10"/>
                <w:sz w:val="21"/>
                <w:szCs w:val="21"/>
              </w:rPr>
            </w:pP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X</w:t>
            </w:r>
          </w:p>
        </w:tc>
        <w:tc>
          <w:tcPr>
            <w:tcW w:w="1276"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napToGrid w:val="0"/>
                <w:color w:val="FF0000"/>
                <w:kern w:val="21"/>
                <w:szCs w:val="21"/>
              </w:rPr>
            </w:pPr>
            <w:r>
              <w:rPr>
                <w:rFonts w:hint="eastAsia" w:ascii="Times New Roman" w:hAnsi="Times New Roman" w:cs="Times New Roman"/>
                <w:color w:val="000000"/>
                <w:kern w:val="0"/>
                <w:sz w:val="21"/>
                <w:szCs w:val="21"/>
                <w:lang w:val="en-US" w:eastAsia="zh-CN"/>
              </w:rPr>
              <w:t>1.298</w:t>
            </w:r>
            <w:r>
              <w:rPr>
                <w:rFonts w:hint="default" w:ascii="Times New Roman" w:hAnsi="Times New Roman" w:cs="Times New Roman"/>
                <w:b w:val="0"/>
                <w:snapToGrid w:val="0"/>
                <w:kern w:val="21"/>
              </w:rPr>
              <w:t>t/a</w:t>
            </w:r>
          </w:p>
        </w:tc>
        <w:tc>
          <w:tcPr>
            <w:tcW w:w="1134"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napToGrid w:val="0"/>
                <w:color w:val="FF0000"/>
                <w:kern w:val="21"/>
                <w:szCs w:val="21"/>
              </w:rPr>
            </w:pPr>
            <w:r>
              <w:rPr>
                <w:rFonts w:hint="eastAsia" w:ascii="Times New Roman" w:hAnsi="Times New Roman" w:cs="Times New Roman"/>
                <w:color w:val="000000"/>
                <w:kern w:val="0"/>
                <w:sz w:val="21"/>
                <w:szCs w:val="21"/>
                <w:lang w:val="en-US" w:eastAsia="zh-CN"/>
              </w:rPr>
              <w:t>1.298</w:t>
            </w:r>
            <w:r>
              <w:rPr>
                <w:rFonts w:hint="default" w:ascii="Times New Roman" w:hAnsi="Times New Roman" w:cs="Times New Roman"/>
                <w:b w:val="0"/>
                <w:snapToGrid w:val="0"/>
                <w:kern w:val="21"/>
              </w:rPr>
              <w:t>t/a</w:t>
            </w:r>
          </w:p>
        </w:tc>
        <w:tc>
          <w:tcPr>
            <w:tcW w:w="1417" w:type="dxa"/>
            <w:vAlign w:val="center"/>
          </w:tcPr>
          <w:p>
            <w:pPr>
              <w:pStyle w:val="40"/>
              <w:spacing w:beforeLines="0" w:afterLines="0" w:line="240" w:lineRule="auto"/>
              <w:ind w:left="420" w:hanging="420"/>
              <w:rPr>
                <w:rFonts w:hint="default" w:ascii="Times New Roman" w:hAnsi="Times New Roman" w:cs="Times New Roman"/>
                <w:snapToGrid w:val="0"/>
                <w:color w:val="FF0000"/>
                <w:kern w:val="21"/>
                <w:szCs w:val="21"/>
              </w:rPr>
            </w:pPr>
          </w:p>
        </w:tc>
        <w:tc>
          <w:tcPr>
            <w:tcW w:w="1560" w:type="dxa"/>
            <w:vAlign w:val="center"/>
          </w:tcPr>
          <w:p>
            <w:pPr>
              <w:pStyle w:val="84"/>
              <w:spacing w:line="300" w:lineRule="auto"/>
              <w:rPr>
                <w:rFonts w:hint="default" w:ascii="Times New Roman" w:hAnsi="Times New Roman" w:cs="Times New Roman"/>
                <w:b w:val="0"/>
                <w:snapToGrid w:val="0"/>
                <w:color w:val="FF0000"/>
                <w:kern w:val="21"/>
              </w:rPr>
            </w:pPr>
            <w:r>
              <w:rPr>
                <w:rFonts w:hint="eastAsia" w:hAnsi="Times New Roman" w:cs="Times New Roman"/>
                <w:b w:val="0"/>
                <w:lang w:val="en-US" w:eastAsia="zh-CN"/>
              </w:rPr>
              <w:t>1.013</w:t>
            </w:r>
            <w:r>
              <w:rPr>
                <w:rFonts w:hint="default" w:ascii="Times New Roman" w:hAnsi="Times New Roman" w:cs="Times New Roman"/>
                <w:b w:val="0"/>
                <w:snapToGrid w:val="0"/>
                <w:kern w:val="21"/>
              </w:rPr>
              <w:t>t/a</w:t>
            </w:r>
          </w:p>
        </w:tc>
        <w:tc>
          <w:tcPr>
            <w:tcW w:w="1559" w:type="dxa"/>
            <w:vAlign w:val="center"/>
          </w:tcPr>
          <w:p>
            <w:pPr>
              <w:pStyle w:val="40"/>
              <w:spacing w:beforeLines="0" w:afterLines="0" w:line="240" w:lineRule="auto"/>
              <w:ind w:left="420" w:hanging="420"/>
              <w:rPr>
                <w:rFonts w:hint="default" w:ascii="Times New Roman" w:hAnsi="Times New Roman" w:cs="Times New Roman"/>
                <w:snapToGrid w:val="0"/>
                <w:color w:val="FF0000"/>
                <w:kern w:val="21"/>
                <w:szCs w:val="21"/>
              </w:rPr>
            </w:pPr>
          </w:p>
        </w:tc>
        <w:tc>
          <w:tcPr>
            <w:tcW w:w="1701" w:type="dxa"/>
            <w:vAlign w:val="center"/>
          </w:tcPr>
          <w:p>
            <w:pPr>
              <w:pStyle w:val="84"/>
              <w:spacing w:line="300" w:lineRule="auto"/>
              <w:rPr>
                <w:rFonts w:hint="default" w:ascii="Times New Roman" w:hAnsi="Times New Roman" w:cs="Times New Roman"/>
                <w:snapToGrid w:val="0"/>
                <w:color w:val="FF0000"/>
                <w:kern w:val="21"/>
              </w:rPr>
            </w:pPr>
            <w:r>
              <w:rPr>
                <w:rFonts w:hint="eastAsia" w:hAnsi="Times New Roman" w:cs="Times New Roman"/>
                <w:b w:val="0"/>
                <w:snapToGrid w:val="0"/>
                <w:kern w:val="21"/>
                <w:lang w:val="en-US" w:eastAsia="zh-CN"/>
              </w:rPr>
              <w:t>1.013</w:t>
            </w:r>
            <w:r>
              <w:rPr>
                <w:rFonts w:hint="default" w:ascii="Times New Roman" w:hAnsi="Times New Roman" w:cs="Times New Roman"/>
                <w:b w:val="0"/>
                <w:snapToGrid w:val="0"/>
                <w:kern w:val="21"/>
              </w:rPr>
              <w:t>t/a</w:t>
            </w:r>
          </w:p>
        </w:tc>
        <w:tc>
          <w:tcPr>
            <w:tcW w:w="1569"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napToGrid w:val="0"/>
                <w:kern w:val="21"/>
                <w:szCs w:val="21"/>
              </w:rPr>
            </w:pPr>
            <w:r>
              <w:rPr>
                <w:rFonts w:hint="eastAsia" w:ascii="Times New Roman" w:hAnsi="Times New Roman" w:cs="Times New Roman"/>
                <w:color w:val="000000"/>
                <w:kern w:val="0"/>
                <w:sz w:val="21"/>
                <w:szCs w:val="21"/>
                <w:lang w:val="en-US" w:eastAsia="zh-CN"/>
              </w:rPr>
              <w:t>-0.285</w:t>
            </w:r>
            <w:r>
              <w:rPr>
                <w:rFonts w:hint="default" w:ascii="Times New Roman" w:hAnsi="Times New Roman" w:cs="Times New Roman"/>
                <w:b w:val="0"/>
                <w:snapToGrid w:val="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984" w:type="dxa"/>
            <w:vAlign w:val="center"/>
          </w:tcPr>
          <w:p>
            <w:pPr>
              <w:pStyle w:val="40"/>
              <w:spacing w:beforeLines="0" w:afterLines="0" w:line="240" w:lineRule="auto"/>
              <w:ind w:left="420" w:leftChars="0" w:hanging="420" w:hangingChars="200"/>
              <w:rPr>
                <w:rFonts w:hint="default" w:ascii="Times New Roman" w:hAnsi="Times New Roman" w:cs="Times New Roman" w:eastAsiaTheme="minorEastAsia"/>
                <w:bCs/>
                <w:color w:val="FF0000"/>
                <w:spacing w:val="-10"/>
                <w:kern w:val="0"/>
                <w:sz w:val="21"/>
                <w:szCs w:val="21"/>
                <w:lang w:val="en-US" w:eastAsia="zh-CN" w:bidi="ar-SA"/>
              </w:rPr>
            </w:pPr>
            <w:r>
              <w:rPr>
                <w:rFonts w:hint="default" w:ascii="Times New Roman" w:hAnsi="Times New Roman" w:cs="Times New Roman"/>
                <w:sz w:val="21"/>
                <w:szCs w:val="21"/>
              </w:rPr>
              <w:t>颗粒物</w:t>
            </w:r>
          </w:p>
        </w:tc>
        <w:tc>
          <w:tcPr>
            <w:tcW w:w="1276"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napToGrid w:val="0"/>
                <w:color w:val="FF0000"/>
                <w:kern w:val="21"/>
                <w:sz w:val="24"/>
                <w:szCs w:val="21"/>
                <w:lang w:val="en-US" w:eastAsia="zh-CN" w:bidi="ar-SA"/>
              </w:rPr>
            </w:pPr>
            <w:r>
              <w:rPr>
                <w:rFonts w:hint="eastAsia" w:ascii="Times New Roman" w:hAnsi="Times New Roman" w:cs="Times New Roman"/>
                <w:color w:val="000000"/>
                <w:kern w:val="0"/>
                <w:sz w:val="21"/>
                <w:szCs w:val="21"/>
                <w:lang w:val="en-US" w:eastAsia="zh-CN"/>
              </w:rPr>
              <w:t>0.21</w:t>
            </w:r>
            <w:r>
              <w:rPr>
                <w:rFonts w:hint="default" w:ascii="Times New Roman" w:hAnsi="Times New Roman" w:cs="Times New Roman"/>
                <w:b w:val="0"/>
                <w:snapToGrid w:val="0"/>
                <w:kern w:val="21"/>
              </w:rPr>
              <w:t>t/a</w:t>
            </w:r>
          </w:p>
        </w:tc>
        <w:tc>
          <w:tcPr>
            <w:tcW w:w="1134"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napToGrid w:val="0"/>
                <w:color w:val="FF0000"/>
                <w:kern w:val="21"/>
                <w:sz w:val="24"/>
                <w:szCs w:val="21"/>
                <w:lang w:val="en-US" w:eastAsia="zh-CN" w:bidi="ar-SA"/>
              </w:rPr>
            </w:pPr>
            <w:r>
              <w:rPr>
                <w:rFonts w:hint="eastAsia" w:ascii="Times New Roman" w:hAnsi="Times New Roman" w:cs="Times New Roman"/>
                <w:color w:val="000000"/>
                <w:kern w:val="0"/>
                <w:sz w:val="21"/>
                <w:szCs w:val="21"/>
                <w:lang w:val="en-US" w:eastAsia="zh-CN"/>
              </w:rPr>
              <w:t>0.21</w:t>
            </w:r>
            <w:r>
              <w:rPr>
                <w:rFonts w:hint="default" w:ascii="Times New Roman" w:hAnsi="Times New Roman" w:cs="Times New Roman"/>
                <w:b w:val="0"/>
                <w:snapToGrid w:val="0"/>
                <w:kern w:val="21"/>
              </w:rPr>
              <w:t>t/a</w:t>
            </w:r>
          </w:p>
        </w:tc>
        <w:tc>
          <w:tcPr>
            <w:tcW w:w="1417" w:type="dxa"/>
            <w:vAlign w:val="center"/>
          </w:tcPr>
          <w:p>
            <w:pPr>
              <w:pStyle w:val="40"/>
              <w:spacing w:beforeLines="0" w:afterLines="0" w:line="240" w:lineRule="auto"/>
              <w:ind w:left="480" w:leftChars="0" w:hanging="480" w:hangingChars="200"/>
              <w:rPr>
                <w:rFonts w:hint="default" w:ascii="Times New Roman" w:hAnsi="Times New Roman" w:eastAsia="宋体" w:cs="Times New Roman"/>
                <w:snapToGrid w:val="0"/>
                <w:color w:val="FF0000"/>
                <w:kern w:val="21"/>
                <w:sz w:val="24"/>
                <w:szCs w:val="21"/>
                <w:lang w:val="en-US" w:eastAsia="zh-CN" w:bidi="ar-SA"/>
              </w:rPr>
            </w:pPr>
          </w:p>
        </w:tc>
        <w:tc>
          <w:tcPr>
            <w:tcW w:w="1560" w:type="dxa"/>
            <w:vAlign w:val="center"/>
          </w:tcPr>
          <w:p>
            <w:pPr>
              <w:pStyle w:val="84"/>
              <w:spacing w:line="300" w:lineRule="auto"/>
              <w:rPr>
                <w:rFonts w:hint="default" w:ascii="Times New Roman" w:hAnsi="Times New Roman" w:eastAsia="宋体" w:cs="Times New Roman"/>
                <w:b w:val="0"/>
                <w:bCs/>
                <w:snapToGrid w:val="0"/>
                <w:color w:val="FF0000"/>
                <w:kern w:val="21"/>
                <w:sz w:val="21"/>
                <w:szCs w:val="21"/>
                <w:lang w:val="en-US" w:eastAsia="zh-CN" w:bidi="ar-SA"/>
              </w:rPr>
            </w:pPr>
            <w:r>
              <w:rPr>
                <w:rFonts w:hint="eastAsia" w:hAnsi="Times New Roman" w:cs="Times New Roman"/>
                <w:b w:val="0"/>
                <w:lang w:eastAsia="zh-CN"/>
              </w:rPr>
              <w:t>2.117t</w:t>
            </w:r>
            <w:r>
              <w:rPr>
                <w:rFonts w:hint="default" w:ascii="Times New Roman" w:hAnsi="Times New Roman" w:cs="Times New Roman"/>
                <w:b w:val="0"/>
                <w:snapToGrid w:val="0"/>
                <w:kern w:val="21"/>
              </w:rPr>
              <w:t>/a</w:t>
            </w:r>
          </w:p>
        </w:tc>
        <w:tc>
          <w:tcPr>
            <w:tcW w:w="1559" w:type="dxa"/>
            <w:vAlign w:val="center"/>
          </w:tcPr>
          <w:p>
            <w:pPr>
              <w:pStyle w:val="40"/>
              <w:spacing w:beforeLines="0" w:afterLines="0" w:line="240" w:lineRule="auto"/>
              <w:ind w:left="480" w:leftChars="0" w:hanging="480" w:hangingChars="200"/>
              <w:rPr>
                <w:rFonts w:hint="default" w:ascii="Times New Roman" w:hAnsi="Times New Roman" w:eastAsia="宋体" w:cs="Times New Roman"/>
                <w:snapToGrid w:val="0"/>
                <w:color w:val="FF0000"/>
                <w:kern w:val="21"/>
                <w:sz w:val="24"/>
                <w:szCs w:val="21"/>
                <w:lang w:val="en-US" w:eastAsia="zh-CN" w:bidi="ar-SA"/>
              </w:rPr>
            </w:pPr>
          </w:p>
        </w:tc>
        <w:tc>
          <w:tcPr>
            <w:tcW w:w="1701" w:type="dxa"/>
            <w:vAlign w:val="center"/>
          </w:tcPr>
          <w:p>
            <w:pPr>
              <w:pStyle w:val="84"/>
              <w:spacing w:line="300" w:lineRule="auto"/>
              <w:rPr>
                <w:rFonts w:hint="default" w:ascii="Times New Roman" w:hAnsi="Times New Roman" w:eastAsia="宋体" w:cs="Times New Roman"/>
                <w:b/>
                <w:bCs/>
                <w:snapToGrid w:val="0"/>
                <w:color w:val="FF0000"/>
                <w:kern w:val="21"/>
                <w:sz w:val="21"/>
                <w:szCs w:val="21"/>
                <w:lang w:val="en-US" w:eastAsia="zh-CN" w:bidi="ar-SA"/>
              </w:rPr>
            </w:pPr>
            <w:r>
              <w:rPr>
                <w:rFonts w:hint="eastAsia" w:hAnsi="Times New Roman" w:cs="Times New Roman"/>
                <w:b w:val="0"/>
                <w:lang w:eastAsia="zh-CN"/>
              </w:rPr>
              <w:t>2.117t</w:t>
            </w:r>
            <w:r>
              <w:rPr>
                <w:rFonts w:hint="default" w:ascii="Times New Roman" w:hAnsi="Times New Roman" w:cs="Times New Roman"/>
                <w:b w:val="0"/>
                <w:snapToGrid w:val="0"/>
                <w:kern w:val="21"/>
              </w:rPr>
              <w:t>/a</w:t>
            </w:r>
          </w:p>
        </w:tc>
        <w:tc>
          <w:tcPr>
            <w:tcW w:w="1569"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napToGrid w:val="0"/>
                <w:kern w:val="21"/>
                <w:szCs w:val="21"/>
              </w:rPr>
            </w:pPr>
            <w:r>
              <w:rPr>
                <w:rFonts w:hint="eastAsia" w:ascii="Times New Roman" w:hAnsi="Times New Roman" w:eastAsia="宋体" w:cs="Times New Roman"/>
                <w:color w:val="000000"/>
                <w:kern w:val="0"/>
                <w:sz w:val="21"/>
                <w:szCs w:val="21"/>
                <w:lang w:val="en-US" w:eastAsia="zh-CN"/>
              </w:rPr>
              <w:t>+1.907</w:t>
            </w:r>
            <w:r>
              <w:rPr>
                <w:rFonts w:hint="default" w:ascii="Times New Roman" w:hAnsi="Times New Roman" w:cs="Times New Roman"/>
                <w:b w:val="0"/>
                <w:snapToGrid w:val="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restart"/>
            <w:vAlign w:val="center"/>
          </w:tcPr>
          <w:p>
            <w:pPr>
              <w:pStyle w:val="40"/>
              <w:spacing w:beforeLines="0" w:afterLines="0" w:line="240" w:lineRule="auto"/>
              <w:ind w:left="420" w:hanging="420"/>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废水（综合废水）</w:t>
            </w:r>
          </w:p>
        </w:tc>
        <w:tc>
          <w:tcPr>
            <w:tcW w:w="1984" w:type="dxa"/>
            <w:vAlign w:val="center"/>
          </w:tcPr>
          <w:p>
            <w:pPr>
              <w:pStyle w:val="40"/>
              <w:spacing w:beforeLines="0" w:afterLines="0" w:line="240" w:lineRule="auto"/>
              <w:ind w:left="420" w:hanging="420"/>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COD</w:t>
            </w:r>
          </w:p>
        </w:tc>
        <w:tc>
          <w:tcPr>
            <w:tcW w:w="1276"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134"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417"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560"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0.1</w:t>
            </w:r>
            <w:r>
              <w:rPr>
                <w:rFonts w:hint="default" w:ascii="Times New Roman" w:hAnsi="Times New Roman" w:cs="Times New Roman"/>
                <w:snapToGrid w:val="0"/>
                <w:kern w:val="21"/>
                <w:szCs w:val="21"/>
                <w:lang w:val="en-US" w:eastAsia="zh-CN"/>
              </w:rPr>
              <w:t>15</w:t>
            </w:r>
            <w:r>
              <w:rPr>
                <w:rFonts w:hint="default" w:ascii="Times New Roman" w:hAnsi="Times New Roman" w:cs="Times New Roman"/>
                <w:snapToGrid w:val="0"/>
                <w:kern w:val="21"/>
                <w:szCs w:val="21"/>
              </w:rPr>
              <w:t xml:space="preserve"> t/a</w:t>
            </w:r>
          </w:p>
        </w:tc>
        <w:tc>
          <w:tcPr>
            <w:tcW w:w="1559"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701" w:type="dxa"/>
            <w:vAlign w:val="center"/>
          </w:tcPr>
          <w:p>
            <w:pPr>
              <w:pStyle w:val="40"/>
              <w:spacing w:beforeLines="0" w:afterLines="0" w:line="240" w:lineRule="auto"/>
              <w:ind w:left="420" w:leftChars="0" w:hanging="420" w:hangingChars="200"/>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0.1</w:t>
            </w:r>
            <w:r>
              <w:rPr>
                <w:rFonts w:hint="default" w:ascii="Times New Roman" w:hAnsi="Times New Roman" w:cs="Times New Roman"/>
                <w:snapToGrid w:val="0"/>
                <w:kern w:val="21"/>
                <w:szCs w:val="21"/>
                <w:lang w:val="en-US" w:eastAsia="zh-CN"/>
              </w:rPr>
              <w:t>15</w:t>
            </w:r>
            <w:r>
              <w:rPr>
                <w:rFonts w:hint="default" w:ascii="Times New Roman" w:hAnsi="Times New Roman" w:cs="Times New Roman"/>
                <w:snapToGrid w:val="0"/>
                <w:kern w:val="21"/>
                <w:szCs w:val="21"/>
              </w:rPr>
              <w:t xml:space="preserve"> t/a</w:t>
            </w:r>
          </w:p>
        </w:tc>
        <w:tc>
          <w:tcPr>
            <w:tcW w:w="1569"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984" w:type="dxa"/>
            <w:vAlign w:val="center"/>
          </w:tcPr>
          <w:p>
            <w:pPr>
              <w:pStyle w:val="40"/>
              <w:spacing w:beforeLines="0" w:afterLines="0" w:line="240" w:lineRule="auto"/>
              <w:ind w:left="420" w:hanging="420"/>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NH</w:t>
            </w:r>
            <w:r>
              <w:rPr>
                <w:rFonts w:hint="default" w:ascii="Times New Roman" w:hAnsi="Times New Roman" w:cs="Times New Roman"/>
                <w:snapToGrid w:val="0"/>
                <w:kern w:val="21"/>
                <w:sz w:val="21"/>
                <w:szCs w:val="21"/>
                <w:vertAlign w:val="subscript"/>
              </w:rPr>
              <w:t>3</w:t>
            </w:r>
            <w:r>
              <w:rPr>
                <w:rFonts w:hint="default" w:ascii="Times New Roman" w:hAnsi="Times New Roman" w:cs="Times New Roman"/>
                <w:snapToGrid w:val="0"/>
                <w:kern w:val="21"/>
                <w:sz w:val="21"/>
                <w:szCs w:val="21"/>
              </w:rPr>
              <w:t>-N</w:t>
            </w:r>
          </w:p>
        </w:tc>
        <w:tc>
          <w:tcPr>
            <w:tcW w:w="1276"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134"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417"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560"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0.0</w:t>
            </w:r>
            <w:r>
              <w:rPr>
                <w:rFonts w:hint="default" w:ascii="Times New Roman" w:hAnsi="Times New Roman" w:cs="Times New Roman"/>
                <w:snapToGrid w:val="0"/>
                <w:kern w:val="21"/>
                <w:szCs w:val="21"/>
                <w:lang w:val="en-US" w:eastAsia="zh-CN"/>
              </w:rPr>
              <w:t>57</w:t>
            </w:r>
            <w:r>
              <w:rPr>
                <w:rFonts w:hint="default" w:ascii="Times New Roman" w:hAnsi="Times New Roman" w:cs="Times New Roman"/>
                <w:snapToGrid w:val="0"/>
                <w:kern w:val="21"/>
                <w:szCs w:val="21"/>
              </w:rPr>
              <w:t>t/a</w:t>
            </w:r>
          </w:p>
        </w:tc>
        <w:tc>
          <w:tcPr>
            <w:tcW w:w="1559"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701" w:type="dxa"/>
            <w:vAlign w:val="center"/>
          </w:tcPr>
          <w:p>
            <w:pPr>
              <w:pStyle w:val="40"/>
              <w:spacing w:beforeLines="0" w:afterLines="0" w:line="240" w:lineRule="auto"/>
              <w:ind w:left="420" w:leftChars="0" w:hanging="420" w:hangingChars="200"/>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0.0</w:t>
            </w:r>
            <w:r>
              <w:rPr>
                <w:rFonts w:hint="default" w:ascii="Times New Roman" w:hAnsi="Times New Roman" w:cs="Times New Roman"/>
                <w:snapToGrid w:val="0"/>
                <w:kern w:val="21"/>
                <w:szCs w:val="21"/>
                <w:lang w:val="en-US" w:eastAsia="zh-CN"/>
              </w:rPr>
              <w:t>57</w:t>
            </w:r>
            <w:r>
              <w:rPr>
                <w:rFonts w:hint="default" w:ascii="Times New Roman" w:hAnsi="Times New Roman" w:cs="Times New Roman"/>
                <w:snapToGrid w:val="0"/>
                <w:kern w:val="21"/>
                <w:szCs w:val="21"/>
              </w:rPr>
              <w:t>t/a</w:t>
            </w:r>
          </w:p>
        </w:tc>
        <w:tc>
          <w:tcPr>
            <w:tcW w:w="1569"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588" w:type="dxa"/>
            <w:vMerge w:val="continue"/>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984" w:type="dxa"/>
            <w:vAlign w:val="center"/>
          </w:tcPr>
          <w:p>
            <w:pPr>
              <w:pStyle w:val="40"/>
              <w:spacing w:beforeLines="0" w:afterLines="0" w:line="240" w:lineRule="auto"/>
              <w:ind w:left="420" w:hanging="420"/>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TP</w:t>
            </w:r>
          </w:p>
        </w:tc>
        <w:tc>
          <w:tcPr>
            <w:tcW w:w="1276"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134"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417"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560"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0.00</w:t>
            </w:r>
            <w:r>
              <w:rPr>
                <w:rFonts w:hint="default" w:ascii="Times New Roman" w:hAnsi="Times New Roman" w:cs="Times New Roman"/>
                <w:snapToGrid w:val="0"/>
                <w:kern w:val="21"/>
                <w:szCs w:val="21"/>
                <w:lang w:val="en-US" w:eastAsia="zh-CN"/>
              </w:rPr>
              <w:t>3</w:t>
            </w:r>
            <w:r>
              <w:rPr>
                <w:rFonts w:hint="default" w:ascii="Times New Roman" w:hAnsi="Times New Roman" w:cs="Times New Roman"/>
                <w:snapToGrid w:val="0"/>
                <w:kern w:val="21"/>
                <w:szCs w:val="21"/>
              </w:rPr>
              <w:t>t/a</w:t>
            </w:r>
          </w:p>
        </w:tc>
        <w:tc>
          <w:tcPr>
            <w:tcW w:w="1559"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701" w:type="dxa"/>
            <w:vAlign w:val="center"/>
          </w:tcPr>
          <w:p>
            <w:pPr>
              <w:pStyle w:val="40"/>
              <w:spacing w:beforeLines="0" w:afterLines="0" w:line="240" w:lineRule="auto"/>
              <w:ind w:left="420" w:leftChars="0" w:hanging="420" w:hangingChars="200"/>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0.00</w:t>
            </w:r>
            <w:r>
              <w:rPr>
                <w:rFonts w:hint="default" w:ascii="Times New Roman" w:hAnsi="Times New Roman" w:cs="Times New Roman"/>
                <w:snapToGrid w:val="0"/>
                <w:kern w:val="21"/>
                <w:szCs w:val="21"/>
                <w:lang w:val="en-US" w:eastAsia="zh-CN"/>
              </w:rPr>
              <w:t>3</w:t>
            </w:r>
            <w:r>
              <w:rPr>
                <w:rFonts w:hint="default" w:ascii="Times New Roman" w:hAnsi="Times New Roman" w:cs="Times New Roman"/>
                <w:snapToGrid w:val="0"/>
                <w:kern w:val="21"/>
                <w:szCs w:val="21"/>
              </w:rPr>
              <w:t>t/a</w:t>
            </w:r>
          </w:p>
        </w:tc>
        <w:tc>
          <w:tcPr>
            <w:tcW w:w="1569"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588"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一般工业</w:t>
            </w:r>
          </w:p>
          <w:p>
            <w:pPr>
              <w:pStyle w:val="40"/>
              <w:spacing w:beforeLines="0" w:afterLines="0" w:line="240" w:lineRule="auto"/>
              <w:ind w:left="420" w:hanging="420"/>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固体废物</w:t>
            </w:r>
          </w:p>
        </w:tc>
        <w:tc>
          <w:tcPr>
            <w:tcW w:w="198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生活垃圾</w:t>
            </w:r>
          </w:p>
        </w:tc>
        <w:tc>
          <w:tcPr>
            <w:tcW w:w="1276" w:type="dxa"/>
            <w:vAlign w:val="center"/>
          </w:tcPr>
          <w:p>
            <w:pPr>
              <w:adjustRightInd w:val="0"/>
              <w:snapToGrid w:val="0"/>
              <w:jc w:val="center"/>
              <w:rPr>
                <w:rFonts w:hint="default" w:ascii="Times New Roman" w:hAnsi="Times New Roman" w:cs="Times New Roman"/>
                <w:szCs w:val="21"/>
              </w:rPr>
            </w:pPr>
          </w:p>
        </w:tc>
        <w:tc>
          <w:tcPr>
            <w:tcW w:w="1134"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417"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560" w:type="dxa"/>
            <w:vAlign w:val="center"/>
          </w:tcPr>
          <w:p>
            <w:pPr>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1.725t/a</w:t>
            </w:r>
          </w:p>
        </w:tc>
        <w:tc>
          <w:tcPr>
            <w:tcW w:w="1559"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701" w:type="dxa"/>
            <w:vAlign w:val="center"/>
          </w:tcPr>
          <w:p>
            <w:pPr>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1.725t/a</w:t>
            </w:r>
          </w:p>
        </w:tc>
        <w:tc>
          <w:tcPr>
            <w:tcW w:w="1569" w:type="dxa"/>
            <w:vAlign w:val="center"/>
          </w:tcPr>
          <w:p>
            <w:pPr>
              <w:jc w:val="center"/>
              <w:rPr>
                <w:rFonts w:hint="default"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88" w:type="dxa"/>
            <w:vMerge w:val="restart"/>
            <w:vAlign w:val="center"/>
          </w:tcPr>
          <w:p>
            <w:pPr>
              <w:pStyle w:val="40"/>
              <w:spacing w:beforeLines="0" w:afterLines="0" w:line="240" w:lineRule="auto"/>
              <w:ind w:left="420" w:hanging="420"/>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危险废物</w:t>
            </w:r>
          </w:p>
        </w:tc>
        <w:tc>
          <w:tcPr>
            <w:tcW w:w="198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废机油及桶</w:t>
            </w:r>
          </w:p>
        </w:tc>
        <w:tc>
          <w:tcPr>
            <w:tcW w:w="1276" w:type="dxa"/>
            <w:vAlign w:val="center"/>
          </w:tcPr>
          <w:p>
            <w:pPr>
              <w:adjustRightInd w:val="0"/>
              <w:snapToGrid w:val="0"/>
              <w:jc w:val="center"/>
              <w:rPr>
                <w:rFonts w:hint="default" w:ascii="Times New Roman" w:hAnsi="Times New Roman" w:cs="Times New Roman"/>
                <w:szCs w:val="21"/>
              </w:rPr>
            </w:pPr>
          </w:p>
        </w:tc>
        <w:tc>
          <w:tcPr>
            <w:tcW w:w="1134"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417"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56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0.01</w:t>
            </w:r>
            <w:r>
              <w:rPr>
                <w:rFonts w:hint="default" w:ascii="Times New Roman" w:hAnsi="Times New Roman" w:cs="Times New Roman"/>
                <w:snapToGrid w:val="0"/>
                <w:kern w:val="21"/>
                <w:szCs w:val="21"/>
              </w:rPr>
              <w:t>t/a</w:t>
            </w:r>
          </w:p>
        </w:tc>
        <w:tc>
          <w:tcPr>
            <w:tcW w:w="1559" w:type="dxa"/>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701" w:type="dxa"/>
            <w:vAlign w:val="center"/>
          </w:tcPr>
          <w:p>
            <w:pPr>
              <w:jc w:val="center"/>
              <w:rPr>
                <w:rFonts w:hint="default" w:ascii="Times New Roman" w:hAnsi="Times New Roman" w:cs="Times New Roman"/>
              </w:rPr>
            </w:pPr>
            <w:r>
              <w:rPr>
                <w:rFonts w:hint="default" w:ascii="Times New Roman" w:hAnsi="Times New Roman" w:cs="Times New Roman"/>
                <w:szCs w:val="21"/>
              </w:rPr>
              <w:t>0.01</w:t>
            </w:r>
            <w:r>
              <w:rPr>
                <w:rFonts w:hint="default" w:ascii="Times New Roman" w:hAnsi="Times New Roman" w:cs="Times New Roman"/>
                <w:snapToGrid w:val="0"/>
                <w:kern w:val="21"/>
                <w:szCs w:val="21"/>
              </w:rPr>
              <w:t>t/a</w:t>
            </w:r>
          </w:p>
        </w:tc>
        <w:tc>
          <w:tcPr>
            <w:tcW w:w="1569" w:type="dxa"/>
            <w:vAlign w:val="center"/>
          </w:tcPr>
          <w:p>
            <w:pPr>
              <w:jc w:val="center"/>
              <w:rPr>
                <w:rFonts w:hint="default"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588" w:type="dxa"/>
            <w:vMerge w:val="continue"/>
            <w:vAlign w:val="center"/>
          </w:tcPr>
          <w:p>
            <w:pPr>
              <w:pStyle w:val="40"/>
              <w:spacing w:beforeLines="0" w:afterLines="0" w:line="240" w:lineRule="auto"/>
              <w:ind w:left="420" w:hanging="420"/>
              <w:rPr>
                <w:rFonts w:hint="default" w:ascii="Times New Roman" w:hAnsi="Times New Roman" w:cs="Times New Roman"/>
                <w:snapToGrid w:val="0"/>
                <w:kern w:val="21"/>
                <w:szCs w:val="21"/>
              </w:rPr>
            </w:pPr>
          </w:p>
        </w:tc>
        <w:tc>
          <w:tcPr>
            <w:tcW w:w="1984"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废含油手套抹布</w:t>
            </w:r>
          </w:p>
        </w:tc>
        <w:tc>
          <w:tcPr>
            <w:tcW w:w="1276"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p>
        </w:tc>
        <w:tc>
          <w:tcPr>
            <w:tcW w:w="1134" w:type="dxa"/>
            <w:vAlign w:val="center"/>
          </w:tcPr>
          <w:p>
            <w:pPr>
              <w:pStyle w:val="40"/>
              <w:spacing w:beforeLines="0" w:afterLines="0" w:line="240" w:lineRule="auto"/>
              <w:ind w:left="480" w:leftChars="0" w:hanging="480" w:hangingChars="200"/>
              <w:rPr>
                <w:rFonts w:hint="default" w:ascii="Times New Roman" w:hAnsi="Times New Roman" w:eastAsia="宋体" w:cs="Times New Roman"/>
                <w:snapToGrid w:val="0"/>
                <w:kern w:val="21"/>
                <w:sz w:val="24"/>
                <w:szCs w:val="21"/>
                <w:lang w:val="en-US" w:eastAsia="zh-CN" w:bidi="ar-SA"/>
              </w:rPr>
            </w:pPr>
          </w:p>
        </w:tc>
        <w:tc>
          <w:tcPr>
            <w:tcW w:w="1417" w:type="dxa"/>
            <w:vAlign w:val="center"/>
          </w:tcPr>
          <w:p>
            <w:pPr>
              <w:pStyle w:val="40"/>
              <w:spacing w:beforeLines="0" w:afterLines="0" w:line="240" w:lineRule="auto"/>
              <w:ind w:left="480" w:leftChars="0" w:hanging="480" w:hangingChars="200"/>
              <w:rPr>
                <w:rFonts w:hint="default" w:ascii="Times New Roman" w:hAnsi="Times New Roman" w:eastAsia="宋体" w:cs="Times New Roman"/>
                <w:snapToGrid w:val="0"/>
                <w:kern w:val="21"/>
                <w:sz w:val="24"/>
                <w:szCs w:val="21"/>
                <w:lang w:val="en-US" w:eastAsia="zh-CN" w:bidi="ar-SA"/>
              </w:rPr>
            </w:pPr>
          </w:p>
        </w:tc>
        <w:tc>
          <w:tcPr>
            <w:tcW w:w="156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0.01</w:t>
            </w:r>
            <w:r>
              <w:rPr>
                <w:rFonts w:hint="default" w:ascii="Times New Roman" w:hAnsi="Times New Roman" w:cs="Times New Roman"/>
                <w:snapToGrid w:val="0"/>
                <w:kern w:val="21"/>
                <w:szCs w:val="21"/>
              </w:rPr>
              <w:t>t/a</w:t>
            </w:r>
          </w:p>
        </w:tc>
        <w:tc>
          <w:tcPr>
            <w:tcW w:w="1559" w:type="dxa"/>
            <w:vAlign w:val="center"/>
          </w:tcPr>
          <w:p>
            <w:pPr>
              <w:pStyle w:val="40"/>
              <w:spacing w:beforeLines="0" w:afterLines="0" w:line="240" w:lineRule="auto"/>
              <w:ind w:left="480" w:leftChars="0" w:hanging="480" w:hangingChars="200"/>
              <w:rPr>
                <w:rFonts w:hint="default" w:ascii="Times New Roman" w:hAnsi="Times New Roman" w:eastAsia="宋体" w:cs="Times New Roman"/>
                <w:snapToGrid w:val="0"/>
                <w:kern w:val="21"/>
                <w:sz w:val="24"/>
                <w:szCs w:val="21"/>
                <w:lang w:val="en-US" w:eastAsia="zh-CN" w:bidi="ar-SA"/>
              </w:rPr>
            </w:pPr>
          </w:p>
        </w:tc>
        <w:tc>
          <w:tcPr>
            <w:tcW w:w="1701" w:type="dxa"/>
            <w:vAlign w:val="center"/>
          </w:tcPr>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szCs w:val="21"/>
              </w:rPr>
              <w:t>0.01</w:t>
            </w:r>
            <w:r>
              <w:rPr>
                <w:rFonts w:hint="default" w:ascii="Times New Roman" w:hAnsi="Times New Roman" w:cs="Times New Roman"/>
                <w:snapToGrid w:val="0"/>
                <w:kern w:val="21"/>
                <w:szCs w:val="21"/>
              </w:rPr>
              <w:t>t/a</w:t>
            </w:r>
          </w:p>
        </w:tc>
        <w:tc>
          <w:tcPr>
            <w:tcW w:w="1569" w:type="dxa"/>
            <w:vAlign w:val="center"/>
          </w:tcPr>
          <w:p>
            <w:pPr>
              <w:jc w:val="center"/>
              <w:rPr>
                <w:rFonts w:hint="default" w:ascii="Times New Roman" w:hAnsi="Times New Roman" w:cs="Times New Roman"/>
                <w:szCs w:val="21"/>
              </w:rPr>
            </w:pPr>
          </w:p>
        </w:tc>
      </w:tr>
    </w:tbl>
    <w:p>
      <w:pPr>
        <w:pStyle w:val="40"/>
        <w:spacing w:before="192" w:beforeLines="80" w:after="24"/>
        <w:ind w:left="420" w:hanging="420"/>
        <w:jc w:val="left"/>
        <w:rPr>
          <w:rFonts w:hint="default" w:ascii="Times New Roman" w:hAnsi="Times New Roman" w:eastAsia="黑体" w:cs="Times New Roman"/>
        </w:rPr>
      </w:pPr>
      <w:r>
        <w:rPr>
          <w:rFonts w:hint="default" w:ascii="Times New Roman" w:hAnsi="Times New Roman" w:cs="Times New Roman"/>
          <w:snapToGrid w:val="0"/>
          <w:kern w:val="21"/>
          <w:szCs w:val="21"/>
        </w:rPr>
        <w:t>注：</w:t>
      </w:r>
      <w:r>
        <w:rPr>
          <w:rFonts w:hint="default" w:ascii="Times New Roman" w:hAnsi="Times New Roman" w:cs="Times New Roman"/>
          <w:snapToGrid w:val="0"/>
          <w:spacing w:val="-16"/>
          <w:kern w:val="21"/>
          <w:szCs w:val="21"/>
        </w:rPr>
        <w:fldChar w:fldCharType="begin"/>
      </w:r>
      <w:r>
        <w:rPr>
          <w:rFonts w:hint="default" w:ascii="Times New Roman" w:hAnsi="Times New Roman" w:cs="Times New Roman"/>
          <w:snapToGrid w:val="0"/>
          <w:spacing w:val="-16"/>
          <w:kern w:val="21"/>
          <w:szCs w:val="21"/>
        </w:rPr>
        <w:instrText xml:space="preserve"> = 6 \* GB3 \* MERGEFORMAT </w:instrText>
      </w:r>
      <w:r>
        <w:rPr>
          <w:rFonts w:hint="default" w:ascii="Times New Roman" w:hAnsi="Times New Roman" w:cs="Times New Roman"/>
          <w:snapToGrid w:val="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spacing w:val="-16"/>
          <w:kern w:val="21"/>
          <w:szCs w:val="21"/>
        </w:rPr>
        <w:fldChar w:fldCharType="end"/>
      </w:r>
      <w:r>
        <w:rPr>
          <w:rFonts w:hint="default" w:ascii="Times New Roman" w:hAnsi="Times New Roman" w:cs="Times New Roman"/>
          <w:snapToGrid w:val="0"/>
          <w:spacing w:val="-1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1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3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③</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4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④</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16"/>
          <w:kern w:val="21"/>
          <w:szCs w:val="21"/>
        </w:rPr>
        <w:fldChar w:fldCharType="begin"/>
      </w:r>
      <w:r>
        <w:rPr>
          <w:rFonts w:hint="default" w:ascii="Times New Roman" w:hAnsi="Times New Roman" w:cs="Times New Roman"/>
          <w:snapToGrid w:val="0"/>
          <w:spacing w:val="-16"/>
          <w:kern w:val="21"/>
          <w:szCs w:val="21"/>
        </w:rPr>
        <w:instrText xml:space="preserve"> = 5 \* GB3 \* MERGEFORMAT </w:instrText>
      </w:r>
      <w:r>
        <w:rPr>
          <w:rFonts w:hint="default" w:ascii="Times New Roman" w:hAnsi="Times New Roman" w:cs="Times New Roman"/>
          <w:snapToGrid w:val="0"/>
          <w:spacing w:val="-16"/>
          <w:kern w:val="21"/>
          <w:szCs w:val="21"/>
        </w:rPr>
        <w:fldChar w:fldCharType="separate"/>
      </w:r>
      <w:r>
        <w:rPr>
          <w:rFonts w:hint="default" w:ascii="Times New Roman" w:hAnsi="Times New Roman" w:cs="Times New Roman"/>
          <w:szCs w:val="21"/>
        </w:rPr>
        <w:t>⑤</w:t>
      </w:r>
      <w:r>
        <w:rPr>
          <w:rFonts w:hint="default" w:ascii="Times New Roman" w:hAnsi="Times New Roman" w:cs="Times New Roman"/>
          <w:snapToGrid w:val="0"/>
          <w:spacing w:val="-16"/>
          <w:kern w:val="21"/>
          <w:szCs w:val="21"/>
        </w:rPr>
        <w:fldChar w:fldCharType="end"/>
      </w:r>
      <w:r>
        <w:rPr>
          <w:rFonts w:hint="default" w:ascii="Times New Roman" w:hAnsi="Times New Roman" w:cs="Times New Roman"/>
          <w:snapToGrid w:val="0"/>
          <w:spacing w:val="-1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7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⑦</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16"/>
          <w:kern w:val="21"/>
          <w:szCs w:val="21"/>
        </w:rPr>
        <w:fldChar w:fldCharType="begin"/>
      </w:r>
      <w:r>
        <w:rPr>
          <w:rFonts w:hint="default" w:ascii="Times New Roman" w:hAnsi="Times New Roman" w:cs="Times New Roman"/>
          <w:snapToGrid w:val="0"/>
          <w:spacing w:val="-16"/>
          <w:kern w:val="21"/>
          <w:szCs w:val="21"/>
        </w:rPr>
        <w:instrText xml:space="preserve"> = 6 \* GB3 \* MERGEFORMAT </w:instrText>
      </w:r>
      <w:r>
        <w:rPr>
          <w:rFonts w:hint="default" w:ascii="Times New Roman" w:hAnsi="Times New Roman" w:cs="Times New Roman"/>
          <w:snapToGrid w:val="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spacing w:val="-16"/>
          <w:kern w:val="21"/>
          <w:szCs w:val="21"/>
        </w:rPr>
        <w:fldChar w:fldCharType="end"/>
      </w:r>
      <w:r>
        <w:rPr>
          <w:rFonts w:hint="default" w:ascii="Times New Roman" w:hAnsi="Times New Roman" w:cs="Times New Roman"/>
          <w:snapToGrid w:val="0"/>
          <w:spacing w:val="-1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1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spacing w:val="-6"/>
          <w:kern w:val="21"/>
          <w:szCs w:val="21"/>
        </w:rPr>
        <w:fldChar w:fldCharType="end"/>
      </w: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704020202020204"/>
    <w:charset w:val="00"/>
    <w:family w:val="roman"/>
    <w:pitch w:val="default"/>
    <w:sig w:usb0="00000000" w:usb1="00000000" w:usb2="00000000" w:usb3="00000000" w:csb0="00006F00" w:csb1="64006500"/>
  </w:font>
  <w:font w:name="TimesNewRomanPSMT">
    <w:altName w:val="Times New Roman"/>
    <w:panose1 w:val="00000000000000000000"/>
    <w:charset w:val="00"/>
    <w:family w:val="roman"/>
    <w:pitch w:val="default"/>
    <w:sig w:usb0="00000000" w:usb1="00000000" w:usb2="00000000" w:usb3="00000000" w:csb0="00000001" w:csb1="00000000"/>
  </w:font>
  <w:font w:name="方正小标宋_GBK">
    <w:altName w:val="微软雅黑"/>
    <w:panose1 w:val="02000000000000000000"/>
    <w:charset w:val="86"/>
    <w:family w:val="script"/>
    <w:pitch w:val="default"/>
    <w:sig w:usb0="00000000" w:usb1="00000000" w:usb2="00082016" w:usb3="00000000" w:csb0="00040001"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 PAGE   \* MERGEFORMAT </w:instrText>
    </w:r>
    <w:r>
      <w:fldChar w:fldCharType="separate"/>
    </w:r>
    <w:r>
      <w:rPr>
        <w:lang w:val="zh-CN"/>
      </w:rPr>
      <w:t>24</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2E41B4"/>
    <w:multiLevelType w:val="singleLevel"/>
    <w:tmpl w:val="852E41B4"/>
    <w:lvl w:ilvl="0" w:tentative="0">
      <w:start w:val="1"/>
      <w:numFmt w:val="decimal"/>
      <w:suff w:val="nothing"/>
      <w:lvlText w:val="%1、"/>
      <w:lvlJc w:val="left"/>
    </w:lvl>
  </w:abstractNum>
  <w:abstractNum w:abstractNumId="1">
    <w:nsid w:val="8C0AFDF0"/>
    <w:multiLevelType w:val="singleLevel"/>
    <w:tmpl w:val="8C0AFDF0"/>
    <w:lvl w:ilvl="0" w:tentative="0">
      <w:start w:val="1"/>
      <w:numFmt w:val="chineseCounting"/>
      <w:suff w:val="nothing"/>
      <w:lvlText w:val="%1、"/>
      <w:lvlJc w:val="left"/>
      <w:rPr>
        <w:rFonts w:hint="eastAsia"/>
      </w:rPr>
    </w:lvl>
  </w:abstractNum>
  <w:abstractNum w:abstractNumId="2">
    <w:nsid w:val="A01754A1"/>
    <w:multiLevelType w:val="singleLevel"/>
    <w:tmpl w:val="A01754A1"/>
    <w:lvl w:ilvl="0" w:tentative="0">
      <w:start w:val="1"/>
      <w:numFmt w:val="decimal"/>
      <w:suff w:val="nothing"/>
      <w:lvlText w:val="（%1）"/>
      <w:lvlJc w:val="left"/>
      <w:pPr>
        <w:ind w:left="148"/>
      </w:pPr>
    </w:lvl>
  </w:abstractNum>
  <w:abstractNum w:abstractNumId="3">
    <w:nsid w:val="A95EFBCC"/>
    <w:multiLevelType w:val="singleLevel"/>
    <w:tmpl w:val="A95EFBCC"/>
    <w:lvl w:ilvl="0" w:tentative="0">
      <w:start w:val="1"/>
      <w:numFmt w:val="decimal"/>
      <w:suff w:val="nothing"/>
      <w:lvlText w:val="%1、"/>
      <w:lvlJc w:val="left"/>
      <w:pPr>
        <w:ind w:left="148"/>
      </w:pPr>
    </w:lvl>
  </w:abstractNum>
  <w:abstractNum w:abstractNumId="4">
    <w:nsid w:val="18CE59B0"/>
    <w:multiLevelType w:val="multilevel"/>
    <w:tmpl w:val="18CE59B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8E0F6B2"/>
    <w:multiLevelType w:val="singleLevel"/>
    <w:tmpl w:val="78E0F6B2"/>
    <w:lvl w:ilvl="0" w:tentative="0">
      <w:start w:val="2"/>
      <w:numFmt w:val="decimal"/>
      <w:suff w:val="nothing"/>
      <w:lvlText w:val="（%1）"/>
      <w:lvlJc w:val="left"/>
      <w:pPr>
        <w:ind w:left="-2"/>
      </w:p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yMTkwMTk1NWMzMGJlOGQ0Y2ZiMTBlMzQ2ZTZiOGUifQ=="/>
  </w:docVars>
  <w:rsids>
    <w:rsidRoot w:val="00172A27"/>
    <w:rsid w:val="000009C9"/>
    <w:rsid w:val="00000E88"/>
    <w:rsid w:val="00004347"/>
    <w:rsid w:val="00005E92"/>
    <w:rsid w:val="000060B3"/>
    <w:rsid w:val="00014C6E"/>
    <w:rsid w:val="00016A78"/>
    <w:rsid w:val="00025504"/>
    <w:rsid w:val="00027FD8"/>
    <w:rsid w:val="00030876"/>
    <w:rsid w:val="00031E40"/>
    <w:rsid w:val="000344E8"/>
    <w:rsid w:val="00035F44"/>
    <w:rsid w:val="00041481"/>
    <w:rsid w:val="00041676"/>
    <w:rsid w:val="0004364B"/>
    <w:rsid w:val="000442F3"/>
    <w:rsid w:val="00047870"/>
    <w:rsid w:val="00052582"/>
    <w:rsid w:val="00061A4C"/>
    <w:rsid w:val="00061B1F"/>
    <w:rsid w:val="00066C8C"/>
    <w:rsid w:val="000733C4"/>
    <w:rsid w:val="00074783"/>
    <w:rsid w:val="00074901"/>
    <w:rsid w:val="000776F0"/>
    <w:rsid w:val="0008070B"/>
    <w:rsid w:val="000810AC"/>
    <w:rsid w:val="00081A02"/>
    <w:rsid w:val="00081A34"/>
    <w:rsid w:val="00082231"/>
    <w:rsid w:val="00082EDC"/>
    <w:rsid w:val="00083072"/>
    <w:rsid w:val="000872D0"/>
    <w:rsid w:val="00092D38"/>
    <w:rsid w:val="0009377B"/>
    <w:rsid w:val="000A20C9"/>
    <w:rsid w:val="000A4240"/>
    <w:rsid w:val="000A529C"/>
    <w:rsid w:val="000B058F"/>
    <w:rsid w:val="000B1810"/>
    <w:rsid w:val="000B257D"/>
    <w:rsid w:val="000B4467"/>
    <w:rsid w:val="000B4DB9"/>
    <w:rsid w:val="000B5969"/>
    <w:rsid w:val="000B5F29"/>
    <w:rsid w:val="000C0006"/>
    <w:rsid w:val="000C09AC"/>
    <w:rsid w:val="000C27B9"/>
    <w:rsid w:val="000C4A30"/>
    <w:rsid w:val="000C546C"/>
    <w:rsid w:val="000C767F"/>
    <w:rsid w:val="000D1D0C"/>
    <w:rsid w:val="000D2541"/>
    <w:rsid w:val="000D2764"/>
    <w:rsid w:val="000D47C8"/>
    <w:rsid w:val="000D5A44"/>
    <w:rsid w:val="000D7116"/>
    <w:rsid w:val="000E1867"/>
    <w:rsid w:val="000E1C87"/>
    <w:rsid w:val="000E3ED2"/>
    <w:rsid w:val="000F4EE0"/>
    <w:rsid w:val="00103F44"/>
    <w:rsid w:val="00116CD4"/>
    <w:rsid w:val="00117184"/>
    <w:rsid w:val="0011771A"/>
    <w:rsid w:val="00127A06"/>
    <w:rsid w:val="00127B15"/>
    <w:rsid w:val="00130998"/>
    <w:rsid w:val="00131F42"/>
    <w:rsid w:val="001357F1"/>
    <w:rsid w:val="00135A6F"/>
    <w:rsid w:val="00135E84"/>
    <w:rsid w:val="00140FA8"/>
    <w:rsid w:val="00142246"/>
    <w:rsid w:val="00142FEB"/>
    <w:rsid w:val="00143A2D"/>
    <w:rsid w:val="00145A41"/>
    <w:rsid w:val="00146953"/>
    <w:rsid w:val="0015040F"/>
    <w:rsid w:val="00151675"/>
    <w:rsid w:val="00157435"/>
    <w:rsid w:val="001604A4"/>
    <w:rsid w:val="00160A8C"/>
    <w:rsid w:val="0017278E"/>
    <w:rsid w:val="0017504D"/>
    <w:rsid w:val="0017671A"/>
    <w:rsid w:val="00177422"/>
    <w:rsid w:val="00177E25"/>
    <w:rsid w:val="00184590"/>
    <w:rsid w:val="00186E23"/>
    <w:rsid w:val="001870D1"/>
    <w:rsid w:val="0018781E"/>
    <w:rsid w:val="00187FDE"/>
    <w:rsid w:val="0019262D"/>
    <w:rsid w:val="00197B6D"/>
    <w:rsid w:val="001A1B35"/>
    <w:rsid w:val="001A48A2"/>
    <w:rsid w:val="001A6F61"/>
    <w:rsid w:val="001B72B8"/>
    <w:rsid w:val="001B7739"/>
    <w:rsid w:val="001C69B3"/>
    <w:rsid w:val="001C7B60"/>
    <w:rsid w:val="001D5595"/>
    <w:rsid w:val="001D5768"/>
    <w:rsid w:val="001D7874"/>
    <w:rsid w:val="001D7F22"/>
    <w:rsid w:val="001E1B2E"/>
    <w:rsid w:val="001E4999"/>
    <w:rsid w:val="001F0F17"/>
    <w:rsid w:val="001F3347"/>
    <w:rsid w:val="001F374F"/>
    <w:rsid w:val="001F43EE"/>
    <w:rsid w:val="001F57E6"/>
    <w:rsid w:val="001F69E4"/>
    <w:rsid w:val="0020061C"/>
    <w:rsid w:val="00201699"/>
    <w:rsid w:val="00211751"/>
    <w:rsid w:val="002125B4"/>
    <w:rsid w:val="002155B8"/>
    <w:rsid w:val="00215DE9"/>
    <w:rsid w:val="0022102A"/>
    <w:rsid w:val="002246B4"/>
    <w:rsid w:val="00224839"/>
    <w:rsid w:val="002249B2"/>
    <w:rsid w:val="00226574"/>
    <w:rsid w:val="002278EC"/>
    <w:rsid w:val="00227F4C"/>
    <w:rsid w:val="0023280E"/>
    <w:rsid w:val="00233E43"/>
    <w:rsid w:val="002377D1"/>
    <w:rsid w:val="002436C8"/>
    <w:rsid w:val="00243EFD"/>
    <w:rsid w:val="002448D2"/>
    <w:rsid w:val="002461B8"/>
    <w:rsid w:val="002469DA"/>
    <w:rsid w:val="002506BC"/>
    <w:rsid w:val="0025314B"/>
    <w:rsid w:val="002535BB"/>
    <w:rsid w:val="00254345"/>
    <w:rsid w:val="00256347"/>
    <w:rsid w:val="00260BC0"/>
    <w:rsid w:val="00261F32"/>
    <w:rsid w:val="002637B7"/>
    <w:rsid w:val="00264557"/>
    <w:rsid w:val="002702B4"/>
    <w:rsid w:val="0027289C"/>
    <w:rsid w:val="00276D8A"/>
    <w:rsid w:val="00277476"/>
    <w:rsid w:val="002805AB"/>
    <w:rsid w:val="00284204"/>
    <w:rsid w:val="00285B08"/>
    <w:rsid w:val="00291773"/>
    <w:rsid w:val="00295746"/>
    <w:rsid w:val="002A168C"/>
    <w:rsid w:val="002A3DC7"/>
    <w:rsid w:val="002A501F"/>
    <w:rsid w:val="002A5981"/>
    <w:rsid w:val="002B1749"/>
    <w:rsid w:val="002B49E2"/>
    <w:rsid w:val="002B57B3"/>
    <w:rsid w:val="002B5A75"/>
    <w:rsid w:val="002B6F8E"/>
    <w:rsid w:val="002B7B00"/>
    <w:rsid w:val="002B7C44"/>
    <w:rsid w:val="002C260B"/>
    <w:rsid w:val="002C2B17"/>
    <w:rsid w:val="002C5220"/>
    <w:rsid w:val="002C5C08"/>
    <w:rsid w:val="002C6565"/>
    <w:rsid w:val="002D2546"/>
    <w:rsid w:val="002D3DD0"/>
    <w:rsid w:val="002D5441"/>
    <w:rsid w:val="002D7090"/>
    <w:rsid w:val="002E1F3A"/>
    <w:rsid w:val="002E298A"/>
    <w:rsid w:val="002E7CE2"/>
    <w:rsid w:val="002F62A7"/>
    <w:rsid w:val="00300641"/>
    <w:rsid w:val="00301978"/>
    <w:rsid w:val="0030332C"/>
    <w:rsid w:val="003051C2"/>
    <w:rsid w:val="00312296"/>
    <w:rsid w:val="00314F0E"/>
    <w:rsid w:val="0031577D"/>
    <w:rsid w:val="00321D8E"/>
    <w:rsid w:val="00325928"/>
    <w:rsid w:val="00332863"/>
    <w:rsid w:val="0033684D"/>
    <w:rsid w:val="00337B42"/>
    <w:rsid w:val="00337DBE"/>
    <w:rsid w:val="00341B42"/>
    <w:rsid w:val="0034237C"/>
    <w:rsid w:val="0034348F"/>
    <w:rsid w:val="00345A56"/>
    <w:rsid w:val="003462C4"/>
    <w:rsid w:val="00350AD8"/>
    <w:rsid w:val="0035630A"/>
    <w:rsid w:val="00356653"/>
    <w:rsid w:val="00356914"/>
    <w:rsid w:val="0035743F"/>
    <w:rsid w:val="00357BE2"/>
    <w:rsid w:val="00360616"/>
    <w:rsid w:val="0036170C"/>
    <w:rsid w:val="00363ECF"/>
    <w:rsid w:val="00366E0F"/>
    <w:rsid w:val="00376DEA"/>
    <w:rsid w:val="00377076"/>
    <w:rsid w:val="00381A72"/>
    <w:rsid w:val="00384503"/>
    <w:rsid w:val="00384676"/>
    <w:rsid w:val="00384B9C"/>
    <w:rsid w:val="003871AB"/>
    <w:rsid w:val="00390857"/>
    <w:rsid w:val="00393841"/>
    <w:rsid w:val="00395C31"/>
    <w:rsid w:val="003A1B0C"/>
    <w:rsid w:val="003A48FB"/>
    <w:rsid w:val="003A4BF3"/>
    <w:rsid w:val="003A6785"/>
    <w:rsid w:val="003A755A"/>
    <w:rsid w:val="003B067F"/>
    <w:rsid w:val="003B3920"/>
    <w:rsid w:val="003B420D"/>
    <w:rsid w:val="003B4745"/>
    <w:rsid w:val="003C6C16"/>
    <w:rsid w:val="003C7139"/>
    <w:rsid w:val="003D0404"/>
    <w:rsid w:val="003D2C90"/>
    <w:rsid w:val="003D4CEA"/>
    <w:rsid w:val="003D5321"/>
    <w:rsid w:val="003D69A3"/>
    <w:rsid w:val="003D72AC"/>
    <w:rsid w:val="003D794D"/>
    <w:rsid w:val="003E2ECB"/>
    <w:rsid w:val="003E3058"/>
    <w:rsid w:val="003E4338"/>
    <w:rsid w:val="003E56B3"/>
    <w:rsid w:val="003E76A9"/>
    <w:rsid w:val="003F0809"/>
    <w:rsid w:val="003F18A5"/>
    <w:rsid w:val="003F6A8C"/>
    <w:rsid w:val="003F755C"/>
    <w:rsid w:val="004021C1"/>
    <w:rsid w:val="00406F01"/>
    <w:rsid w:val="00406FD3"/>
    <w:rsid w:val="00412487"/>
    <w:rsid w:val="00413632"/>
    <w:rsid w:val="00414233"/>
    <w:rsid w:val="00416D50"/>
    <w:rsid w:val="00416FD5"/>
    <w:rsid w:val="00417772"/>
    <w:rsid w:val="00417C0A"/>
    <w:rsid w:val="00420E6A"/>
    <w:rsid w:val="0042158F"/>
    <w:rsid w:val="00421FBA"/>
    <w:rsid w:val="00422026"/>
    <w:rsid w:val="0042458E"/>
    <w:rsid w:val="00425A9E"/>
    <w:rsid w:val="004262CD"/>
    <w:rsid w:val="00426D6B"/>
    <w:rsid w:val="00426E2E"/>
    <w:rsid w:val="00431E6C"/>
    <w:rsid w:val="00433A07"/>
    <w:rsid w:val="00433CE7"/>
    <w:rsid w:val="004359F7"/>
    <w:rsid w:val="00440D45"/>
    <w:rsid w:val="00441A51"/>
    <w:rsid w:val="00442972"/>
    <w:rsid w:val="00452738"/>
    <w:rsid w:val="00454A0A"/>
    <w:rsid w:val="00456091"/>
    <w:rsid w:val="0045663E"/>
    <w:rsid w:val="00461451"/>
    <w:rsid w:val="00462EC4"/>
    <w:rsid w:val="00466321"/>
    <w:rsid w:val="00475593"/>
    <w:rsid w:val="00476BCC"/>
    <w:rsid w:val="00484B9B"/>
    <w:rsid w:val="004855F6"/>
    <w:rsid w:val="00486013"/>
    <w:rsid w:val="0048661E"/>
    <w:rsid w:val="00492B34"/>
    <w:rsid w:val="004930AC"/>
    <w:rsid w:val="00494670"/>
    <w:rsid w:val="0049773C"/>
    <w:rsid w:val="004A3823"/>
    <w:rsid w:val="004A6554"/>
    <w:rsid w:val="004A715C"/>
    <w:rsid w:val="004B49B9"/>
    <w:rsid w:val="004B6A77"/>
    <w:rsid w:val="004C04C6"/>
    <w:rsid w:val="004C24C1"/>
    <w:rsid w:val="004C6642"/>
    <w:rsid w:val="004C7AA2"/>
    <w:rsid w:val="004D07DF"/>
    <w:rsid w:val="004E6946"/>
    <w:rsid w:val="004F1AD8"/>
    <w:rsid w:val="004F4C10"/>
    <w:rsid w:val="004F54FC"/>
    <w:rsid w:val="004F79EC"/>
    <w:rsid w:val="004F7D45"/>
    <w:rsid w:val="004F7FDC"/>
    <w:rsid w:val="005039CB"/>
    <w:rsid w:val="00505286"/>
    <w:rsid w:val="0050558F"/>
    <w:rsid w:val="00506286"/>
    <w:rsid w:val="00510813"/>
    <w:rsid w:val="00511412"/>
    <w:rsid w:val="00511990"/>
    <w:rsid w:val="00511DE0"/>
    <w:rsid w:val="00514422"/>
    <w:rsid w:val="00514870"/>
    <w:rsid w:val="00514B9B"/>
    <w:rsid w:val="00514D11"/>
    <w:rsid w:val="00517F02"/>
    <w:rsid w:val="00522403"/>
    <w:rsid w:val="00524303"/>
    <w:rsid w:val="005258A2"/>
    <w:rsid w:val="00526355"/>
    <w:rsid w:val="00530353"/>
    <w:rsid w:val="00531AC6"/>
    <w:rsid w:val="00531F34"/>
    <w:rsid w:val="005333B2"/>
    <w:rsid w:val="00535201"/>
    <w:rsid w:val="00536180"/>
    <w:rsid w:val="005401AE"/>
    <w:rsid w:val="00542E07"/>
    <w:rsid w:val="00544018"/>
    <w:rsid w:val="00545424"/>
    <w:rsid w:val="00554A7B"/>
    <w:rsid w:val="005553D5"/>
    <w:rsid w:val="00555572"/>
    <w:rsid w:val="0055572C"/>
    <w:rsid w:val="0056106A"/>
    <w:rsid w:val="00564FDD"/>
    <w:rsid w:val="005666EE"/>
    <w:rsid w:val="005710A5"/>
    <w:rsid w:val="005716C3"/>
    <w:rsid w:val="005720AE"/>
    <w:rsid w:val="00572A77"/>
    <w:rsid w:val="00573B43"/>
    <w:rsid w:val="0058006B"/>
    <w:rsid w:val="00580093"/>
    <w:rsid w:val="00581C1B"/>
    <w:rsid w:val="00582591"/>
    <w:rsid w:val="00590428"/>
    <w:rsid w:val="00594D77"/>
    <w:rsid w:val="005969E4"/>
    <w:rsid w:val="005A06B7"/>
    <w:rsid w:val="005A1759"/>
    <w:rsid w:val="005A2D64"/>
    <w:rsid w:val="005A3724"/>
    <w:rsid w:val="005A68A7"/>
    <w:rsid w:val="005B0744"/>
    <w:rsid w:val="005B0B23"/>
    <w:rsid w:val="005B1E85"/>
    <w:rsid w:val="005B7966"/>
    <w:rsid w:val="005C10DE"/>
    <w:rsid w:val="005C5E31"/>
    <w:rsid w:val="005C6B55"/>
    <w:rsid w:val="005D00BC"/>
    <w:rsid w:val="005D2DAC"/>
    <w:rsid w:val="005D3392"/>
    <w:rsid w:val="005D36AB"/>
    <w:rsid w:val="005D3766"/>
    <w:rsid w:val="005D5065"/>
    <w:rsid w:val="005E0E93"/>
    <w:rsid w:val="005E4660"/>
    <w:rsid w:val="005F01C4"/>
    <w:rsid w:val="005F0834"/>
    <w:rsid w:val="005F4BE0"/>
    <w:rsid w:val="005F5D9D"/>
    <w:rsid w:val="005F5EE5"/>
    <w:rsid w:val="005F61CC"/>
    <w:rsid w:val="005F75AA"/>
    <w:rsid w:val="00601222"/>
    <w:rsid w:val="0060582C"/>
    <w:rsid w:val="00610F88"/>
    <w:rsid w:val="006110D5"/>
    <w:rsid w:val="0061135D"/>
    <w:rsid w:val="006135F0"/>
    <w:rsid w:val="006138CC"/>
    <w:rsid w:val="00613D76"/>
    <w:rsid w:val="0061465A"/>
    <w:rsid w:val="00617CC3"/>
    <w:rsid w:val="006252E4"/>
    <w:rsid w:val="00627F8F"/>
    <w:rsid w:val="00630139"/>
    <w:rsid w:val="00631485"/>
    <w:rsid w:val="006371B1"/>
    <w:rsid w:val="00637637"/>
    <w:rsid w:val="006377A6"/>
    <w:rsid w:val="00637A3D"/>
    <w:rsid w:val="00640301"/>
    <w:rsid w:val="006411EF"/>
    <w:rsid w:val="006458B2"/>
    <w:rsid w:val="00651246"/>
    <w:rsid w:val="00652B8E"/>
    <w:rsid w:val="006646F3"/>
    <w:rsid w:val="0066544D"/>
    <w:rsid w:val="00667356"/>
    <w:rsid w:val="0066796D"/>
    <w:rsid w:val="00670CCF"/>
    <w:rsid w:val="006748B8"/>
    <w:rsid w:val="006755C9"/>
    <w:rsid w:val="006775C3"/>
    <w:rsid w:val="00680979"/>
    <w:rsid w:val="0068332C"/>
    <w:rsid w:val="0069290A"/>
    <w:rsid w:val="00693403"/>
    <w:rsid w:val="00695AB0"/>
    <w:rsid w:val="00696099"/>
    <w:rsid w:val="006969D1"/>
    <w:rsid w:val="0069775A"/>
    <w:rsid w:val="00697802"/>
    <w:rsid w:val="00697813"/>
    <w:rsid w:val="006A0536"/>
    <w:rsid w:val="006A3D71"/>
    <w:rsid w:val="006A3EE8"/>
    <w:rsid w:val="006A72BF"/>
    <w:rsid w:val="006B03F2"/>
    <w:rsid w:val="006B0D78"/>
    <w:rsid w:val="006B25DE"/>
    <w:rsid w:val="006B37DC"/>
    <w:rsid w:val="006B3AAD"/>
    <w:rsid w:val="006B4A6E"/>
    <w:rsid w:val="006B4F68"/>
    <w:rsid w:val="006C0592"/>
    <w:rsid w:val="006C1B52"/>
    <w:rsid w:val="006C272E"/>
    <w:rsid w:val="006C4535"/>
    <w:rsid w:val="006C5479"/>
    <w:rsid w:val="006C6725"/>
    <w:rsid w:val="006C74B0"/>
    <w:rsid w:val="006D13B5"/>
    <w:rsid w:val="006D14CA"/>
    <w:rsid w:val="006D2D19"/>
    <w:rsid w:val="006D35DB"/>
    <w:rsid w:val="006E0144"/>
    <w:rsid w:val="006E07D4"/>
    <w:rsid w:val="006E11EE"/>
    <w:rsid w:val="006E12FF"/>
    <w:rsid w:val="006E178B"/>
    <w:rsid w:val="006E45EB"/>
    <w:rsid w:val="006E607E"/>
    <w:rsid w:val="006F06C4"/>
    <w:rsid w:val="006F16CB"/>
    <w:rsid w:val="006F1BFF"/>
    <w:rsid w:val="006F54E8"/>
    <w:rsid w:val="00706C5D"/>
    <w:rsid w:val="007114DA"/>
    <w:rsid w:val="007179E8"/>
    <w:rsid w:val="0072182A"/>
    <w:rsid w:val="00722A9E"/>
    <w:rsid w:val="0073132B"/>
    <w:rsid w:val="00732922"/>
    <w:rsid w:val="00733826"/>
    <w:rsid w:val="0073419A"/>
    <w:rsid w:val="0073591C"/>
    <w:rsid w:val="007415FD"/>
    <w:rsid w:val="00742EBC"/>
    <w:rsid w:val="007447D8"/>
    <w:rsid w:val="00744BAB"/>
    <w:rsid w:val="00745062"/>
    <w:rsid w:val="00745A48"/>
    <w:rsid w:val="00745C3D"/>
    <w:rsid w:val="007464FE"/>
    <w:rsid w:val="0075162E"/>
    <w:rsid w:val="00754034"/>
    <w:rsid w:val="00756556"/>
    <w:rsid w:val="007578C1"/>
    <w:rsid w:val="007618C4"/>
    <w:rsid w:val="0076298D"/>
    <w:rsid w:val="007629C6"/>
    <w:rsid w:val="007663D0"/>
    <w:rsid w:val="00767980"/>
    <w:rsid w:val="00770B19"/>
    <w:rsid w:val="0077463F"/>
    <w:rsid w:val="0077692C"/>
    <w:rsid w:val="007814A9"/>
    <w:rsid w:val="0078161E"/>
    <w:rsid w:val="00781D46"/>
    <w:rsid w:val="007836EA"/>
    <w:rsid w:val="00784A4E"/>
    <w:rsid w:val="00784CDA"/>
    <w:rsid w:val="00784E13"/>
    <w:rsid w:val="0078649F"/>
    <w:rsid w:val="007874EB"/>
    <w:rsid w:val="007877F7"/>
    <w:rsid w:val="007906C4"/>
    <w:rsid w:val="00790B07"/>
    <w:rsid w:val="007940EA"/>
    <w:rsid w:val="00795B77"/>
    <w:rsid w:val="007967E8"/>
    <w:rsid w:val="007A0C84"/>
    <w:rsid w:val="007A0E1F"/>
    <w:rsid w:val="007A2170"/>
    <w:rsid w:val="007A22BF"/>
    <w:rsid w:val="007A3323"/>
    <w:rsid w:val="007A7863"/>
    <w:rsid w:val="007B6801"/>
    <w:rsid w:val="007B717E"/>
    <w:rsid w:val="007B72B8"/>
    <w:rsid w:val="007B7A58"/>
    <w:rsid w:val="007C21B5"/>
    <w:rsid w:val="007D554A"/>
    <w:rsid w:val="007D6293"/>
    <w:rsid w:val="007E2152"/>
    <w:rsid w:val="007E2886"/>
    <w:rsid w:val="007E4BD2"/>
    <w:rsid w:val="007F2719"/>
    <w:rsid w:val="007F2BEB"/>
    <w:rsid w:val="007F3C1A"/>
    <w:rsid w:val="007F3DAF"/>
    <w:rsid w:val="007F7353"/>
    <w:rsid w:val="0080068A"/>
    <w:rsid w:val="00800D11"/>
    <w:rsid w:val="00801393"/>
    <w:rsid w:val="00802F88"/>
    <w:rsid w:val="00803BA7"/>
    <w:rsid w:val="00806B5B"/>
    <w:rsid w:val="00807B0B"/>
    <w:rsid w:val="0081091C"/>
    <w:rsid w:val="0081293E"/>
    <w:rsid w:val="00813B87"/>
    <w:rsid w:val="00815465"/>
    <w:rsid w:val="00815B9B"/>
    <w:rsid w:val="00817E9A"/>
    <w:rsid w:val="008207B1"/>
    <w:rsid w:val="00821B8E"/>
    <w:rsid w:val="008306BD"/>
    <w:rsid w:val="00831A80"/>
    <w:rsid w:val="00833743"/>
    <w:rsid w:val="008340A4"/>
    <w:rsid w:val="00834D5F"/>
    <w:rsid w:val="00845264"/>
    <w:rsid w:val="008530E6"/>
    <w:rsid w:val="00854CFE"/>
    <w:rsid w:val="008554C4"/>
    <w:rsid w:val="008621E5"/>
    <w:rsid w:val="00870C8E"/>
    <w:rsid w:val="0087135F"/>
    <w:rsid w:val="00872D94"/>
    <w:rsid w:val="00873F74"/>
    <w:rsid w:val="0087769F"/>
    <w:rsid w:val="0087798C"/>
    <w:rsid w:val="00880364"/>
    <w:rsid w:val="008860E0"/>
    <w:rsid w:val="0088756C"/>
    <w:rsid w:val="00891592"/>
    <w:rsid w:val="00891E9E"/>
    <w:rsid w:val="00892291"/>
    <w:rsid w:val="008A2F68"/>
    <w:rsid w:val="008A4775"/>
    <w:rsid w:val="008A5A04"/>
    <w:rsid w:val="008B1A43"/>
    <w:rsid w:val="008B4FA6"/>
    <w:rsid w:val="008B5282"/>
    <w:rsid w:val="008B7C17"/>
    <w:rsid w:val="008C2938"/>
    <w:rsid w:val="008C2D01"/>
    <w:rsid w:val="008C40E6"/>
    <w:rsid w:val="008C5BAD"/>
    <w:rsid w:val="008C695D"/>
    <w:rsid w:val="008D0F7A"/>
    <w:rsid w:val="008D51F4"/>
    <w:rsid w:val="008D68E4"/>
    <w:rsid w:val="008E0506"/>
    <w:rsid w:val="008E0CFF"/>
    <w:rsid w:val="008E4361"/>
    <w:rsid w:val="008E58D7"/>
    <w:rsid w:val="008E5D6B"/>
    <w:rsid w:val="008E76F0"/>
    <w:rsid w:val="008F15FE"/>
    <w:rsid w:val="008F2D29"/>
    <w:rsid w:val="008F5187"/>
    <w:rsid w:val="008F536B"/>
    <w:rsid w:val="008F57B5"/>
    <w:rsid w:val="008F60B2"/>
    <w:rsid w:val="008F60D8"/>
    <w:rsid w:val="008F678B"/>
    <w:rsid w:val="008F78EB"/>
    <w:rsid w:val="009007A0"/>
    <w:rsid w:val="00902727"/>
    <w:rsid w:val="0090312B"/>
    <w:rsid w:val="009052CB"/>
    <w:rsid w:val="0091370F"/>
    <w:rsid w:val="00913E23"/>
    <w:rsid w:val="00914064"/>
    <w:rsid w:val="009156D3"/>
    <w:rsid w:val="00915DB7"/>
    <w:rsid w:val="009168C8"/>
    <w:rsid w:val="0091736D"/>
    <w:rsid w:val="00923F9E"/>
    <w:rsid w:val="00925B2C"/>
    <w:rsid w:val="009302AA"/>
    <w:rsid w:val="0093037A"/>
    <w:rsid w:val="0094154D"/>
    <w:rsid w:val="009424E4"/>
    <w:rsid w:val="0095155F"/>
    <w:rsid w:val="00954429"/>
    <w:rsid w:val="009563CE"/>
    <w:rsid w:val="009603F8"/>
    <w:rsid w:val="00965E2C"/>
    <w:rsid w:val="00967133"/>
    <w:rsid w:val="00974BD5"/>
    <w:rsid w:val="00976328"/>
    <w:rsid w:val="0097680D"/>
    <w:rsid w:val="00980A44"/>
    <w:rsid w:val="009821C6"/>
    <w:rsid w:val="00982438"/>
    <w:rsid w:val="0098404C"/>
    <w:rsid w:val="00985283"/>
    <w:rsid w:val="00985658"/>
    <w:rsid w:val="00995131"/>
    <w:rsid w:val="00995992"/>
    <w:rsid w:val="009967C3"/>
    <w:rsid w:val="009A03E5"/>
    <w:rsid w:val="009A0F3B"/>
    <w:rsid w:val="009A1BB4"/>
    <w:rsid w:val="009A2628"/>
    <w:rsid w:val="009A2A02"/>
    <w:rsid w:val="009A3200"/>
    <w:rsid w:val="009A466F"/>
    <w:rsid w:val="009A71E4"/>
    <w:rsid w:val="009B0897"/>
    <w:rsid w:val="009B0F1E"/>
    <w:rsid w:val="009B7BD9"/>
    <w:rsid w:val="009C0DC6"/>
    <w:rsid w:val="009C4059"/>
    <w:rsid w:val="009C4FF7"/>
    <w:rsid w:val="009C7DD5"/>
    <w:rsid w:val="009D0752"/>
    <w:rsid w:val="009E227D"/>
    <w:rsid w:val="009E2788"/>
    <w:rsid w:val="009E5019"/>
    <w:rsid w:val="009E5CD1"/>
    <w:rsid w:val="009E7511"/>
    <w:rsid w:val="009E7D1A"/>
    <w:rsid w:val="009F1170"/>
    <w:rsid w:val="009F3B28"/>
    <w:rsid w:val="009F4C2D"/>
    <w:rsid w:val="009F5D3F"/>
    <w:rsid w:val="00A04F1B"/>
    <w:rsid w:val="00A0501B"/>
    <w:rsid w:val="00A102DF"/>
    <w:rsid w:val="00A11402"/>
    <w:rsid w:val="00A12F6F"/>
    <w:rsid w:val="00A14320"/>
    <w:rsid w:val="00A14947"/>
    <w:rsid w:val="00A21829"/>
    <w:rsid w:val="00A2212E"/>
    <w:rsid w:val="00A2424A"/>
    <w:rsid w:val="00A32A83"/>
    <w:rsid w:val="00A33B85"/>
    <w:rsid w:val="00A368DB"/>
    <w:rsid w:val="00A369CF"/>
    <w:rsid w:val="00A423AA"/>
    <w:rsid w:val="00A4554F"/>
    <w:rsid w:val="00A464B5"/>
    <w:rsid w:val="00A477C5"/>
    <w:rsid w:val="00A52C4B"/>
    <w:rsid w:val="00A53EC6"/>
    <w:rsid w:val="00A54159"/>
    <w:rsid w:val="00A555B2"/>
    <w:rsid w:val="00A55C0F"/>
    <w:rsid w:val="00A60AFA"/>
    <w:rsid w:val="00A62A25"/>
    <w:rsid w:val="00A63A73"/>
    <w:rsid w:val="00A65E02"/>
    <w:rsid w:val="00A711C3"/>
    <w:rsid w:val="00A8246F"/>
    <w:rsid w:val="00A8342B"/>
    <w:rsid w:val="00A83791"/>
    <w:rsid w:val="00A8713F"/>
    <w:rsid w:val="00A878C5"/>
    <w:rsid w:val="00A87ABE"/>
    <w:rsid w:val="00A90BA1"/>
    <w:rsid w:val="00A90BC8"/>
    <w:rsid w:val="00A914D4"/>
    <w:rsid w:val="00A933BC"/>
    <w:rsid w:val="00A97A9A"/>
    <w:rsid w:val="00AA0671"/>
    <w:rsid w:val="00AA2531"/>
    <w:rsid w:val="00AA7D6C"/>
    <w:rsid w:val="00AB1600"/>
    <w:rsid w:val="00AB1E09"/>
    <w:rsid w:val="00AB5330"/>
    <w:rsid w:val="00AB7747"/>
    <w:rsid w:val="00AC14CE"/>
    <w:rsid w:val="00AC15B5"/>
    <w:rsid w:val="00AC20C5"/>
    <w:rsid w:val="00AC2474"/>
    <w:rsid w:val="00AC2A56"/>
    <w:rsid w:val="00AC2B52"/>
    <w:rsid w:val="00AC76C1"/>
    <w:rsid w:val="00AD055E"/>
    <w:rsid w:val="00AD09E6"/>
    <w:rsid w:val="00AD36FB"/>
    <w:rsid w:val="00AD47A7"/>
    <w:rsid w:val="00AD5FE5"/>
    <w:rsid w:val="00AD6913"/>
    <w:rsid w:val="00AD7337"/>
    <w:rsid w:val="00AE600E"/>
    <w:rsid w:val="00AF0CBF"/>
    <w:rsid w:val="00AF257F"/>
    <w:rsid w:val="00AF33CF"/>
    <w:rsid w:val="00AF4D50"/>
    <w:rsid w:val="00AF51F7"/>
    <w:rsid w:val="00AF5775"/>
    <w:rsid w:val="00AF6179"/>
    <w:rsid w:val="00B029FC"/>
    <w:rsid w:val="00B04201"/>
    <w:rsid w:val="00B049AD"/>
    <w:rsid w:val="00B1295A"/>
    <w:rsid w:val="00B132F0"/>
    <w:rsid w:val="00B16293"/>
    <w:rsid w:val="00B2006D"/>
    <w:rsid w:val="00B20A45"/>
    <w:rsid w:val="00B22C5C"/>
    <w:rsid w:val="00B23E4C"/>
    <w:rsid w:val="00B24F30"/>
    <w:rsid w:val="00B30796"/>
    <w:rsid w:val="00B31ABF"/>
    <w:rsid w:val="00B31E3A"/>
    <w:rsid w:val="00B327C1"/>
    <w:rsid w:val="00B33BE3"/>
    <w:rsid w:val="00B3569D"/>
    <w:rsid w:val="00B3723A"/>
    <w:rsid w:val="00B44186"/>
    <w:rsid w:val="00B44447"/>
    <w:rsid w:val="00B4452F"/>
    <w:rsid w:val="00B45B18"/>
    <w:rsid w:val="00B5317C"/>
    <w:rsid w:val="00B53B5D"/>
    <w:rsid w:val="00B54A28"/>
    <w:rsid w:val="00B6055E"/>
    <w:rsid w:val="00B6317D"/>
    <w:rsid w:val="00B7149D"/>
    <w:rsid w:val="00B7723F"/>
    <w:rsid w:val="00B77317"/>
    <w:rsid w:val="00B80534"/>
    <w:rsid w:val="00B83655"/>
    <w:rsid w:val="00B8433C"/>
    <w:rsid w:val="00B87491"/>
    <w:rsid w:val="00B87B33"/>
    <w:rsid w:val="00B92181"/>
    <w:rsid w:val="00B96431"/>
    <w:rsid w:val="00BA18E6"/>
    <w:rsid w:val="00BA29E9"/>
    <w:rsid w:val="00BA3CD1"/>
    <w:rsid w:val="00BA586F"/>
    <w:rsid w:val="00BA5F83"/>
    <w:rsid w:val="00BA6C81"/>
    <w:rsid w:val="00BA7142"/>
    <w:rsid w:val="00BB0203"/>
    <w:rsid w:val="00BB0A52"/>
    <w:rsid w:val="00BB237C"/>
    <w:rsid w:val="00BB41A3"/>
    <w:rsid w:val="00BB7995"/>
    <w:rsid w:val="00BC32DC"/>
    <w:rsid w:val="00BC35B6"/>
    <w:rsid w:val="00BD1B51"/>
    <w:rsid w:val="00BD2FAF"/>
    <w:rsid w:val="00BD4596"/>
    <w:rsid w:val="00BD4B8C"/>
    <w:rsid w:val="00BD7D5D"/>
    <w:rsid w:val="00BE1405"/>
    <w:rsid w:val="00BE312D"/>
    <w:rsid w:val="00BE3C19"/>
    <w:rsid w:val="00BE4D33"/>
    <w:rsid w:val="00BE5758"/>
    <w:rsid w:val="00BE5D6B"/>
    <w:rsid w:val="00BE6459"/>
    <w:rsid w:val="00BF16AB"/>
    <w:rsid w:val="00BF1C20"/>
    <w:rsid w:val="00BF7374"/>
    <w:rsid w:val="00C01D41"/>
    <w:rsid w:val="00C03D10"/>
    <w:rsid w:val="00C10578"/>
    <w:rsid w:val="00C11B3D"/>
    <w:rsid w:val="00C135BC"/>
    <w:rsid w:val="00C15C95"/>
    <w:rsid w:val="00C172DB"/>
    <w:rsid w:val="00C207A3"/>
    <w:rsid w:val="00C22B35"/>
    <w:rsid w:val="00C24EC1"/>
    <w:rsid w:val="00C2596A"/>
    <w:rsid w:val="00C27537"/>
    <w:rsid w:val="00C328FE"/>
    <w:rsid w:val="00C33507"/>
    <w:rsid w:val="00C34417"/>
    <w:rsid w:val="00C351F3"/>
    <w:rsid w:val="00C36960"/>
    <w:rsid w:val="00C3735D"/>
    <w:rsid w:val="00C42D43"/>
    <w:rsid w:val="00C43C93"/>
    <w:rsid w:val="00C4409D"/>
    <w:rsid w:val="00C44E72"/>
    <w:rsid w:val="00C45A06"/>
    <w:rsid w:val="00C46501"/>
    <w:rsid w:val="00C47E5B"/>
    <w:rsid w:val="00C61E4B"/>
    <w:rsid w:val="00C64AB5"/>
    <w:rsid w:val="00C64BFF"/>
    <w:rsid w:val="00C66078"/>
    <w:rsid w:val="00C66F26"/>
    <w:rsid w:val="00C704E9"/>
    <w:rsid w:val="00C74E5D"/>
    <w:rsid w:val="00C763C9"/>
    <w:rsid w:val="00C7673E"/>
    <w:rsid w:val="00C773F9"/>
    <w:rsid w:val="00C77CBB"/>
    <w:rsid w:val="00C80057"/>
    <w:rsid w:val="00C81CEE"/>
    <w:rsid w:val="00C82232"/>
    <w:rsid w:val="00C82913"/>
    <w:rsid w:val="00C82A23"/>
    <w:rsid w:val="00C85A08"/>
    <w:rsid w:val="00C93029"/>
    <w:rsid w:val="00C972B1"/>
    <w:rsid w:val="00C97A26"/>
    <w:rsid w:val="00CA0B17"/>
    <w:rsid w:val="00CA2CCE"/>
    <w:rsid w:val="00CA40F1"/>
    <w:rsid w:val="00CA43FD"/>
    <w:rsid w:val="00CA4DEE"/>
    <w:rsid w:val="00CA7EF8"/>
    <w:rsid w:val="00CB2605"/>
    <w:rsid w:val="00CC1B9B"/>
    <w:rsid w:val="00CC33C0"/>
    <w:rsid w:val="00CC3FE1"/>
    <w:rsid w:val="00CC489B"/>
    <w:rsid w:val="00CC5EDB"/>
    <w:rsid w:val="00CD0535"/>
    <w:rsid w:val="00CD2BCD"/>
    <w:rsid w:val="00CD3A4C"/>
    <w:rsid w:val="00CD7128"/>
    <w:rsid w:val="00CD74F0"/>
    <w:rsid w:val="00CD7C8C"/>
    <w:rsid w:val="00CE0460"/>
    <w:rsid w:val="00CE10E9"/>
    <w:rsid w:val="00CE2910"/>
    <w:rsid w:val="00CE5393"/>
    <w:rsid w:val="00CE6B52"/>
    <w:rsid w:val="00CF1F90"/>
    <w:rsid w:val="00CF217C"/>
    <w:rsid w:val="00CF36BE"/>
    <w:rsid w:val="00CF3F4C"/>
    <w:rsid w:val="00CF423F"/>
    <w:rsid w:val="00CF6000"/>
    <w:rsid w:val="00D000C5"/>
    <w:rsid w:val="00D003F3"/>
    <w:rsid w:val="00D0364F"/>
    <w:rsid w:val="00D06834"/>
    <w:rsid w:val="00D10B33"/>
    <w:rsid w:val="00D10C57"/>
    <w:rsid w:val="00D20944"/>
    <w:rsid w:val="00D23312"/>
    <w:rsid w:val="00D2400B"/>
    <w:rsid w:val="00D270F2"/>
    <w:rsid w:val="00D308ED"/>
    <w:rsid w:val="00D31584"/>
    <w:rsid w:val="00D3210C"/>
    <w:rsid w:val="00D36D86"/>
    <w:rsid w:val="00D428AA"/>
    <w:rsid w:val="00D50A34"/>
    <w:rsid w:val="00D5153A"/>
    <w:rsid w:val="00D5180E"/>
    <w:rsid w:val="00D53EFA"/>
    <w:rsid w:val="00D563E0"/>
    <w:rsid w:val="00D63A0E"/>
    <w:rsid w:val="00D65C2A"/>
    <w:rsid w:val="00D74946"/>
    <w:rsid w:val="00D7551B"/>
    <w:rsid w:val="00D779CF"/>
    <w:rsid w:val="00D81E69"/>
    <w:rsid w:val="00D85623"/>
    <w:rsid w:val="00D92975"/>
    <w:rsid w:val="00D9483A"/>
    <w:rsid w:val="00D94A7C"/>
    <w:rsid w:val="00D94C54"/>
    <w:rsid w:val="00D95896"/>
    <w:rsid w:val="00D965D4"/>
    <w:rsid w:val="00DA15B4"/>
    <w:rsid w:val="00DA2E1D"/>
    <w:rsid w:val="00DB045A"/>
    <w:rsid w:val="00DB25D4"/>
    <w:rsid w:val="00DB2983"/>
    <w:rsid w:val="00DB34BA"/>
    <w:rsid w:val="00DC1257"/>
    <w:rsid w:val="00DC28CC"/>
    <w:rsid w:val="00DC2E00"/>
    <w:rsid w:val="00DC3DC0"/>
    <w:rsid w:val="00DC4073"/>
    <w:rsid w:val="00DC587B"/>
    <w:rsid w:val="00DC5B2B"/>
    <w:rsid w:val="00DC7CE7"/>
    <w:rsid w:val="00DD10EE"/>
    <w:rsid w:val="00DD318D"/>
    <w:rsid w:val="00DD42C4"/>
    <w:rsid w:val="00DD6528"/>
    <w:rsid w:val="00DE2B63"/>
    <w:rsid w:val="00DE4B1A"/>
    <w:rsid w:val="00DE598D"/>
    <w:rsid w:val="00DE60B9"/>
    <w:rsid w:val="00DE6C0C"/>
    <w:rsid w:val="00DE7D26"/>
    <w:rsid w:val="00DF0BFE"/>
    <w:rsid w:val="00DF2E12"/>
    <w:rsid w:val="00DF514A"/>
    <w:rsid w:val="00DF6690"/>
    <w:rsid w:val="00DF6804"/>
    <w:rsid w:val="00E00B85"/>
    <w:rsid w:val="00E00D9E"/>
    <w:rsid w:val="00E0358D"/>
    <w:rsid w:val="00E03DD7"/>
    <w:rsid w:val="00E04323"/>
    <w:rsid w:val="00E054B0"/>
    <w:rsid w:val="00E06C26"/>
    <w:rsid w:val="00E06C2B"/>
    <w:rsid w:val="00E070A2"/>
    <w:rsid w:val="00E15027"/>
    <w:rsid w:val="00E15BB9"/>
    <w:rsid w:val="00E216CB"/>
    <w:rsid w:val="00E252C5"/>
    <w:rsid w:val="00E2656A"/>
    <w:rsid w:val="00E32CB5"/>
    <w:rsid w:val="00E332A7"/>
    <w:rsid w:val="00E33364"/>
    <w:rsid w:val="00E33496"/>
    <w:rsid w:val="00E350F9"/>
    <w:rsid w:val="00E3518F"/>
    <w:rsid w:val="00E412D0"/>
    <w:rsid w:val="00E46BE2"/>
    <w:rsid w:val="00E46DE0"/>
    <w:rsid w:val="00E51602"/>
    <w:rsid w:val="00E54C11"/>
    <w:rsid w:val="00E56255"/>
    <w:rsid w:val="00E56322"/>
    <w:rsid w:val="00E574CD"/>
    <w:rsid w:val="00E60982"/>
    <w:rsid w:val="00E62C62"/>
    <w:rsid w:val="00E64A2B"/>
    <w:rsid w:val="00E654C1"/>
    <w:rsid w:val="00E65D97"/>
    <w:rsid w:val="00E71C4C"/>
    <w:rsid w:val="00E721E0"/>
    <w:rsid w:val="00E72A5A"/>
    <w:rsid w:val="00E73354"/>
    <w:rsid w:val="00E80919"/>
    <w:rsid w:val="00E80DE5"/>
    <w:rsid w:val="00E81897"/>
    <w:rsid w:val="00E81E7F"/>
    <w:rsid w:val="00E86BCA"/>
    <w:rsid w:val="00E87F20"/>
    <w:rsid w:val="00E9242D"/>
    <w:rsid w:val="00EA0FC3"/>
    <w:rsid w:val="00EA4B87"/>
    <w:rsid w:val="00EA7F84"/>
    <w:rsid w:val="00EB01E4"/>
    <w:rsid w:val="00EB40AF"/>
    <w:rsid w:val="00EB443B"/>
    <w:rsid w:val="00EB5255"/>
    <w:rsid w:val="00EB5C47"/>
    <w:rsid w:val="00EC0F40"/>
    <w:rsid w:val="00EC1EC7"/>
    <w:rsid w:val="00ED0639"/>
    <w:rsid w:val="00EE32E1"/>
    <w:rsid w:val="00EE4AC8"/>
    <w:rsid w:val="00EE7D0D"/>
    <w:rsid w:val="00EF4734"/>
    <w:rsid w:val="00EF4755"/>
    <w:rsid w:val="00EF7135"/>
    <w:rsid w:val="00EF7139"/>
    <w:rsid w:val="00F016CC"/>
    <w:rsid w:val="00F027DB"/>
    <w:rsid w:val="00F0319B"/>
    <w:rsid w:val="00F034CF"/>
    <w:rsid w:val="00F04940"/>
    <w:rsid w:val="00F04BE4"/>
    <w:rsid w:val="00F14A7A"/>
    <w:rsid w:val="00F15EAB"/>
    <w:rsid w:val="00F16485"/>
    <w:rsid w:val="00F21E66"/>
    <w:rsid w:val="00F22985"/>
    <w:rsid w:val="00F271BA"/>
    <w:rsid w:val="00F31F0A"/>
    <w:rsid w:val="00F33754"/>
    <w:rsid w:val="00F3383E"/>
    <w:rsid w:val="00F35528"/>
    <w:rsid w:val="00F35A29"/>
    <w:rsid w:val="00F45374"/>
    <w:rsid w:val="00F465A7"/>
    <w:rsid w:val="00F47133"/>
    <w:rsid w:val="00F4779D"/>
    <w:rsid w:val="00F47CBD"/>
    <w:rsid w:val="00F50B7C"/>
    <w:rsid w:val="00F54DEE"/>
    <w:rsid w:val="00F550E6"/>
    <w:rsid w:val="00F60B39"/>
    <w:rsid w:val="00F655F3"/>
    <w:rsid w:val="00F711BA"/>
    <w:rsid w:val="00F72813"/>
    <w:rsid w:val="00F74345"/>
    <w:rsid w:val="00F80A0A"/>
    <w:rsid w:val="00F82B19"/>
    <w:rsid w:val="00F8328C"/>
    <w:rsid w:val="00F83C92"/>
    <w:rsid w:val="00F84D5A"/>
    <w:rsid w:val="00F84F3A"/>
    <w:rsid w:val="00F854AA"/>
    <w:rsid w:val="00F909B6"/>
    <w:rsid w:val="00F9162A"/>
    <w:rsid w:val="00F9212D"/>
    <w:rsid w:val="00F951DC"/>
    <w:rsid w:val="00F965DA"/>
    <w:rsid w:val="00FA406A"/>
    <w:rsid w:val="00FA6684"/>
    <w:rsid w:val="00FB4679"/>
    <w:rsid w:val="00FB503A"/>
    <w:rsid w:val="00FB516C"/>
    <w:rsid w:val="00FB69B4"/>
    <w:rsid w:val="00FC6FEC"/>
    <w:rsid w:val="00FD0236"/>
    <w:rsid w:val="00FD1548"/>
    <w:rsid w:val="00FD18F4"/>
    <w:rsid w:val="00FD1C84"/>
    <w:rsid w:val="00FD235F"/>
    <w:rsid w:val="00FD54DB"/>
    <w:rsid w:val="00FD556A"/>
    <w:rsid w:val="00FD619F"/>
    <w:rsid w:val="00FE0799"/>
    <w:rsid w:val="00FE0F4E"/>
    <w:rsid w:val="00FE3E02"/>
    <w:rsid w:val="00FE73B6"/>
    <w:rsid w:val="00FF3685"/>
    <w:rsid w:val="00FF3694"/>
    <w:rsid w:val="01290F7E"/>
    <w:rsid w:val="0132783D"/>
    <w:rsid w:val="01583748"/>
    <w:rsid w:val="015D1E09"/>
    <w:rsid w:val="01655E65"/>
    <w:rsid w:val="01662058"/>
    <w:rsid w:val="017546F1"/>
    <w:rsid w:val="01822573"/>
    <w:rsid w:val="01894CD6"/>
    <w:rsid w:val="019422A6"/>
    <w:rsid w:val="01A00C4B"/>
    <w:rsid w:val="01E7687A"/>
    <w:rsid w:val="01EC3A84"/>
    <w:rsid w:val="01F40F97"/>
    <w:rsid w:val="01F80A87"/>
    <w:rsid w:val="02217FB1"/>
    <w:rsid w:val="023F42AD"/>
    <w:rsid w:val="02404E4B"/>
    <w:rsid w:val="02697903"/>
    <w:rsid w:val="02724843"/>
    <w:rsid w:val="02773351"/>
    <w:rsid w:val="028916DF"/>
    <w:rsid w:val="028B36A9"/>
    <w:rsid w:val="02A01982"/>
    <w:rsid w:val="02AE17B6"/>
    <w:rsid w:val="02D4313D"/>
    <w:rsid w:val="02F96569"/>
    <w:rsid w:val="03035935"/>
    <w:rsid w:val="030B5A0E"/>
    <w:rsid w:val="0320644F"/>
    <w:rsid w:val="034E0E02"/>
    <w:rsid w:val="036D73FD"/>
    <w:rsid w:val="03787582"/>
    <w:rsid w:val="03C85032"/>
    <w:rsid w:val="03EA7B21"/>
    <w:rsid w:val="03EF7C67"/>
    <w:rsid w:val="04144C9F"/>
    <w:rsid w:val="042A32B9"/>
    <w:rsid w:val="045A6412"/>
    <w:rsid w:val="046213D9"/>
    <w:rsid w:val="04673CA2"/>
    <w:rsid w:val="04730898"/>
    <w:rsid w:val="04BD7173"/>
    <w:rsid w:val="04C3537C"/>
    <w:rsid w:val="04C42EA2"/>
    <w:rsid w:val="04CD61FB"/>
    <w:rsid w:val="04D72BD5"/>
    <w:rsid w:val="04FF037E"/>
    <w:rsid w:val="05067696"/>
    <w:rsid w:val="053242B0"/>
    <w:rsid w:val="05770EA3"/>
    <w:rsid w:val="057C552B"/>
    <w:rsid w:val="058E4F78"/>
    <w:rsid w:val="05A14F91"/>
    <w:rsid w:val="05CE2604"/>
    <w:rsid w:val="05E01BA2"/>
    <w:rsid w:val="05E86266"/>
    <w:rsid w:val="05F83EAE"/>
    <w:rsid w:val="06007F0A"/>
    <w:rsid w:val="06021ED4"/>
    <w:rsid w:val="062067FE"/>
    <w:rsid w:val="062A7A5F"/>
    <w:rsid w:val="063E7D85"/>
    <w:rsid w:val="0648365F"/>
    <w:rsid w:val="064A4749"/>
    <w:rsid w:val="06523F87"/>
    <w:rsid w:val="067B1C86"/>
    <w:rsid w:val="068C3E93"/>
    <w:rsid w:val="069D7E4F"/>
    <w:rsid w:val="06AC0685"/>
    <w:rsid w:val="06CB30D5"/>
    <w:rsid w:val="06CB4FA1"/>
    <w:rsid w:val="06CF7A92"/>
    <w:rsid w:val="06FA0DFD"/>
    <w:rsid w:val="06FC4B75"/>
    <w:rsid w:val="07005D3D"/>
    <w:rsid w:val="0722237D"/>
    <w:rsid w:val="07293586"/>
    <w:rsid w:val="07295285"/>
    <w:rsid w:val="07464042"/>
    <w:rsid w:val="07480C67"/>
    <w:rsid w:val="07577FFE"/>
    <w:rsid w:val="07610E7C"/>
    <w:rsid w:val="07636392"/>
    <w:rsid w:val="07691ADF"/>
    <w:rsid w:val="07770C56"/>
    <w:rsid w:val="0797489E"/>
    <w:rsid w:val="07D17DB0"/>
    <w:rsid w:val="07E73DCE"/>
    <w:rsid w:val="08183C31"/>
    <w:rsid w:val="081C1E89"/>
    <w:rsid w:val="081E68C1"/>
    <w:rsid w:val="082B32A2"/>
    <w:rsid w:val="08385FF1"/>
    <w:rsid w:val="083A2BED"/>
    <w:rsid w:val="08422A5C"/>
    <w:rsid w:val="08455951"/>
    <w:rsid w:val="085409E1"/>
    <w:rsid w:val="085E53BC"/>
    <w:rsid w:val="086E3851"/>
    <w:rsid w:val="08716E9D"/>
    <w:rsid w:val="08783632"/>
    <w:rsid w:val="089B03BE"/>
    <w:rsid w:val="08D55D21"/>
    <w:rsid w:val="08E3168B"/>
    <w:rsid w:val="091858F7"/>
    <w:rsid w:val="092217DD"/>
    <w:rsid w:val="0926781E"/>
    <w:rsid w:val="092B4A25"/>
    <w:rsid w:val="092F2E81"/>
    <w:rsid w:val="093A7294"/>
    <w:rsid w:val="09533376"/>
    <w:rsid w:val="09814D85"/>
    <w:rsid w:val="09864BCA"/>
    <w:rsid w:val="098A725D"/>
    <w:rsid w:val="09B76BD4"/>
    <w:rsid w:val="09BB4602"/>
    <w:rsid w:val="09D973F0"/>
    <w:rsid w:val="09E71B0D"/>
    <w:rsid w:val="09EF276F"/>
    <w:rsid w:val="09F21837"/>
    <w:rsid w:val="0A1348C9"/>
    <w:rsid w:val="0A263993"/>
    <w:rsid w:val="0A2D3AC2"/>
    <w:rsid w:val="0A314B36"/>
    <w:rsid w:val="0A3A38C0"/>
    <w:rsid w:val="0A3D7C33"/>
    <w:rsid w:val="0A47410B"/>
    <w:rsid w:val="0A4800D1"/>
    <w:rsid w:val="0A5013C2"/>
    <w:rsid w:val="0A7D421F"/>
    <w:rsid w:val="0A801619"/>
    <w:rsid w:val="0A855C41"/>
    <w:rsid w:val="0A994714"/>
    <w:rsid w:val="0AA755DF"/>
    <w:rsid w:val="0AB82302"/>
    <w:rsid w:val="0ADE3688"/>
    <w:rsid w:val="0AE463D2"/>
    <w:rsid w:val="0B0348E7"/>
    <w:rsid w:val="0B120D44"/>
    <w:rsid w:val="0B3D5D7B"/>
    <w:rsid w:val="0B73117E"/>
    <w:rsid w:val="0B862543"/>
    <w:rsid w:val="0B8B64C8"/>
    <w:rsid w:val="0B92793D"/>
    <w:rsid w:val="0B9F01C5"/>
    <w:rsid w:val="0BA23A41"/>
    <w:rsid w:val="0BA457DB"/>
    <w:rsid w:val="0BA8707A"/>
    <w:rsid w:val="0BA92DF2"/>
    <w:rsid w:val="0BC32E46"/>
    <w:rsid w:val="0BC85764"/>
    <w:rsid w:val="0BC87D41"/>
    <w:rsid w:val="0BD025EC"/>
    <w:rsid w:val="0BD27BF6"/>
    <w:rsid w:val="0BF422BF"/>
    <w:rsid w:val="0BF663DE"/>
    <w:rsid w:val="0C290B3C"/>
    <w:rsid w:val="0C2A0AD7"/>
    <w:rsid w:val="0C3B3C7D"/>
    <w:rsid w:val="0C7F1F95"/>
    <w:rsid w:val="0C9E222B"/>
    <w:rsid w:val="0CAB2EAE"/>
    <w:rsid w:val="0CB6283C"/>
    <w:rsid w:val="0CC51088"/>
    <w:rsid w:val="0CD36378"/>
    <w:rsid w:val="0D4042F8"/>
    <w:rsid w:val="0D621C7D"/>
    <w:rsid w:val="0D6560BA"/>
    <w:rsid w:val="0D687046"/>
    <w:rsid w:val="0D796045"/>
    <w:rsid w:val="0D8238FA"/>
    <w:rsid w:val="0D9B051A"/>
    <w:rsid w:val="0DA06610"/>
    <w:rsid w:val="0DC91529"/>
    <w:rsid w:val="0DD61058"/>
    <w:rsid w:val="0DE740BF"/>
    <w:rsid w:val="0DE95727"/>
    <w:rsid w:val="0DFD4632"/>
    <w:rsid w:val="0E03496B"/>
    <w:rsid w:val="0E037135"/>
    <w:rsid w:val="0E0A0A2B"/>
    <w:rsid w:val="0E2C7CE1"/>
    <w:rsid w:val="0E361188"/>
    <w:rsid w:val="0E4312DC"/>
    <w:rsid w:val="0E4F2180"/>
    <w:rsid w:val="0E73034D"/>
    <w:rsid w:val="0E745939"/>
    <w:rsid w:val="0E976735"/>
    <w:rsid w:val="0ED32FD6"/>
    <w:rsid w:val="0EE04D7C"/>
    <w:rsid w:val="0F13775A"/>
    <w:rsid w:val="0F25113D"/>
    <w:rsid w:val="0F5F45FE"/>
    <w:rsid w:val="0F7F3BC8"/>
    <w:rsid w:val="0F895132"/>
    <w:rsid w:val="0F895414"/>
    <w:rsid w:val="0F94357C"/>
    <w:rsid w:val="0F9A112B"/>
    <w:rsid w:val="0FAC4C5F"/>
    <w:rsid w:val="0FBF2BE4"/>
    <w:rsid w:val="0FD157BD"/>
    <w:rsid w:val="0FD95641"/>
    <w:rsid w:val="0FF46D31"/>
    <w:rsid w:val="10024CD2"/>
    <w:rsid w:val="101A6ECD"/>
    <w:rsid w:val="105570A4"/>
    <w:rsid w:val="105B33D4"/>
    <w:rsid w:val="10613A0A"/>
    <w:rsid w:val="106D2F64"/>
    <w:rsid w:val="106D43EE"/>
    <w:rsid w:val="107B2DB4"/>
    <w:rsid w:val="107E2A9F"/>
    <w:rsid w:val="108F25B6"/>
    <w:rsid w:val="10B63710"/>
    <w:rsid w:val="10DB0ABB"/>
    <w:rsid w:val="10F10820"/>
    <w:rsid w:val="10F22B45"/>
    <w:rsid w:val="10FB1AA8"/>
    <w:rsid w:val="111C2F7A"/>
    <w:rsid w:val="11261E92"/>
    <w:rsid w:val="113D0264"/>
    <w:rsid w:val="113D3EE5"/>
    <w:rsid w:val="113F222E"/>
    <w:rsid w:val="114E06C3"/>
    <w:rsid w:val="11665CA1"/>
    <w:rsid w:val="11A007F3"/>
    <w:rsid w:val="11AD36AA"/>
    <w:rsid w:val="11B5470C"/>
    <w:rsid w:val="11BA2365"/>
    <w:rsid w:val="11D16BFE"/>
    <w:rsid w:val="11D566EF"/>
    <w:rsid w:val="11F14FF9"/>
    <w:rsid w:val="11F52905"/>
    <w:rsid w:val="12006A49"/>
    <w:rsid w:val="122431D2"/>
    <w:rsid w:val="12343E48"/>
    <w:rsid w:val="124675EC"/>
    <w:rsid w:val="126D4B79"/>
    <w:rsid w:val="127D75AE"/>
    <w:rsid w:val="12902616"/>
    <w:rsid w:val="12A22F6F"/>
    <w:rsid w:val="12B87724"/>
    <w:rsid w:val="12C34799"/>
    <w:rsid w:val="12E27315"/>
    <w:rsid w:val="12EC0194"/>
    <w:rsid w:val="13280AA0"/>
    <w:rsid w:val="13675A6C"/>
    <w:rsid w:val="1367781A"/>
    <w:rsid w:val="137141F5"/>
    <w:rsid w:val="13786942"/>
    <w:rsid w:val="138937CB"/>
    <w:rsid w:val="138A6704"/>
    <w:rsid w:val="138C778E"/>
    <w:rsid w:val="138F0B1F"/>
    <w:rsid w:val="13951726"/>
    <w:rsid w:val="13A04ADA"/>
    <w:rsid w:val="13AC347F"/>
    <w:rsid w:val="13B80076"/>
    <w:rsid w:val="13BF7656"/>
    <w:rsid w:val="13D44784"/>
    <w:rsid w:val="13F06513"/>
    <w:rsid w:val="13FE51B1"/>
    <w:rsid w:val="14396509"/>
    <w:rsid w:val="144A2676"/>
    <w:rsid w:val="1455356B"/>
    <w:rsid w:val="145A2DAB"/>
    <w:rsid w:val="145B6E3E"/>
    <w:rsid w:val="14740441"/>
    <w:rsid w:val="14AB222C"/>
    <w:rsid w:val="14B44CE1"/>
    <w:rsid w:val="14B51ED7"/>
    <w:rsid w:val="14CF1E25"/>
    <w:rsid w:val="14CF38C9"/>
    <w:rsid w:val="14DD2C3C"/>
    <w:rsid w:val="14E82BDD"/>
    <w:rsid w:val="14F0527E"/>
    <w:rsid w:val="14F25809"/>
    <w:rsid w:val="14F7697C"/>
    <w:rsid w:val="15194B44"/>
    <w:rsid w:val="1524589C"/>
    <w:rsid w:val="153E6AC2"/>
    <w:rsid w:val="155212B7"/>
    <w:rsid w:val="15540021"/>
    <w:rsid w:val="155E2E9F"/>
    <w:rsid w:val="15607C46"/>
    <w:rsid w:val="156C55BC"/>
    <w:rsid w:val="158346B4"/>
    <w:rsid w:val="15BC0CFB"/>
    <w:rsid w:val="15C3367C"/>
    <w:rsid w:val="15C659BA"/>
    <w:rsid w:val="15D46CBD"/>
    <w:rsid w:val="15E405C2"/>
    <w:rsid w:val="15FF3F25"/>
    <w:rsid w:val="16087E1D"/>
    <w:rsid w:val="160E1344"/>
    <w:rsid w:val="16142713"/>
    <w:rsid w:val="16145052"/>
    <w:rsid w:val="162B0855"/>
    <w:rsid w:val="163836F0"/>
    <w:rsid w:val="163A2FC4"/>
    <w:rsid w:val="165D4F05"/>
    <w:rsid w:val="165E3157"/>
    <w:rsid w:val="16715B07"/>
    <w:rsid w:val="1672275E"/>
    <w:rsid w:val="167A4B7C"/>
    <w:rsid w:val="168908BF"/>
    <w:rsid w:val="16B70F64"/>
    <w:rsid w:val="16BA2A79"/>
    <w:rsid w:val="16C531D6"/>
    <w:rsid w:val="16CF5E02"/>
    <w:rsid w:val="16D52DDC"/>
    <w:rsid w:val="16DA6555"/>
    <w:rsid w:val="16E41182"/>
    <w:rsid w:val="16EF2001"/>
    <w:rsid w:val="170A6E3A"/>
    <w:rsid w:val="171001C9"/>
    <w:rsid w:val="17147CB9"/>
    <w:rsid w:val="171B1405"/>
    <w:rsid w:val="171C091C"/>
    <w:rsid w:val="171C6B6E"/>
    <w:rsid w:val="172D40F4"/>
    <w:rsid w:val="173C05FF"/>
    <w:rsid w:val="17701D14"/>
    <w:rsid w:val="177158A7"/>
    <w:rsid w:val="17735226"/>
    <w:rsid w:val="17773DA4"/>
    <w:rsid w:val="17783DA4"/>
    <w:rsid w:val="1786540A"/>
    <w:rsid w:val="17984446"/>
    <w:rsid w:val="17BE7C25"/>
    <w:rsid w:val="17C25929"/>
    <w:rsid w:val="17C90AA4"/>
    <w:rsid w:val="17CC0594"/>
    <w:rsid w:val="17CF257F"/>
    <w:rsid w:val="17DD62FD"/>
    <w:rsid w:val="17FF564B"/>
    <w:rsid w:val="180669B0"/>
    <w:rsid w:val="18226406"/>
    <w:rsid w:val="185A5BA0"/>
    <w:rsid w:val="18807179"/>
    <w:rsid w:val="18887FCB"/>
    <w:rsid w:val="18984815"/>
    <w:rsid w:val="189F624C"/>
    <w:rsid w:val="18B52651"/>
    <w:rsid w:val="18FE29CF"/>
    <w:rsid w:val="190A22F8"/>
    <w:rsid w:val="194E1220"/>
    <w:rsid w:val="195A6A21"/>
    <w:rsid w:val="1987012C"/>
    <w:rsid w:val="19A1335A"/>
    <w:rsid w:val="19A8293B"/>
    <w:rsid w:val="19A90B8D"/>
    <w:rsid w:val="19E020D4"/>
    <w:rsid w:val="19E35721"/>
    <w:rsid w:val="19ED59E3"/>
    <w:rsid w:val="19F96C27"/>
    <w:rsid w:val="1A1C66C0"/>
    <w:rsid w:val="1A1D50D7"/>
    <w:rsid w:val="1A2D1678"/>
    <w:rsid w:val="1A42393B"/>
    <w:rsid w:val="1A494ADF"/>
    <w:rsid w:val="1A4C3ECB"/>
    <w:rsid w:val="1A5F749D"/>
    <w:rsid w:val="1A7D3DC7"/>
    <w:rsid w:val="1A82586C"/>
    <w:rsid w:val="1A83699C"/>
    <w:rsid w:val="1A862C7C"/>
    <w:rsid w:val="1A8B7BFC"/>
    <w:rsid w:val="1AA72BF2"/>
    <w:rsid w:val="1AAB4490"/>
    <w:rsid w:val="1AAD45DE"/>
    <w:rsid w:val="1AD0039B"/>
    <w:rsid w:val="1AE45BF4"/>
    <w:rsid w:val="1AF17CCF"/>
    <w:rsid w:val="1B046F80"/>
    <w:rsid w:val="1B0818E3"/>
    <w:rsid w:val="1B1606AA"/>
    <w:rsid w:val="1B3267B5"/>
    <w:rsid w:val="1B40161D"/>
    <w:rsid w:val="1B441859"/>
    <w:rsid w:val="1B5763C6"/>
    <w:rsid w:val="1B6606B1"/>
    <w:rsid w:val="1B6F3710"/>
    <w:rsid w:val="1B856A1F"/>
    <w:rsid w:val="1B9C1C31"/>
    <w:rsid w:val="1BD83F06"/>
    <w:rsid w:val="1BF34341"/>
    <w:rsid w:val="1BF66FD3"/>
    <w:rsid w:val="1BFA192B"/>
    <w:rsid w:val="1C0220E3"/>
    <w:rsid w:val="1C0634AE"/>
    <w:rsid w:val="1C1C4F1A"/>
    <w:rsid w:val="1C1F0E48"/>
    <w:rsid w:val="1C291A51"/>
    <w:rsid w:val="1C3D1800"/>
    <w:rsid w:val="1C500572"/>
    <w:rsid w:val="1C5B5A42"/>
    <w:rsid w:val="1C5E7925"/>
    <w:rsid w:val="1C913B5A"/>
    <w:rsid w:val="1C9378D2"/>
    <w:rsid w:val="1CA23671"/>
    <w:rsid w:val="1CA707BF"/>
    <w:rsid w:val="1CFD070F"/>
    <w:rsid w:val="1D1154DF"/>
    <w:rsid w:val="1D2E3157"/>
    <w:rsid w:val="1D4110DC"/>
    <w:rsid w:val="1D5C1371"/>
    <w:rsid w:val="1D5F6196"/>
    <w:rsid w:val="1D6132A5"/>
    <w:rsid w:val="1D631629"/>
    <w:rsid w:val="1D67215B"/>
    <w:rsid w:val="1D8E56D5"/>
    <w:rsid w:val="1D9C5D26"/>
    <w:rsid w:val="1DA83589"/>
    <w:rsid w:val="1DAA6C81"/>
    <w:rsid w:val="1DB83142"/>
    <w:rsid w:val="1DDF4333"/>
    <w:rsid w:val="1DEA0062"/>
    <w:rsid w:val="1E0C793C"/>
    <w:rsid w:val="1E276EDB"/>
    <w:rsid w:val="1E2E78B2"/>
    <w:rsid w:val="1E3E4A94"/>
    <w:rsid w:val="1E5001B2"/>
    <w:rsid w:val="1E6416BE"/>
    <w:rsid w:val="1E7A43DA"/>
    <w:rsid w:val="1E8E20FF"/>
    <w:rsid w:val="1E982F7E"/>
    <w:rsid w:val="1EA9277F"/>
    <w:rsid w:val="1EBF675C"/>
    <w:rsid w:val="1ECB3353"/>
    <w:rsid w:val="1ED1514E"/>
    <w:rsid w:val="1EDD3086"/>
    <w:rsid w:val="1EE12B77"/>
    <w:rsid w:val="1EE809EF"/>
    <w:rsid w:val="1EF24FA6"/>
    <w:rsid w:val="1F130535"/>
    <w:rsid w:val="1F3322DA"/>
    <w:rsid w:val="1F67791B"/>
    <w:rsid w:val="1F69491A"/>
    <w:rsid w:val="1F751511"/>
    <w:rsid w:val="1F806187"/>
    <w:rsid w:val="1F813A12"/>
    <w:rsid w:val="1F8C0D61"/>
    <w:rsid w:val="1FA31BDA"/>
    <w:rsid w:val="1FB415D1"/>
    <w:rsid w:val="1FCC2803"/>
    <w:rsid w:val="1FCF356E"/>
    <w:rsid w:val="1FE7539E"/>
    <w:rsid w:val="1FED7578"/>
    <w:rsid w:val="200A7EAB"/>
    <w:rsid w:val="20314984"/>
    <w:rsid w:val="20671BE0"/>
    <w:rsid w:val="206F34BE"/>
    <w:rsid w:val="207B66B3"/>
    <w:rsid w:val="20963CB8"/>
    <w:rsid w:val="20987265"/>
    <w:rsid w:val="20A81A1B"/>
    <w:rsid w:val="20AC67DD"/>
    <w:rsid w:val="20B07FB6"/>
    <w:rsid w:val="20B646FB"/>
    <w:rsid w:val="20B84B1D"/>
    <w:rsid w:val="20C37EA5"/>
    <w:rsid w:val="20CF094C"/>
    <w:rsid w:val="20F01F24"/>
    <w:rsid w:val="21052421"/>
    <w:rsid w:val="211D3C0E"/>
    <w:rsid w:val="213B74B1"/>
    <w:rsid w:val="214116AB"/>
    <w:rsid w:val="214E6902"/>
    <w:rsid w:val="215A2310"/>
    <w:rsid w:val="2164183D"/>
    <w:rsid w:val="219537A4"/>
    <w:rsid w:val="2199538B"/>
    <w:rsid w:val="219A54F8"/>
    <w:rsid w:val="219D0C9F"/>
    <w:rsid w:val="21A659B2"/>
    <w:rsid w:val="21A67760"/>
    <w:rsid w:val="21DE318A"/>
    <w:rsid w:val="21E379F2"/>
    <w:rsid w:val="21EF5B80"/>
    <w:rsid w:val="21FA7AAB"/>
    <w:rsid w:val="21FE134A"/>
    <w:rsid w:val="222D64AB"/>
    <w:rsid w:val="22463162"/>
    <w:rsid w:val="22576990"/>
    <w:rsid w:val="22737F8A"/>
    <w:rsid w:val="22865760"/>
    <w:rsid w:val="2288291D"/>
    <w:rsid w:val="228F5F0E"/>
    <w:rsid w:val="22916662"/>
    <w:rsid w:val="2294615D"/>
    <w:rsid w:val="22BD1205"/>
    <w:rsid w:val="22C02AA3"/>
    <w:rsid w:val="22C31A9F"/>
    <w:rsid w:val="22CC58EC"/>
    <w:rsid w:val="22EE2284"/>
    <w:rsid w:val="22F47480"/>
    <w:rsid w:val="2309269C"/>
    <w:rsid w:val="2321457D"/>
    <w:rsid w:val="233C60F9"/>
    <w:rsid w:val="23A221A9"/>
    <w:rsid w:val="23A6343B"/>
    <w:rsid w:val="23A80B3C"/>
    <w:rsid w:val="23AE46AF"/>
    <w:rsid w:val="23CC34AF"/>
    <w:rsid w:val="23D905FE"/>
    <w:rsid w:val="23DE1C48"/>
    <w:rsid w:val="23E9789D"/>
    <w:rsid w:val="23FC6D51"/>
    <w:rsid w:val="240210CD"/>
    <w:rsid w:val="242E003A"/>
    <w:rsid w:val="2458636E"/>
    <w:rsid w:val="24670B02"/>
    <w:rsid w:val="24695DA6"/>
    <w:rsid w:val="2483647E"/>
    <w:rsid w:val="248A5117"/>
    <w:rsid w:val="24960A38"/>
    <w:rsid w:val="24BF09F7"/>
    <w:rsid w:val="24CA7C09"/>
    <w:rsid w:val="24DB79CD"/>
    <w:rsid w:val="24EE1B79"/>
    <w:rsid w:val="25255A1A"/>
    <w:rsid w:val="252D53FE"/>
    <w:rsid w:val="2536707F"/>
    <w:rsid w:val="255C41BA"/>
    <w:rsid w:val="2593449F"/>
    <w:rsid w:val="25A9193C"/>
    <w:rsid w:val="25AE12D9"/>
    <w:rsid w:val="25DC5E46"/>
    <w:rsid w:val="25EC2D81"/>
    <w:rsid w:val="25F51AEB"/>
    <w:rsid w:val="26062EC3"/>
    <w:rsid w:val="263F63D5"/>
    <w:rsid w:val="267F643F"/>
    <w:rsid w:val="268C4D74"/>
    <w:rsid w:val="269404CF"/>
    <w:rsid w:val="26FB6A69"/>
    <w:rsid w:val="27286136"/>
    <w:rsid w:val="272C0820"/>
    <w:rsid w:val="272D447F"/>
    <w:rsid w:val="273B6B9C"/>
    <w:rsid w:val="275B2F78"/>
    <w:rsid w:val="275D343B"/>
    <w:rsid w:val="276E6F72"/>
    <w:rsid w:val="276F6A3F"/>
    <w:rsid w:val="277057A2"/>
    <w:rsid w:val="27944D81"/>
    <w:rsid w:val="27DC2985"/>
    <w:rsid w:val="27E21DC1"/>
    <w:rsid w:val="2802381B"/>
    <w:rsid w:val="28072F22"/>
    <w:rsid w:val="28247BE1"/>
    <w:rsid w:val="2833086C"/>
    <w:rsid w:val="2838132E"/>
    <w:rsid w:val="283D6944"/>
    <w:rsid w:val="2842070F"/>
    <w:rsid w:val="289F0560"/>
    <w:rsid w:val="28D24825"/>
    <w:rsid w:val="28F90ABD"/>
    <w:rsid w:val="291476A5"/>
    <w:rsid w:val="291549ED"/>
    <w:rsid w:val="291B1D32"/>
    <w:rsid w:val="29206EB8"/>
    <w:rsid w:val="29283150"/>
    <w:rsid w:val="2936586D"/>
    <w:rsid w:val="2939535D"/>
    <w:rsid w:val="29487234"/>
    <w:rsid w:val="2949676D"/>
    <w:rsid w:val="294C0340"/>
    <w:rsid w:val="2957030F"/>
    <w:rsid w:val="29595666"/>
    <w:rsid w:val="295C2DFA"/>
    <w:rsid w:val="29874881"/>
    <w:rsid w:val="29915199"/>
    <w:rsid w:val="29995DFC"/>
    <w:rsid w:val="299E6F64"/>
    <w:rsid w:val="29B37F0E"/>
    <w:rsid w:val="29BD2520"/>
    <w:rsid w:val="29DD3F3B"/>
    <w:rsid w:val="29E325E0"/>
    <w:rsid w:val="29E647EC"/>
    <w:rsid w:val="29E737F6"/>
    <w:rsid w:val="2A164037"/>
    <w:rsid w:val="2A2D0437"/>
    <w:rsid w:val="2A330BDA"/>
    <w:rsid w:val="2A3D0E7D"/>
    <w:rsid w:val="2A452503"/>
    <w:rsid w:val="2A4B17EC"/>
    <w:rsid w:val="2A515A66"/>
    <w:rsid w:val="2A622692"/>
    <w:rsid w:val="2A944F41"/>
    <w:rsid w:val="2A9F5694"/>
    <w:rsid w:val="2AA46484"/>
    <w:rsid w:val="2AB27175"/>
    <w:rsid w:val="2AB659D3"/>
    <w:rsid w:val="2ABC23EF"/>
    <w:rsid w:val="2ACF7D27"/>
    <w:rsid w:val="2AD27270"/>
    <w:rsid w:val="2AE20462"/>
    <w:rsid w:val="2B1C4F36"/>
    <w:rsid w:val="2B255B99"/>
    <w:rsid w:val="2B33475A"/>
    <w:rsid w:val="2B3C2EE3"/>
    <w:rsid w:val="2B5B15BB"/>
    <w:rsid w:val="2B885BD7"/>
    <w:rsid w:val="2B8C58B9"/>
    <w:rsid w:val="2B9020CC"/>
    <w:rsid w:val="2BA936A8"/>
    <w:rsid w:val="2BB53D21"/>
    <w:rsid w:val="2BFA5AFB"/>
    <w:rsid w:val="2C091017"/>
    <w:rsid w:val="2C106849"/>
    <w:rsid w:val="2C131E96"/>
    <w:rsid w:val="2C2374BE"/>
    <w:rsid w:val="2C2F51BC"/>
    <w:rsid w:val="2C315A5A"/>
    <w:rsid w:val="2C4B1C25"/>
    <w:rsid w:val="2C513466"/>
    <w:rsid w:val="2C696DF0"/>
    <w:rsid w:val="2C7A3CC3"/>
    <w:rsid w:val="2C8B2374"/>
    <w:rsid w:val="2CCB451E"/>
    <w:rsid w:val="2CCF04B2"/>
    <w:rsid w:val="2CD21D51"/>
    <w:rsid w:val="2CDB25FA"/>
    <w:rsid w:val="2CE37ABA"/>
    <w:rsid w:val="2D0143E4"/>
    <w:rsid w:val="2D9B20A2"/>
    <w:rsid w:val="2D9E56F5"/>
    <w:rsid w:val="2DA60210"/>
    <w:rsid w:val="2DBC38BF"/>
    <w:rsid w:val="2DC26A87"/>
    <w:rsid w:val="2DF539A5"/>
    <w:rsid w:val="2E00101A"/>
    <w:rsid w:val="2E0625EE"/>
    <w:rsid w:val="2E277E7A"/>
    <w:rsid w:val="2E645AA1"/>
    <w:rsid w:val="2E667F96"/>
    <w:rsid w:val="2E8157DC"/>
    <w:rsid w:val="2E8226AB"/>
    <w:rsid w:val="2EA414CB"/>
    <w:rsid w:val="2EB84F76"/>
    <w:rsid w:val="2ED95618"/>
    <w:rsid w:val="2EDE49DD"/>
    <w:rsid w:val="2EE86AED"/>
    <w:rsid w:val="2EF064BE"/>
    <w:rsid w:val="2F464330"/>
    <w:rsid w:val="2F534564"/>
    <w:rsid w:val="2F595312"/>
    <w:rsid w:val="2F8D1102"/>
    <w:rsid w:val="2F9037FD"/>
    <w:rsid w:val="2FA33530"/>
    <w:rsid w:val="2FB62035"/>
    <w:rsid w:val="2FD065E6"/>
    <w:rsid w:val="2FD96870"/>
    <w:rsid w:val="2FDA05F1"/>
    <w:rsid w:val="2FE13988"/>
    <w:rsid w:val="2FE53B49"/>
    <w:rsid w:val="2FE63BE9"/>
    <w:rsid w:val="302C49CE"/>
    <w:rsid w:val="30313526"/>
    <w:rsid w:val="30316D8E"/>
    <w:rsid w:val="304E16EE"/>
    <w:rsid w:val="304E7940"/>
    <w:rsid w:val="30580BC9"/>
    <w:rsid w:val="30712820"/>
    <w:rsid w:val="3075311F"/>
    <w:rsid w:val="30B40617"/>
    <w:rsid w:val="30CB0F91"/>
    <w:rsid w:val="30D00355"/>
    <w:rsid w:val="30E36165"/>
    <w:rsid w:val="30F93D50"/>
    <w:rsid w:val="311E2ED7"/>
    <w:rsid w:val="31367D2C"/>
    <w:rsid w:val="313C331D"/>
    <w:rsid w:val="313E1763"/>
    <w:rsid w:val="31425CBF"/>
    <w:rsid w:val="31440D43"/>
    <w:rsid w:val="314B5736"/>
    <w:rsid w:val="315619EE"/>
    <w:rsid w:val="315C449C"/>
    <w:rsid w:val="315E1E05"/>
    <w:rsid w:val="31721C5E"/>
    <w:rsid w:val="31755DD2"/>
    <w:rsid w:val="31B82709"/>
    <w:rsid w:val="31D05482"/>
    <w:rsid w:val="320968F3"/>
    <w:rsid w:val="32171768"/>
    <w:rsid w:val="32193F7E"/>
    <w:rsid w:val="323A1472"/>
    <w:rsid w:val="32400B34"/>
    <w:rsid w:val="32582CF8"/>
    <w:rsid w:val="325D4314"/>
    <w:rsid w:val="326C7146"/>
    <w:rsid w:val="32752BA9"/>
    <w:rsid w:val="329E6876"/>
    <w:rsid w:val="32A36E78"/>
    <w:rsid w:val="32A777DC"/>
    <w:rsid w:val="32E05CC3"/>
    <w:rsid w:val="32F95D8F"/>
    <w:rsid w:val="33274478"/>
    <w:rsid w:val="333015F2"/>
    <w:rsid w:val="3333106F"/>
    <w:rsid w:val="334B6320"/>
    <w:rsid w:val="336456CD"/>
    <w:rsid w:val="33692C5A"/>
    <w:rsid w:val="33770F5C"/>
    <w:rsid w:val="33863895"/>
    <w:rsid w:val="338A5133"/>
    <w:rsid w:val="33997124"/>
    <w:rsid w:val="33A82054"/>
    <w:rsid w:val="33CF6FEA"/>
    <w:rsid w:val="33D934D4"/>
    <w:rsid w:val="33FE2F6A"/>
    <w:rsid w:val="340E07E5"/>
    <w:rsid w:val="34235BF7"/>
    <w:rsid w:val="34474DD2"/>
    <w:rsid w:val="344A041F"/>
    <w:rsid w:val="344A61E6"/>
    <w:rsid w:val="34786987"/>
    <w:rsid w:val="347F27BE"/>
    <w:rsid w:val="34A52E51"/>
    <w:rsid w:val="34D50699"/>
    <w:rsid w:val="34FC7877"/>
    <w:rsid w:val="352C0D36"/>
    <w:rsid w:val="35337105"/>
    <w:rsid w:val="354111EE"/>
    <w:rsid w:val="35575444"/>
    <w:rsid w:val="35583548"/>
    <w:rsid w:val="358C5FA8"/>
    <w:rsid w:val="35B53FBD"/>
    <w:rsid w:val="35C15DF1"/>
    <w:rsid w:val="35D95EFE"/>
    <w:rsid w:val="36074A7F"/>
    <w:rsid w:val="36407D2B"/>
    <w:rsid w:val="36715D79"/>
    <w:rsid w:val="36923549"/>
    <w:rsid w:val="36A70D27"/>
    <w:rsid w:val="36A84BD1"/>
    <w:rsid w:val="36AA5AEC"/>
    <w:rsid w:val="36B75FBF"/>
    <w:rsid w:val="36BD0C45"/>
    <w:rsid w:val="36CC2C5C"/>
    <w:rsid w:val="36FF7BE6"/>
    <w:rsid w:val="370965B5"/>
    <w:rsid w:val="371E6DBC"/>
    <w:rsid w:val="372A47A6"/>
    <w:rsid w:val="37313B18"/>
    <w:rsid w:val="375A306E"/>
    <w:rsid w:val="37865C12"/>
    <w:rsid w:val="378D145B"/>
    <w:rsid w:val="37AF6860"/>
    <w:rsid w:val="37CB510D"/>
    <w:rsid w:val="37CC0CD1"/>
    <w:rsid w:val="37CE11BF"/>
    <w:rsid w:val="37E00298"/>
    <w:rsid w:val="37EB1F18"/>
    <w:rsid w:val="38042FDA"/>
    <w:rsid w:val="380F46FF"/>
    <w:rsid w:val="38193465"/>
    <w:rsid w:val="382A0D6E"/>
    <w:rsid w:val="38561A16"/>
    <w:rsid w:val="38710670"/>
    <w:rsid w:val="388B6865"/>
    <w:rsid w:val="389A342D"/>
    <w:rsid w:val="389D76B7"/>
    <w:rsid w:val="38B302F9"/>
    <w:rsid w:val="38B44A00"/>
    <w:rsid w:val="38D50160"/>
    <w:rsid w:val="38DF3C47"/>
    <w:rsid w:val="38E70932"/>
    <w:rsid w:val="38EC419A"/>
    <w:rsid w:val="38F12CD3"/>
    <w:rsid w:val="38F207CE"/>
    <w:rsid w:val="38F456B7"/>
    <w:rsid w:val="38F94775"/>
    <w:rsid w:val="3920561F"/>
    <w:rsid w:val="39225E0E"/>
    <w:rsid w:val="392971ED"/>
    <w:rsid w:val="392A1612"/>
    <w:rsid w:val="39325651"/>
    <w:rsid w:val="39423DBA"/>
    <w:rsid w:val="39526A89"/>
    <w:rsid w:val="3953239E"/>
    <w:rsid w:val="39534219"/>
    <w:rsid w:val="39783C80"/>
    <w:rsid w:val="3986014B"/>
    <w:rsid w:val="39A77D79"/>
    <w:rsid w:val="39AA701B"/>
    <w:rsid w:val="39B747A8"/>
    <w:rsid w:val="39DE1F09"/>
    <w:rsid w:val="3A0E0140"/>
    <w:rsid w:val="3A0E4A70"/>
    <w:rsid w:val="3A173271"/>
    <w:rsid w:val="3A1A6AE5"/>
    <w:rsid w:val="3A6F6951"/>
    <w:rsid w:val="3A7942C9"/>
    <w:rsid w:val="3A7B3A28"/>
    <w:rsid w:val="3A830B2E"/>
    <w:rsid w:val="3A872856"/>
    <w:rsid w:val="3A920D71"/>
    <w:rsid w:val="3AAA009C"/>
    <w:rsid w:val="3ABF4BD1"/>
    <w:rsid w:val="3AC52EF5"/>
    <w:rsid w:val="3AF10205"/>
    <w:rsid w:val="3B1E5105"/>
    <w:rsid w:val="3B3763D1"/>
    <w:rsid w:val="3B4402BD"/>
    <w:rsid w:val="3B4B7BB4"/>
    <w:rsid w:val="3B7121C5"/>
    <w:rsid w:val="3B7439DB"/>
    <w:rsid w:val="3BAB20EB"/>
    <w:rsid w:val="3BCB453B"/>
    <w:rsid w:val="3C2A4E29"/>
    <w:rsid w:val="3C2A517C"/>
    <w:rsid w:val="3C2F6E1E"/>
    <w:rsid w:val="3C4F64BA"/>
    <w:rsid w:val="3C5C1637"/>
    <w:rsid w:val="3C6A5B02"/>
    <w:rsid w:val="3C8B637F"/>
    <w:rsid w:val="3C9952AF"/>
    <w:rsid w:val="3CA164D5"/>
    <w:rsid w:val="3CA52FDE"/>
    <w:rsid w:val="3CAB7EC8"/>
    <w:rsid w:val="3CAE0AD9"/>
    <w:rsid w:val="3CC66A6D"/>
    <w:rsid w:val="3CD157EA"/>
    <w:rsid w:val="3CDA245A"/>
    <w:rsid w:val="3CDB5A1B"/>
    <w:rsid w:val="3CE56689"/>
    <w:rsid w:val="3CF950D8"/>
    <w:rsid w:val="3D147313"/>
    <w:rsid w:val="3D1617E6"/>
    <w:rsid w:val="3D1E06B7"/>
    <w:rsid w:val="3D2F0E0E"/>
    <w:rsid w:val="3D320FF5"/>
    <w:rsid w:val="3D605157"/>
    <w:rsid w:val="3D7824A0"/>
    <w:rsid w:val="3D96410A"/>
    <w:rsid w:val="3DA52D01"/>
    <w:rsid w:val="3DAF4446"/>
    <w:rsid w:val="3DB931FE"/>
    <w:rsid w:val="3DBC05DF"/>
    <w:rsid w:val="3DEE4511"/>
    <w:rsid w:val="3E14382C"/>
    <w:rsid w:val="3E175815"/>
    <w:rsid w:val="3E261EFC"/>
    <w:rsid w:val="3E4877BE"/>
    <w:rsid w:val="3E4D56DB"/>
    <w:rsid w:val="3E5E1696"/>
    <w:rsid w:val="3E7600DA"/>
    <w:rsid w:val="3E7E5697"/>
    <w:rsid w:val="3E974FE5"/>
    <w:rsid w:val="3EDA0523"/>
    <w:rsid w:val="3EE020AB"/>
    <w:rsid w:val="3EE4477F"/>
    <w:rsid w:val="3F373C95"/>
    <w:rsid w:val="3F5A3B2D"/>
    <w:rsid w:val="3F7B6278"/>
    <w:rsid w:val="3FA13696"/>
    <w:rsid w:val="3FC217B1"/>
    <w:rsid w:val="3FDD2A8F"/>
    <w:rsid w:val="3FE36389"/>
    <w:rsid w:val="402762FB"/>
    <w:rsid w:val="40381A73"/>
    <w:rsid w:val="40552625"/>
    <w:rsid w:val="40655166"/>
    <w:rsid w:val="407A6407"/>
    <w:rsid w:val="407A652F"/>
    <w:rsid w:val="407C4056"/>
    <w:rsid w:val="40D11DC3"/>
    <w:rsid w:val="412A693B"/>
    <w:rsid w:val="415753EA"/>
    <w:rsid w:val="41596145"/>
    <w:rsid w:val="41766CF7"/>
    <w:rsid w:val="41790595"/>
    <w:rsid w:val="417F7AC9"/>
    <w:rsid w:val="41A03D74"/>
    <w:rsid w:val="4200449D"/>
    <w:rsid w:val="42076E0F"/>
    <w:rsid w:val="420943BD"/>
    <w:rsid w:val="421B0C7C"/>
    <w:rsid w:val="42250FE1"/>
    <w:rsid w:val="422B7AE1"/>
    <w:rsid w:val="423A3BCC"/>
    <w:rsid w:val="424757AB"/>
    <w:rsid w:val="424E57D2"/>
    <w:rsid w:val="427223CF"/>
    <w:rsid w:val="428F3FA1"/>
    <w:rsid w:val="42B26C49"/>
    <w:rsid w:val="42BF3F14"/>
    <w:rsid w:val="42CD38BE"/>
    <w:rsid w:val="42D57A4D"/>
    <w:rsid w:val="42DC0DDB"/>
    <w:rsid w:val="42E92648"/>
    <w:rsid w:val="43014253"/>
    <w:rsid w:val="4315653A"/>
    <w:rsid w:val="432A3029"/>
    <w:rsid w:val="432B3260"/>
    <w:rsid w:val="43381016"/>
    <w:rsid w:val="433A6FE6"/>
    <w:rsid w:val="434534BD"/>
    <w:rsid w:val="43480868"/>
    <w:rsid w:val="4350713C"/>
    <w:rsid w:val="436653E0"/>
    <w:rsid w:val="438C45B0"/>
    <w:rsid w:val="43AD4526"/>
    <w:rsid w:val="43B835F7"/>
    <w:rsid w:val="43BD6C06"/>
    <w:rsid w:val="43BE20C5"/>
    <w:rsid w:val="43C4431A"/>
    <w:rsid w:val="43CC70A2"/>
    <w:rsid w:val="43E22422"/>
    <w:rsid w:val="43E3106F"/>
    <w:rsid w:val="44017D92"/>
    <w:rsid w:val="44036A5B"/>
    <w:rsid w:val="440B5E1C"/>
    <w:rsid w:val="441B07D4"/>
    <w:rsid w:val="442073EE"/>
    <w:rsid w:val="444E0EB1"/>
    <w:rsid w:val="447357CF"/>
    <w:rsid w:val="448C3E78"/>
    <w:rsid w:val="4493196E"/>
    <w:rsid w:val="44B951CC"/>
    <w:rsid w:val="44C33916"/>
    <w:rsid w:val="44CD14E0"/>
    <w:rsid w:val="44E40210"/>
    <w:rsid w:val="44E726ED"/>
    <w:rsid w:val="44F20B0B"/>
    <w:rsid w:val="4517259F"/>
    <w:rsid w:val="451A5910"/>
    <w:rsid w:val="452E5F4C"/>
    <w:rsid w:val="453B365F"/>
    <w:rsid w:val="45612018"/>
    <w:rsid w:val="457C0575"/>
    <w:rsid w:val="45886D5E"/>
    <w:rsid w:val="458946E9"/>
    <w:rsid w:val="45900801"/>
    <w:rsid w:val="45A47C0E"/>
    <w:rsid w:val="45AB2CE7"/>
    <w:rsid w:val="45BD4425"/>
    <w:rsid w:val="45CB1C18"/>
    <w:rsid w:val="45F50953"/>
    <w:rsid w:val="45F51402"/>
    <w:rsid w:val="45FB5A1D"/>
    <w:rsid w:val="460D5750"/>
    <w:rsid w:val="460E3D41"/>
    <w:rsid w:val="4618111F"/>
    <w:rsid w:val="461B4141"/>
    <w:rsid w:val="46431172"/>
    <w:rsid w:val="4652308E"/>
    <w:rsid w:val="46577FD6"/>
    <w:rsid w:val="466B2BA2"/>
    <w:rsid w:val="467F664E"/>
    <w:rsid w:val="4681606A"/>
    <w:rsid w:val="468E6891"/>
    <w:rsid w:val="46AE157B"/>
    <w:rsid w:val="46B21B9A"/>
    <w:rsid w:val="46D955A7"/>
    <w:rsid w:val="46DF533E"/>
    <w:rsid w:val="46EE3834"/>
    <w:rsid w:val="46F2217B"/>
    <w:rsid w:val="46F81F5C"/>
    <w:rsid w:val="47133957"/>
    <w:rsid w:val="47215957"/>
    <w:rsid w:val="474156B1"/>
    <w:rsid w:val="474B3DCA"/>
    <w:rsid w:val="474E6020"/>
    <w:rsid w:val="47512004"/>
    <w:rsid w:val="476D3B3B"/>
    <w:rsid w:val="47767A51"/>
    <w:rsid w:val="4784562A"/>
    <w:rsid w:val="4799729B"/>
    <w:rsid w:val="47A07E0C"/>
    <w:rsid w:val="47A64B3B"/>
    <w:rsid w:val="47B24801"/>
    <w:rsid w:val="47CB4319"/>
    <w:rsid w:val="47D209FF"/>
    <w:rsid w:val="47D429C9"/>
    <w:rsid w:val="47F941DE"/>
    <w:rsid w:val="47FE0A76"/>
    <w:rsid w:val="480A0199"/>
    <w:rsid w:val="482D0325"/>
    <w:rsid w:val="482D66CC"/>
    <w:rsid w:val="484A67E7"/>
    <w:rsid w:val="485D5345"/>
    <w:rsid w:val="485E24FD"/>
    <w:rsid w:val="4870272E"/>
    <w:rsid w:val="48875DD3"/>
    <w:rsid w:val="48A13508"/>
    <w:rsid w:val="48B56C14"/>
    <w:rsid w:val="48E1714C"/>
    <w:rsid w:val="48EE3617"/>
    <w:rsid w:val="490966A2"/>
    <w:rsid w:val="49115557"/>
    <w:rsid w:val="491D55B1"/>
    <w:rsid w:val="492434DC"/>
    <w:rsid w:val="49441489"/>
    <w:rsid w:val="495C2C76"/>
    <w:rsid w:val="496375B5"/>
    <w:rsid w:val="497A30FC"/>
    <w:rsid w:val="49843F7B"/>
    <w:rsid w:val="498B355B"/>
    <w:rsid w:val="49AB0144"/>
    <w:rsid w:val="49AD34D2"/>
    <w:rsid w:val="49B02FC2"/>
    <w:rsid w:val="49B75708"/>
    <w:rsid w:val="49D83B86"/>
    <w:rsid w:val="49DC7715"/>
    <w:rsid w:val="49FE1F7F"/>
    <w:rsid w:val="4A023139"/>
    <w:rsid w:val="4A027CA8"/>
    <w:rsid w:val="4A056E6A"/>
    <w:rsid w:val="4A0F39E7"/>
    <w:rsid w:val="4A253068"/>
    <w:rsid w:val="4A260F23"/>
    <w:rsid w:val="4A541B9F"/>
    <w:rsid w:val="4A556B4D"/>
    <w:rsid w:val="4A5622C3"/>
    <w:rsid w:val="4A58343D"/>
    <w:rsid w:val="4A630034"/>
    <w:rsid w:val="4A7575AD"/>
    <w:rsid w:val="4A7B576F"/>
    <w:rsid w:val="4A8C1339"/>
    <w:rsid w:val="4ACA6560"/>
    <w:rsid w:val="4AF561A9"/>
    <w:rsid w:val="4AF60EA8"/>
    <w:rsid w:val="4AF833B5"/>
    <w:rsid w:val="4B01317C"/>
    <w:rsid w:val="4B665058"/>
    <w:rsid w:val="4B8E2E8F"/>
    <w:rsid w:val="4BA6503D"/>
    <w:rsid w:val="4BD8330B"/>
    <w:rsid w:val="4BFE6267"/>
    <w:rsid w:val="4C215AB1"/>
    <w:rsid w:val="4C242D73"/>
    <w:rsid w:val="4C4A0649"/>
    <w:rsid w:val="4C7E5ECA"/>
    <w:rsid w:val="4C876AA5"/>
    <w:rsid w:val="4C9170DB"/>
    <w:rsid w:val="4C9314DC"/>
    <w:rsid w:val="4CB66B41"/>
    <w:rsid w:val="4CC4707B"/>
    <w:rsid w:val="4D0E00FB"/>
    <w:rsid w:val="4D176606"/>
    <w:rsid w:val="4D2770F7"/>
    <w:rsid w:val="4D4131AF"/>
    <w:rsid w:val="4D493511"/>
    <w:rsid w:val="4D5325E2"/>
    <w:rsid w:val="4D53613E"/>
    <w:rsid w:val="4D64784A"/>
    <w:rsid w:val="4D6640C3"/>
    <w:rsid w:val="4D7249AF"/>
    <w:rsid w:val="4D761E2D"/>
    <w:rsid w:val="4D8C2657"/>
    <w:rsid w:val="4D9D0B0F"/>
    <w:rsid w:val="4DAD1CF2"/>
    <w:rsid w:val="4DE779F7"/>
    <w:rsid w:val="4DEC4FB0"/>
    <w:rsid w:val="4DF01BDF"/>
    <w:rsid w:val="4DFC5713"/>
    <w:rsid w:val="4E00310E"/>
    <w:rsid w:val="4E06624E"/>
    <w:rsid w:val="4E075D8A"/>
    <w:rsid w:val="4E0A0EF3"/>
    <w:rsid w:val="4E0C4F41"/>
    <w:rsid w:val="4E3758FF"/>
    <w:rsid w:val="4E47299C"/>
    <w:rsid w:val="4E6372F5"/>
    <w:rsid w:val="4E8835CF"/>
    <w:rsid w:val="4E8E297B"/>
    <w:rsid w:val="4E984750"/>
    <w:rsid w:val="4E9A6118"/>
    <w:rsid w:val="4EAF1A9A"/>
    <w:rsid w:val="4EB62E28"/>
    <w:rsid w:val="4EC00FAD"/>
    <w:rsid w:val="4EC02CEA"/>
    <w:rsid w:val="4EC21993"/>
    <w:rsid w:val="4ED072A7"/>
    <w:rsid w:val="4ED170A2"/>
    <w:rsid w:val="4EDA0F1C"/>
    <w:rsid w:val="4EDE3549"/>
    <w:rsid w:val="4EDE7C89"/>
    <w:rsid w:val="4EF179BD"/>
    <w:rsid w:val="4F0E4A13"/>
    <w:rsid w:val="4F1463AA"/>
    <w:rsid w:val="4F4A120F"/>
    <w:rsid w:val="4F5D2A46"/>
    <w:rsid w:val="4F626B0C"/>
    <w:rsid w:val="4F636326"/>
    <w:rsid w:val="4F8F6036"/>
    <w:rsid w:val="4F952A3E"/>
    <w:rsid w:val="4F9843DC"/>
    <w:rsid w:val="4FAB6675"/>
    <w:rsid w:val="4FC62A8C"/>
    <w:rsid w:val="4FE20F0D"/>
    <w:rsid w:val="4FE51552"/>
    <w:rsid w:val="4FF83AAC"/>
    <w:rsid w:val="4FFB3740"/>
    <w:rsid w:val="501A2F43"/>
    <w:rsid w:val="504D50C7"/>
    <w:rsid w:val="50504C4B"/>
    <w:rsid w:val="506125ED"/>
    <w:rsid w:val="506D7998"/>
    <w:rsid w:val="50901457"/>
    <w:rsid w:val="50910E9D"/>
    <w:rsid w:val="509C6E7C"/>
    <w:rsid w:val="50A373DC"/>
    <w:rsid w:val="50B45146"/>
    <w:rsid w:val="50B70FE5"/>
    <w:rsid w:val="50B71807"/>
    <w:rsid w:val="50CB610C"/>
    <w:rsid w:val="50CF7548"/>
    <w:rsid w:val="50E51AED"/>
    <w:rsid w:val="50E772C9"/>
    <w:rsid w:val="50F11EF6"/>
    <w:rsid w:val="50F84F47"/>
    <w:rsid w:val="50FA27BF"/>
    <w:rsid w:val="510F6007"/>
    <w:rsid w:val="51275918"/>
    <w:rsid w:val="5149610A"/>
    <w:rsid w:val="514E10F6"/>
    <w:rsid w:val="515F5DA2"/>
    <w:rsid w:val="5162104E"/>
    <w:rsid w:val="51960CEF"/>
    <w:rsid w:val="51AE022E"/>
    <w:rsid w:val="51CA5E34"/>
    <w:rsid w:val="51D21809"/>
    <w:rsid w:val="51D74321"/>
    <w:rsid w:val="51EB64FE"/>
    <w:rsid w:val="51F100B6"/>
    <w:rsid w:val="52151C14"/>
    <w:rsid w:val="526D37FE"/>
    <w:rsid w:val="52862B12"/>
    <w:rsid w:val="52A336C4"/>
    <w:rsid w:val="52A55FBB"/>
    <w:rsid w:val="52A74E72"/>
    <w:rsid w:val="52CD24EF"/>
    <w:rsid w:val="52CF270B"/>
    <w:rsid w:val="52F91536"/>
    <w:rsid w:val="5302488E"/>
    <w:rsid w:val="530917F5"/>
    <w:rsid w:val="534B0D62"/>
    <w:rsid w:val="535D1AC5"/>
    <w:rsid w:val="536A5F90"/>
    <w:rsid w:val="53746E0E"/>
    <w:rsid w:val="538434F5"/>
    <w:rsid w:val="538C05FC"/>
    <w:rsid w:val="53A039CC"/>
    <w:rsid w:val="53A1505A"/>
    <w:rsid w:val="53C713C7"/>
    <w:rsid w:val="53D04FA5"/>
    <w:rsid w:val="53E15AD5"/>
    <w:rsid w:val="53F40023"/>
    <w:rsid w:val="53FD74E0"/>
    <w:rsid w:val="54063E08"/>
    <w:rsid w:val="543437E8"/>
    <w:rsid w:val="547A4B82"/>
    <w:rsid w:val="54883D71"/>
    <w:rsid w:val="5488491F"/>
    <w:rsid w:val="54F73313"/>
    <w:rsid w:val="54F80955"/>
    <w:rsid w:val="55014A1F"/>
    <w:rsid w:val="550B72FE"/>
    <w:rsid w:val="552252C5"/>
    <w:rsid w:val="55281444"/>
    <w:rsid w:val="5537507C"/>
    <w:rsid w:val="555170A7"/>
    <w:rsid w:val="55652EB2"/>
    <w:rsid w:val="55807CEC"/>
    <w:rsid w:val="5587536D"/>
    <w:rsid w:val="559612BE"/>
    <w:rsid w:val="559B174B"/>
    <w:rsid w:val="55A6309D"/>
    <w:rsid w:val="55CE0CF4"/>
    <w:rsid w:val="55FC165A"/>
    <w:rsid w:val="561F12B3"/>
    <w:rsid w:val="564451BE"/>
    <w:rsid w:val="56464A92"/>
    <w:rsid w:val="565B3C59"/>
    <w:rsid w:val="565B76DE"/>
    <w:rsid w:val="56610114"/>
    <w:rsid w:val="56680EAC"/>
    <w:rsid w:val="56991FDA"/>
    <w:rsid w:val="56AB2B47"/>
    <w:rsid w:val="56B22A9C"/>
    <w:rsid w:val="56C8194B"/>
    <w:rsid w:val="56CB7B26"/>
    <w:rsid w:val="56CF0C33"/>
    <w:rsid w:val="56E36785"/>
    <w:rsid w:val="56F20776"/>
    <w:rsid w:val="56F65EFF"/>
    <w:rsid w:val="56F75D1C"/>
    <w:rsid w:val="56FF3769"/>
    <w:rsid w:val="57106E4E"/>
    <w:rsid w:val="571903F8"/>
    <w:rsid w:val="57234CFF"/>
    <w:rsid w:val="572836F8"/>
    <w:rsid w:val="572B49E8"/>
    <w:rsid w:val="57510BC3"/>
    <w:rsid w:val="57931F59"/>
    <w:rsid w:val="579637F7"/>
    <w:rsid w:val="57B72A76"/>
    <w:rsid w:val="57C3426C"/>
    <w:rsid w:val="57CE1F93"/>
    <w:rsid w:val="57DC4415"/>
    <w:rsid w:val="57FA3401"/>
    <w:rsid w:val="580D2F1D"/>
    <w:rsid w:val="5818420C"/>
    <w:rsid w:val="581E2F41"/>
    <w:rsid w:val="58254B7B"/>
    <w:rsid w:val="582778D7"/>
    <w:rsid w:val="582C03E0"/>
    <w:rsid w:val="58705DF6"/>
    <w:rsid w:val="588743D1"/>
    <w:rsid w:val="5887701A"/>
    <w:rsid w:val="58946629"/>
    <w:rsid w:val="589C4E3D"/>
    <w:rsid w:val="58A00076"/>
    <w:rsid w:val="58B07495"/>
    <w:rsid w:val="58B2640F"/>
    <w:rsid w:val="58BC1051"/>
    <w:rsid w:val="58BC728D"/>
    <w:rsid w:val="58C31DE1"/>
    <w:rsid w:val="58C8097E"/>
    <w:rsid w:val="59140E77"/>
    <w:rsid w:val="593727F5"/>
    <w:rsid w:val="595B5175"/>
    <w:rsid w:val="59747754"/>
    <w:rsid w:val="59853B23"/>
    <w:rsid w:val="599504DA"/>
    <w:rsid w:val="59C0439F"/>
    <w:rsid w:val="59F6057D"/>
    <w:rsid w:val="59FC6C98"/>
    <w:rsid w:val="5A0100F7"/>
    <w:rsid w:val="5A145086"/>
    <w:rsid w:val="5A5534F6"/>
    <w:rsid w:val="5A7B0A82"/>
    <w:rsid w:val="5A8E6A07"/>
    <w:rsid w:val="5AA004E9"/>
    <w:rsid w:val="5ABD109B"/>
    <w:rsid w:val="5ABE2233"/>
    <w:rsid w:val="5ADD521E"/>
    <w:rsid w:val="5AE2054A"/>
    <w:rsid w:val="5AEA2B03"/>
    <w:rsid w:val="5AFC171F"/>
    <w:rsid w:val="5B0C12A9"/>
    <w:rsid w:val="5B286E5C"/>
    <w:rsid w:val="5B3B2C76"/>
    <w:rsid w:val="5B7F775C"/>
    <w:rsid w:val="5B800A46"/>
    <w:rsid w:val="5B8147BE"/>
    <w:rsid w:val="5B9C5DEC"/>
    <w:rsid w:val="5BC8419B"/>
    <w:rsid w:val="5BD45AA4"/>
    <w:rsid w:val="5BD83C6E"/>
    <w:rsid w:val="5BDF5D95"/>
    <w:rsid w:val="5BF9191D"/>
    <w:rsid w:val="5BFE7528"/>
    <w:rsid w:val="5C1A51D2"/>
    <w:rsid w:val="5C2569D8"/>
    <w:rsid w:val="5C606182"/>
    <w:rsid w:val="5C702869"/>
    <w:rsid w:val="5C7A3128"/>
    <w:rsid w:val="5C7B120D"/>
    <w:rsid w:val="5C82259C"/>
    <w:rsid w:val="5CA16EC6"/>
    <w:rsid w:val="5CBF10FA"/>
    <w:rsid w:val="5CD252D1"/>
    <w:rsid w:val="5CD82EED"/>
    <w:rsid w:val="5CE25A77"/>
    <w:rsid w:val="5CEB16A2"/>
    <w:rsid w:val="5D066D29"/>
    <w:rsid w:val="5D983984"/>
    <w:rsid w:val="5DC61967"/>
    <w:rsid w:val="5DD57A06"/>
    <w:rsid w:val="5E1A5ADD"/>
    <w:rsid w:val="5E230E04"/>
    <w:rsid w:val="5E2467F1"/>
    <w:rsid w:val="5E4F4700"/>
    <w:rsid w:val="5E5B3B59"/>
    <w:rsid w:val="5E60690D"/>
    <w:rsid w:val="5E6A4080"/>
    <w:rsid w:val="5EC450EE"/>
    <w:rsid w:val="5EDD1D0C"/>
    <w:rsid w:val="5EEA61D6"/>
    <w:rsid w:val="5F0F12C4"/>
    <w:rsid w:val="5F1050FC"/>
    <w:rsid w:val="5F125E59"/>
    <w:rsid w:val="5F1A2B43"/>
    <w:rsid w:val="5F2E07B9"/>
    <w:rsid w:val="5F2F459B"/>
    <w:rsid w:val="5F381638"/>
    <w:rsid w:val="5F6E46D2"/>
    <w:rsid w:val="5FA837D1"/>
    <w:rsid w:val="5FB213EA"/>
    <w:rsid w:val="5FB837BB"/>
    <w:rsid w:val="5FD650D9"/>
    <w:rsid w:val="60145C01"/>
    <w:rsid w:val="601614EA"/>
    <w:rsid w:val="60196D73"/>
    <w:rsid w:val="6025396A"/>
    <w:rsid w:val="60471169"/>
    <w:rsid w:val="60805044"/>
    <w:rsid w:val="60853F97"/>
    <w:rsid w:val="60902F1D"/>
    <w:rsid w:val="60C07B37"/>
    <w:rsid w:val="60C07C62"/>
    <w:rsid w:val="60C90799"/>
    <w:rsid w:val="60CC405A"/>
    <w:rsid w:val="60D35C8C"/>
    <w:rsid w:val="61021EFD"/>
    <w:rsid w:val="61067EF5"/>
    <w:rsid w:val="61342E79"/>
    <w:rsid w:val="61385229"/>
    <w:rsid w:val="61600158"/>
    <w:rsid w:val="617C1CB0"/>
    <w:rsid w:val="61A905CB"/>
    <w:rsid w:val="61A94127"/>
    <w:rsid w:val="61AD0847"/>
    <w:rsid w:val="61DB29D3"/>
    <w:rsid w:val="61E215D8"/>
    <w:rsid w:val="61E433B1"/>
    <w:rsid w:val="61F728B3"/>
    <w:rsid w:val="61F730E4"/>
    <w:rsid w:val="61FE48BA"/>
    <w:rsid w:val="621B3775"/>
    <w:rsid w:val="622B7232"/>
    <w:rsid w:val="62364782"/>
    <w:rsid w:val="623F066D"/>
    <w:rsid w:val="626C2768"/>
    <w:rsid w:val="626D295F"/>
    <w:rsid w:val="62711AB7"/>
    <w:rsid w:val="627230D5"/>
    <w:rsid w:val="62A56FE4"/>
    <w:rsid w:val="62B87169"/>
    <w:rsid w:val="62C16D24"/>
    <w:rsid w:val="62D951E1"/>
    <w:rsid w:val="62E73A85"/>
    <w:rsid w:val="62ED08CB"/>
    <w:rsid w:val="630E6937"/>
    <w:rsid w:val="63367C3C"/>
    <w:rsid w:val="63526744"/>
    <w:rsid w:val="638A1BA6"/>
    <w:rsid w:val="6394356A"/>
    <w:rsid w:val="63AE011A"/>
    <w:rsid w:val="63C11E27"/>
    <w:rsid w:val="63C4349A"/>
    <w:rsid w:val="63C61B2C"/>
    <w:rsid w:val="63CA6EC2"/>
    <w:rsid w:val="63D25BB7"/>
    <w:rsid w:val="63D40BE9"/>
    <w:rsid w:val="63DE1EAD"/>
    <w:rsid w:val="63DE6C7F"/>
    <w:rsid w:val="63E63410"/>
    <w:rsid w:val="63E96E7F"/>
    <w:rsid w:val="64081165"/>
    <w:rsid w:val="64102431"/>
    <w:rsid w:val="643C6CB2"/>
    <w:rsid w:val="6445282D"/>
    <w:rsid w:val="64495ECB"/>
    <w:rsid w:val="64A5243A"/>
    <w:rsid w:val="64E738E4"/>
    <w:rsid w:val="64F531DE"/>
    <w:rsid w:val="651915C4"/>
    <w:rsid w:val="65353E04"/>
    <w:rsid w:val="65373578"/>
    <w:rsid w:val="6546685C"/>
    <w:rsid w:val="655107CB"/>
    <w:rsid w:val="657A4758"/>
    <w:rsid w:val="65AC2AE1"/>
    <w:rsid w:val="65B56ACC"/>
    <w:rsid w:val="65B65064"/>
    <w:rsid w:val="65C631B9"/>
    <w:rsid w:val="65D12F2C"/>
    <w:rsid w:val="65D80D1B"/>
    <w:rsid w:val="662735E2"/>
    <w:rsid w:val="66753A62"/>
    <w:rsid w:val="667F353F"/>
    <w:rsid w:val="66836460"/>
    <w:rsid w:val="66A001EE"/>
    <w:rsid w:val="66A66130"/>
    <w:rsid w:val="66C35C8B"/>
    <w:rsid w:val="66F82954"/>
    <w:rsid w:val="66FC3172"/>
    <w:rsid w:val="6712276E"/>
    <w:rsid w:val="671F124A"/>
    <w:rsid w:val="672229B1"/>
    <w:rsid w:val="675B1821"/>
    <w:rsid w:val="677A33C6"/>
    <w:rsid w:val="677A46B4"/>
    <w:rsid w:val="67A91325"/>
    <w:rsid w:val="67C06B9F"/>
    <w:rsid w:val="67D1013E"/>
    <w:rsid w:val="67EB7247"/>
    <w:rsid w:val="681F6961"/>
    <w:rsid w:val="6821583A"/>
    <w:rsid w:val="682C19BF"/>
    <w:rsid w:val="682E35D8"/>
    <w:rsid w:val="684A2FC7"/>
    <w:rsid w:val="685A568A"/>
    <w:rsid w:val="68610A2F"/>
    <w:rsid w:val="68805514"/>
    <w:rsid w:val="6881347C"/>
    <w:rsid w:val="688C389A"/>
    <w:rsid w:val="68961A48"/>
    <w:rsid w:val="68A806FE"/>
    <w:rsid w:val="68C27158"/>
    <w:rsid w:val="68D323E0"/>
    <w:rsid w:val="68D768C5"/>
    <w:rsid w:val="68DB550E"/>
    <w:rsid w:val="68ED5241"/>
    <w:rsid w:val="691A3A83"/>
    <w:rsid w:val="69316E2F"/>
    <w:rsid w:val="694627DD"/>
    <w:rsid w:val="694E2071"/>
    <w:rsid w:val="694F3806"/>
    <w:rsid w:val="69586B5E"/>
    <w:rsid w:val="69702CF4"/>
    <w:rsid w:val="69766163"/>
    <w:rsid w:val="697A3B33"/>
    <w:rsid w:val="698536CB"/>
    <w:rsid w:val="69B8240E"/>
    <w:rsid w:val="69D44760"/>
    <w:rsid w:val="69E00902"/>
    <w:rsid w:val="69F85C4B"/>
    <w:rsid w:val="6A1F2A26"/>
    <w:rsid w:val="6A221ADF"/>
    <w:rsid w:val="6A317213"/>
    <w:rsid w:val="6A520EC7"/>
    <w:rsid w:val="6A707ED8"/>
    <w:rsid w:val="6A841BD5"/>
    <w:rsid w:val="6AAA4C39"/>
    <w:rsid w:val="6AB06526"/>
    <w:rsid w:val="6AC821C7"/>
    <w:rsid w:val="6ADA6494"/>
    <w:rsid w:val="6ADF127C"/>
    <w:rsid w:val="6AF208ED"/>
    <w:rsid w:val="6AF503DD"/>
    <w:rsid w:val="6AF87E20"/>
    <w:rsid w:val="6B2C02A3"/>
    <w:rsid w:val="6B322639"/>
    <w:rsid w:val="6B587750"/>
    <w:rsid w:val="6B67752D"/>
    <w:rsid w:val="6B947BF6"/>
    <w:rsid w:val="6BAF2C82"/>
    <w:rsid w:val="6BD845F7"/>
    <w:rsid w:val="6BFC3DE7"/>
    <w:rsid w:val="6C0422DB"/>
    <w:rsid w:val="6C1D03D0"/>
    <w:rsid w:val="6C2076DB"/>
    <w:rsid w:val="6C636C38"/>
    <w:rsid w:val="6C86543F"/>
    <w:rsid w:val="6C97174C"/>
    <w:rsid w:val="6C99194D"/>
    <w:rsid w:val="6CA200F0"/>
    <w:rsid w:val="6CCA0DCB"/>
    <w:rsid w:val="6CF22E26"/>
    <w:rsid w:val="6D6F26C8"/>
    <w:rsid w:val="6D8E3DF0"/>
    <w:rsid w:val="6DAA3701"/>
    <w:rsid w:val="6DAFD0CC"/>
    <w:rsid w:val="6DB34098"/>
    <w:rsid w:val="6DB545B6"/>
    <w:rsid w:val="6DBB3B60"/>
    <w:rsid w:val="6DCF792D"/>
    <w:rsid w:val="6DE02FB4"/>
    <w:rsid w:val="6E0252EB"/>
    <w:rsid w:val="6E074F83"/>
    <w:rsid w:val="6E113780"/>
    <w:rsid w:val="6E190ADB"/>
    <w:rsid w:val="6E245261"/>
    <w:rsid w:val="6E2C2368"/>
    <w:rsid w:val="6E362898"/>
    <w:rsid w:val="6E380594"/>
    <w:rsid w:val="6E397659"/>
    <w:rsid w:val="6E470F4F"/>
    <w:rsid w:val="6E514CED"/>
    <w:rsid w:val="6E522AE8"/>
    <w:rsid w:val="6E5F4684"/>
    <w:rsid w:val="6E69536A"/>
    <w:rsid w:val="6E946B8C"/>
    <w:rsid w:val="6EA42846"/>
    <w:rsid w:val="6EB12113"/>
    <w:rsid w:val="6EB563D5"/>
    <w:rsid w:val="6EC03D13"/>
    <w:rsid w:val="6ED92677"/>
    <w:rsid w:val="6EE964AB"/>
    <w:rsid w:val="6EF94940"/>
    <w:rsid w:val="6F1654F2"/>
    <w:rsid w:val="6F173018"/>
    <w:rsid w:val="6F1A6664"/>
    <w:rsid w:val="6F225983"/>
    <w:rsid w:val="6F2A03C1"/>
    <w:rsid w:val="6F457B85"/>
    <w:rsid w:val="6F672FA0"/>
    <w:rsid w:val="6F7546E2"/>
    <w:rsid w:val="6F8E08C7"/>
    <w:rsid w:val="6FB53110"/>
    <w:rsid w:val="6FD41DE7"/>
    <w:rsid w:val="6FE56C72"/>
    <w:rsid w:val="6FFC5590"/>
    <w:rsid w:val="70147557"/>
    <w:rsid w:val="703D28E6"/>
    <w:rsid w:val="70420332"/>
    <w:rsid w:val="705458EA"/>
    <w:rsid w:val="706D1DD0"/>
    <w:rsid w:val="70765B1C"/>
    <w:rsid w:val="70781894"/>
    <w:rsid w:val="70785D38"/>
    <w:rsid w:val="707F3B23"/>
    <w:rsid w:val="708446DD"/>
    <w:rsid w:val="70856B87"/>
    <w:rsid w:val="708A4432"/>
    <w:rsid w:val="70932B72"/>
    <w:rsid w:val="70C07AF2"/>
    <w:rsid w:val="70C20D61"/>
    <w:rsid w:val="70C26FB3"/>
    <w:rsid w:val="70C674F2"/>
    <w:rsid w:val="70D527EE"/>
    <w:rsid w:val="70E21403"/>
    <w:rsid w:val="71175551"/>
    <w:rsid w:val="711C61AC"/>
    <w:rsid w:val="711D0DD2"/>
    <w:rsid w:val="71442862"/>
    <w:rsid w:val="715B5300"/>
    <w:rsid w:val="715E6CDC"/>
    <w:rsid w:val="719C6380"/>
    <w:rsid w:val="71A54B64"/>
    <w:rsid w:val="71D27F8A"/>
    <w:rsid w:val="71DE7E1D"/>
    <w:rsid w:val="71E116BB"/>
    <w:rsid w:val="71E33685"/>
    <w:rsid w:val="72007D93"/>
    <w:rsid w:val="72084CF0"/>
    <w:rsid w:val="72553024"/>
    <w:rsid w:val="725810F3"/>
    <w:rsid w:val="72676064"/>
    <w:rsid w:val="72790483"/>
    <w:rsid w:val="72901AFB"/>
    <w:rsid w:val="72936E59"/>
    <w:rsid w:val="729624A5"/>
    <w:rsid w:val="72962C5D"/>
    <w:rsid w:val="72A71751"/>
    <w:rsid w:val="72A921D9"/>
    <w:rsid w:val="72C352B5"/>
    <w:rsid w:val="72D01B2C"/>
    <w:rsid w:val="72EA277F"/>
    <w:rsid w:val="72F63965"/>
    <w:rsid w:val="72FE055B"/>
    <w:rsid w:val="73122968"/>
    <w:rsid w:val="73124D35"/>
    <w:rsid w:val="7315618E"/>
    <w:rsid w:val="731C29AB"/>
    <w:rsid w:val="731F5D5E"/>
    <w:rsid w:val="73223D39"/>
    <w:rsid w:val="733028FA"/>
    <w:rsid w:val="734B14E2"/>
    <w:rsid w:val="737F118B"/>
    <w:rsid w:val="73944C37"/>
    <w:rsid w:val="73B63A5A"/>
    <w:rsid w:val="73C42F0E"/>
    <w:rsid w:val="73C51AD5"/>
    <w:rsid w:val="73C51C7D"/>
    <w:rsid w:val="73F13E37"/>
    <w:rsid w:val="73FB67C9"/>
    <w:rsid w:val="741E793C"/>
    <w:rsid w:val="74251D33"/>
    <w:rsid w:val="74314FC0"/>
    <w:rsid w:val="743E4331"/>
    <w:rsid w:val="74552C79"/>
    <w:rsid w:val="745E3944"/>
    <w:rsid w:val="74965D9D"/>
    <w:rsid w:val="749B3DA3"/>
    <w:rsid w:val="74A52E74"/>
    <w:rsid w:val="74A62D93"/>
    <w:rsid w:val="74C30258"/>
    <w:rsid w:val="74E37836"/>
    <w:rsid w:val="74F00593"/>
    <w:rsid w:val="74FA6D1C"/>
    <w:rsid w:val="75297601"/>
    <w:rsid w:val="752B3E98"/>
    <w:rsid w:val="753C5586"/>
    <w:rsid w:val="753F5076"/>
    <w:rsid w:val="75501031"/>
    <w:rsid w:val="75581C94"/>
    <w:rsid w:val="7573250C"/>
    <w:rsid w:val="75947170"/>
    <w:rsid w:val="75B96BD7"/>
    <w:rsid w:val="75C32F0E"/>
    <w:rsid w:val="75DB4DA2"/>
    <w:rsid w:val="761C0E2B"/>
    <w:rsid w:val="763224E5"/>
    <w:rsid w:val="7635099D"/>
    <w:rsid w:val="76377649"/>
    <w:rsid w:val="76465F91"/>
    <w:rsid w:val="765855A2"/>
    <w:rsid w:val="769537BA"/>
    <w:rsid w:val="76A71125"/>
    <w:rsid w:val="76AC7FB4"/>
    <w:rsid w:val="76BD26F7"/>
    <w:rsid w:val="76E167CA"/>
    <w:rsid w:val="76E41A31"/>
    <w:rsid w:val="7715608F"/>
    <w:rsid w:val="77505319"/>
    <w:rsid w:val="77762421"/>
    <w:rsid w:val="779010FA"/>
    <w:rsid w:val="77B21B30"/>
    <w:rsid w:val="77B56B1F"/>
    <w:rsid w:val="77D25D2E"/>
    <w:rsid w:val="77D53A70"/>
    <w:rsid w:val="780F09F4"/>
    <w:rsid w:val="78197E01"/>
    <w:rsid w:val="781E4BA1"/>
    <w:rsid w:val="78261422"/>
    <w:rsid w:val="78437869"/>
    <w:rsid w:val="78593E89"/>
    <w:rsid w:val="786A7284"/>
    <w:rsid w:val="786B32CD"/>
    <w:rsid w:val="787E084F"/>
    <w:rsid w:val="788D290F"/>
    <w:rsid w:val="789366E3"/>
    <w:rsid w:val="78943CB8"/>
    <w:rsid w:val="78A53AB9"/>
    <w:rsid w:val="78A90480"/>
    <w:rsid w:val="78D15FE5"/>
    <w:rsid w:val="78DD4C22"/>
    <w:rsid w:val="78F41FBF"/>
    <w:rsid w:val="78F87A16"/>
    <w:rsid w:val="79002D6F"/>
    <w:rsid w:val="79200D1B"/>
    <w:rsid w:val="79202AC9"/>
    <w:rsid w:val="79342270"/>
    <w:rsid w:val="79405F91"/>
    <w:rsid w:val="794A5D98"/>
    <w:rsid w:val="79502D1E"/>
    <w:rsid w:val="795C605D"/>
    <w:rsid w:val="79605BA6"/>
    <w:rsid w:val="79812DEB"/>
    <w:rsid w:val="79F41E6D"/>
    <w:rsid w:val="79F503F9"/>
    <w:rsid w:val="79F54A3E"/>
    <w:rsid w:val="79FF3026"/>
    <w:rsid w:val="7A2B7977"/>
    <w:rsid w:val="7A364017"/>
    <w:rsid w:val="7A4D5B40"/>
    <w:rsid w:val="7A8265E1"/>
    <w:rsid w:val="7A861051"/>
    <w:rsid w:val="7A861A66"/>
    <w:rsid w:val="7A8A28F0"/>
    <w:rsid w:val="7A9B4AFD"/>
    <w:rsid w:val="7AA716F4"/>
    <w:rsid w:val="7AAD0390"/>
    <w:rsid w:val="7AAE2E34"/>
    <w:rsid w:val="7AB75FBC"/>
    <w:rsid w:val="7ADF0C11"/>
    <w:rsid w:val="7AEC5358"/>
    <w:rsid w:val="7AF470B9"/>
    <w:rsid w:val="7AF97A75"/>
    <w:rsid w:val="7B3B3DCD"/>
    <w:rsid w:val="7B686D42"/>
    <w:rsid w:val="7B6C46EB"/>
    <w:rsid w:val="7B841746"/>
    <w:rsid w:val="7BD76009"/>
    <w:rsid w:val="7BDD298B"/>
    <w:rsid w:val="7C06069C"/>
    <w:rsid w:val="7C1D7794"/>
    <w:rsid w:val="7C2823C0"/>
    <w:rsid w:val="7C2B5F45"/>
    <w:rsid w:val="7C376AA7"/>
    <w:rsid w:val="7C662EE9"/>
    <w:rsid w:val="7C6C5AC7"/>
    <w:rsid w:val="7CA852AF"/>
    <w:rsid w:val="7CC6544B"/>
    <w:rsid w:val="7CD602AB"/>
    <w:rsid w:val="7CD60D99"/>
    <w:rsid w:val="7CD673E6"/>
    <w:rsid w:val="7CD75B94"/>
    <w:rsid w:val="7D0239FF"/>
    <w:rsid w:val="7D1312C2"/>
    <w:rsid w:val="7D292894"/>
    <w:rsid w:val="7D5E40CD"/>
    <w:rsid w:val="7D7358BD"/>
    <w:rsid w:val="7D847ACA"/>
    <w:rsid w:val="7D880067"/>
    <w:rsid w:val="7D93318E"/>
    <w:rsid w:val="7DA97531"/>
    <w:rsid w:val="7DCD56F2"/>
    <w:rsid w:val="7DD02D0F"/>
    <w:rsid w:val="7DE07FB2"/>
    <w:rsid w:val="7DFC260A"/>
    <w:rsid w:val="7E6F7D52"/>
    <w:rsid w:val="7E78616D"/>
    <w:rsid w:val="7E8E5955"/>
    <w:rsid w:val="7EB72CD3"/>
    <w:rsid w:val="7EE13B3B"/>
    <w:rsid w:val="7EF24F07"/>
    <w:rsid w:val="7F001CE7"/>
    <w:rsid w:val="7F0644B4"/>
    <w:rsid w:val="7F1A4594"/>
    <w:rsid w:val="7F1D782E"/>
    <w:rsid w:val="7F202690"/>
    <w:rsid w:val="7F224C1A"/>
    <w:rsid w:val="7F361298"/>
    <w:rsid w:val="7F3B2B24"/>
    <w:rsid w:val="7F413799"/>
    <w:rsid w:val="7F4802F0"/>
    <w:rsid w:val="7F533BF8"/>
    <w:rsid w:val="7F596D35"/>
    <w:rsid w:val="7F680BB6"/>
    <w:rsid w:val="7F6F7A43"/>
    <w:rsid w:val="7FE47E50"/>
    <w:rsid w:val="7FE80AE4"/>
    <w:rsid w:val="FFFF29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ocked="1"/>
    <w:lsdException w:qFormat="1" w:uiPriority="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qFormat="1" w:unhideWhenUsed="0" w:uiPriority="0" w:semiHidden="0" w:name="List" w:locked="1"/>
    <w:lsdException w:uiPriority="0" w:name="List Bullet" w:locked="1"/>
    <w:lsdException w:unhideWhenUsed="0" w:uiPriority="0" w:semiHidden="0" w:name="List Number" w:locked="1"/>
    <w:lsdException w:uiPriority="0" w:name="List 2" w:locked="1"/>
    <w:lsdException w:uiPriority="0" w:name="List 3" w:locked="1"/>
    <w:lsdException w:uiPriority="0" w:semiHidden="0" w:name="List 4" w:locked="1"/>
    <w:lsdException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1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qFormat="1" w:uiPriority="99" w:name="Salutation" w:locked="1"/>
    <w:lsdException w:qFormat="1" w:unhideWhenUsed="0" w:uiPriority="0" w:semiHidden="0" w:name="Date"/>
    <w:lsdException w:uiPriority="0" w:semiHidden="0" w:name="Body Text First Indent" w:locked="1"/>
    <w:lsdException w:qFormat="1" w:uiPriority="99" w:semiHidden="0" w:name="Body Text First Indent 2" w:locked="1"/>
    <w:lsdException w:uiPriority="0" w:name="Note Heading" w:locked="1"/>
    <w:lsdException w:qFormat="1" w:uiPriority="0" w:semiHidden="0" w:name="Body Text 2" w:locked="1"/>
    <w:lsdException w:uiPriority="0" w:name="Body Text 3" w:locked="1"/>
    <w:lsdException w:qFormat="1" w:unhideWhenUsed="0" w:uiPriority="0" w:semiHidden="0" w:name="Body Text Indent 2" w:locked="1"/>
    <w:lsdException w:qFormat="1" w:unhideWhenUsed="0" w:uiPriority="0" w:semiHidden="0" w:name="Body Text Indent 3" w:locked="1"/>
    <w:lsdException w:uiPriority="0" w:name="Block Text" w:locked="1"/>
    <w:lsdException w:qFormat="1" w:uiPriority="0" w:name="Hyperlink" w:locked="1"/>
    <w:lsdException w:uiPriority="0" w:name="FollowedHyperlink" w:locked="1"/>
    <w:lsdException w:qFormat="1" w:unhideWhenUsed="0" w:uiPriority="0" w:semiHidden="0" w:name="Strong" w:locked="1"/>
    <w:lsdException w:qFormat="1" w:unhideWhenUsed="0" w:uiPriority="0" w:semiHidden="0" w:name="Emphasis" w:locked="1"/>
    <w:lsdException w:uiPriority="0" w:name="Document Map" w:locked="1"/>
    <w:lsdException w:qFormat="1" w:unhideWhenUsed="0" w:uiPriority="99"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nhideWhenUsed="0" w:uiPriority="0" w:name="Table Web 3" w:locked="1"/>
    <w:lsdException w:qFormat="1" w:unhideWhenUsed="0" w:uiPriority="0" w:name="Balloon Text"/>
    <w:lsdException w:qFormat="1" w:unhideWhenUsed="0" w:uiPriority="39" w:semiHidden="0" w:name="Table Grid"/>
    <w:lsdException w:unhideWhenUsed="0"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53"/>
    <w:qFormat/>
    <w:locked/>
    <w:uiPriority w:val="0"/>
    <w:pPr>
      <w:keepNext/>
      <w:keepLines/>
      <w:adjustRightInd w:val="0"/>
      <w:snapToGrid w:val="0"/>
      <w:spacing w:before="260" w:after="260" w:line="416" w:lineRule="auto"/>
      <w:ind w:firstLine="562" w:firstLineChars="200"/>
      <w:outlineLvl w:val="1"/>
    </w:pPr>
    <w:rPr>
      <w:rFonts w:ascii="等线 Light" w:hAnsi="等线 Light" w:eastAsia="等线 Light"/>
      <w:b/>
      <w:bCs/>
      <w:sz w:val="32"/>
      <w:szCs w:val="32"/>
    </w:rPr>
  </w:style>
  <w:style w:type="paragraph" w:styleId="5">
    <w:name w:val="heading 3"/>
    <w:basedOn w:val="1"/>
    <w:next w:val="1"/>
    <w:link w:val="52"/>
    <w:qFormat/>
    <w:locked/>
    <w:uiPriority w:val="0"/>
    <w:pPr>
      <w:keepNext/>
      <w:keepLines/>
      <w:adjustRightInd w:val="0"/>
      <w:snapToGrid w:val="0"/>
      <w:spacing w:before="260" w:after="260" w:line="416" w:lineRule="auto"/>
      <w:ind w:firstLine="562" w:firstLineChars="200"/>
      <w:outlineLvl w:val="2"/>
    </w:pPr>
    <w:rPr>
      <w:b/>
      <w:bCs/>
      <w:sz w:val="32"/>
      <w:szCs w:val="32"/>
    </w:rPr>
  </w:style>
  <w:style w:type="paragraph" w:styleId="6">
    <w:name w:val="heading 4"/>
    <w:basedOn w:val="1"/>
    <w:next w:val="1"/>
    <w:qFormat/>
    <w:locked/>
    <w:uiPriority w:val="0"/>
    <w:pPr>
      <w:keepNext/>
      <w:keepLines/>
      <w:tabs>
        <w:tab w:val="left" w:pos="864"/>
      </w:tabs>
      <w:spacing w:before="280" w:after="290" w:line="376" w:lineRule="auto"/>
      <w:ind w:left="864" w:hanging="864"/>
      <w:outlineLvl w:val="3"/>
    </w:pPr>
    <w:rPr>
      <w:rFonts w:ascii="Arial" w:hAnsi="Arial" w:eastAsia="黑体"/>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7"/>
    <w:qFormat/>
    <w:uiPriority w:val="0"/>
    <w:pPr>
      <w:widowControl/>
      <w:snapToGrid w:val="0"/>
      <w:spacing w:before="60" w:after="160" w:line="259" w:lineRule="auto"/>
      <w:ind w:right="113"/>
    </w:pPr>
    <w:rPr>
      <w:kern w:val="0"/>
      <w:sz w:val="18"/>
      <w:szCs w:val="20"/>
    </w:rPr>
  </w:style>
  <w:style w:type="paragraph" w:styleId="7">
    <w:name w:val="Normal Indent"/>
    <w:basedOn w:val="1"/>
    <w:qFormat/>
    <w:locked/>
    <w:uiPriority w:val="0"/>
    <w:rPr>
      <w:sz w:val="28"/>
      <w:szCs w:val="20"/>
    </w:rPr>
  </w:style>
  <w:style w:type="paragraph" w:styleId="8">
    <w:name w:val="annotation text"/>
    <w:basedOn w:val="1"/>
    <w:link w:val="38"/>
    <w:semiHidden/>
    <w:qFormat/>
    <w:uiPriority w:val="0"/>
    <w:pPr>
      <w:jc w:val="left"/>
    </w:pPr>
    <w:rPr>
      <w:kern w:val="0"/>
      <w:sz w:val="24"/>
      <w:szCs w:val="20"/>
    </w:rPr>
  </w:style>
  <w:style w:type="paragraph" w:styleId="9">
    <w:name w:val="Salutation"/>
    <w:basedOn w:val="1"/>
    <w:next w:val="1"/>
    <w:semiHidden/>
    <w:unhideWhenUsed/>
    <w:qFormat/>
    <w:locked/>
    <w:uiPriority w:val="99"/>
  </w:style>
  <w:style w:type="paragraph" w:styleId="10">
    <w:name w:val="Body Text Indent"/>
    <w:basedOn w:val="1"/>
    <w:link w:val="47"/>
    <w:qFormat/>
    <w:uiPriority w:val="0"/>
    <w:pPr>
      <w:spacing w:after="120"/>
      <w:ind w:left="420" w:leftChars="200"/>
    </w:pPr>
    <w:rPr>
      <w:kern w:val="0"/>
      <w:sz w:val="24"/>
      <w:szCs w:val="20"/>
    </w:rPr>
  </w:style>
  <w:style w:type="paragraph" w:styleId="11">
    <w:name w:val="Plain Text"/>
    <w:basedOn w:val="1"/>
    <w:next w:val="1"/>
    <w:link w:val="66"/>
    <w:qFormat/>
    <w:locked/>
    <w:uiPriority w:val="99"/>
    <w:rPr>
      <w:rFonts w:ascii="宋体" w:hAnsi="Courier New" w:cs="Courier New"/>
      <w:szCs w:val="21"/>
    </w:rPr>
  </w:style>
  <w:style w:type="paragraph" w:styleId="12">
    <w:name w:val="Date"/>
    <w:basedOn w:val="1"/>
    <w:next w:val="1"/>
    <w:link w:val="33"/>
    <w:qFormat/>
    <w:uiPriority w:val="0"/>
    <w:pPr>
      <w:ind w:left="100" w:leftChars="2500"/>
    </w:pPr>
    <w:rPr>
      <w:kern w:val="0"/>
      <w:sz w:val="24"/>
      <w:szCs w:val="20"/>
    </w:rPr>
  </w:style>
  <w:style w:type="paragraph" w:styleId="13">
    <w:name w:val="Body Text Indent 2"/>
    <w:basedOn w:val="1"/>
    <w:next w:val="14"/>
    <w:link w:val="69"/>
    <w:qFormat/>
    <w:locked/>
    <w:uiPriority w:val="0"/>
    <w:pPr>
      <w:spacing w:after="120" w:line="480" w:lineRule="auto"/>
      <w:ind w:left="420" w:leftChars="200"/>
    </w:pPr>
    <w:rPr>
      <w:rFonts w:ascii="Calibri" w:hAnsi="Calibri"/>
    </w:rPr>
  </w:style>
  <w:style w:type="paragraph" w:customStyle="1" w:styleId="14">
    <w:name w:val="正文4"/>
    <w:basedOn w:val="1"/>
    <w:qFormat/>
    <w:uiPriority w:val="0"/>
    <w:pPr>
      <w:widowControl/>
      <w:autoSpaceDE w:val="0"/>
      <w:autoSpaceDN w:val="0"/>
      <w:spacing w:after="160" w:line="440" w:lineRule="exact"/>
      <w:ind w:left="567" w:hanging="567"/>
      <w:jc w:val="left"/>
      <w:textAlignment w:val="bottom"/>
    </w:pPr>
    <w:rPr>
      <w:rFonts w:ascii="宋体" w:hAnsi="宋体" w:cs="宋体"/>
      <w:kern w:val="0"/>
      <w:sz w:val="28"/>
      <w:szCs w:val="20"/>
    </w:rPr>
  </w:style>
  <w:style w:type="paragraph" w:styleId="15">
    <w:name w:val="Balloon Text"/>
    <w:basedOn w:val="1"/>
    <w:link w:val="43"/>
    <w:semiHidden/>
    <w:qFormat/>
    <w:uiPriority w:val="0"/>
    <w:rPr>
      <w:kern w:val="0"/>
      <w:sz w:val="18"/>
      <w:szCs w:val="20"/>
    </w:rPr>
  </w:style>
  <w:style w:type="paragraph" w:styleId="16">
    <w:name w:val="footer"/>
    <w:basedOn w:val="1"/>
    <w:link w:val="32"/>
    <w:qFormat/>
    <w:uiPriority w:val="99"/>
    <w:pPr>
      <w:tabs>
        <w:tab w:val="center" w:pos="4153"/>
        <w:tab w:val="right" w:pos="8306"/>
      </w:tabs>
      <w:snapToGrid w:val="0"/>
      <w:jc w:val="left"/>
    </w:pPr>
    <w:rPr>
      <w:kern w:val="0"/>
      <w:sz w:val="18"/>
      <w:szCs w:val="20"/>
    </w:rPr>
  </w:style>
  <w:style w:type="paragraph" w:styleId="17">
    <w:name w:val="header"/>
    <w:basedOn w:val="1"/>
    <w:next w:val="1"/>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List"/>
    <w:basedOn w:val="1"/>
    <w:qFormat/>
    <w:locked/>
    <w:uiPriority w:val="0"/>
    <w:pPr>
      <w:ind w:left="200" w:hanging="200" w:hangingChars="200"/>
    </w:pPr>
    <w:rPr>
      <w:szCs w:val="20"/>
    </w:rPr>
  </w:style>
  <w:style w:type="paragraph" w:styleId="19">
    <w:name w:val="Body Text Indent 3"/>
    <w:basedOn w:val="1"/>
    <w:link w:val="94"/>
    <w:qFormat/>
    <w:locked/>
    <w:uiPriority w:val="0"/>
    <w:pPr>
      <w:spacing w:after="120"/>
      <w:ind w:left="420" w:leftChars="200"/>
    </w:pPr>
    <w:rPr>
      <w:sz w:val="16"/>
    </w:rPr>
  </w:style>
  <w:style w:type="paragraph" w:styleId="20">
    <w:name w:val="Body Text 2"/>
    <w:basedOn w:val="1"/>
    <w:unhideWhenUsed/>
    <w:qFormat/>
    <w:locked/>
    <w:uiPriority w:val="0"/>
    <w:pPr>
      <w:spacing w:after="120" w:line="480" w:lineRule="auto"/>
    </w:pPr>
  </w:style>
  <w:style w:type="paragraph" w:styleId="21">
    <w:name w:val="Normal (Web)"/>
    <w:basedOn w:val="1"/>
    <w:link w:val="35"/>
    <w:qFormat/>
    <w:uiPriority w:val="99"/>
    <w:pPr>
      <w:widowControl/>
      <w:spacing w:before="100" w:beforeAutospacing="1" w:after="100" w:afterAutospacing="1"/>
      <w:jc w:val="left"/>
    </w:pPr>
    <w:rPr>
      <w:rFonts w:ascii="宋体" w:hAnsi="宋体"/>
      <w:kern w:val="0"/>
      <w:sz w:val="24"/>
      <w:szCs w:val="20"/>
    </w:rPr>
  </w:style>
  <w:style w:type="paragraph" w:styleId="22">
    <w:name w:val="Title"/>
    <w:basedOn w:val="1"/>
    <w:next w:val="1"/>
    <w:qFormat/>
    <w:locked/>
    <w:uiPriority w:val="10"/>
    <w:pPr>
      <w:spacing w:line="520" w:lineRule="exact"/>
      <w:ind w:firstLine="200" w:firstLineChars="200"/>
      <w:jc w:val="left"/>
    </w:pPr>
    <w:rPr>
      <w:b/>
      <w:bCs/>
      <w:sz w:val="24"/>
      <w:szCs w:val="32"/>
    </w:rPr>
  </w:style>
  <w:style w:type="paragraph" w:styleId="23">
    <w:name w:val="annotation subject"/>
    <w:basedOn w:val="8"/>
    <w:next w:val="8"/>
    <w:link w:val="44"/>
    <w:semiHidden/>
    <w:qFormat/>
    <w:uiPriority w:val="0"/>
    <w:rPr>
      <w:b/>
      <w:kern w:val="2"/>
    </w:rPr>
  </w:style>
  <w:style w:type="paragraph" w:styleId="24">
    <w:name w:val="Body Text First Indent 2"/>
    <w:basedOn w:val="10"/>
    <w:unhideWhenUsed/>
    <w:qFormat/>
    <w:locked/>
    <w:uiPriority w:val="99"/>
    <w:pPr>
      <w:ind w:firstLine="420" w:firstLineChars="200"/>
    </w:p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locked/>
    <w:uiPriority w:val="0"/>
  </w:style>
  <w:style w:type="character" w:styleId="29">
    <w:name w:val="Hyperlink"/>
    <w:basedOn w:val="27"/>
    <w:semiHidden/>
    <w:unhideWhenUsed/>
    <w:qFormat/>
    <w:locked/>
    <w:uiPriority w:val="0"/>
    <w:rPr>
      <w:color w:val="0000FF"/>
      <w:u w:val="single"/>
    </w:rPr>
  </w:style>
  <w:style w:type="character" w:styleId="30">
    <w:name w:val="annotation reference"/>
    <w:basedOn w:val="27"/>
    <w:semiHidden/>
    <w:qFormat/>
    <w:uiPriority w:val="0"/>
    <w:rPr>
      <w:sz w:val="21"/>
    </w:rPr>
  </w:style>
  <w:style w:type="paragraph" w:customStyle="1" w:styleId="31">
    <w:name w:val="正文 首行缩进:  2 字符"/>
    <w:basedOn w:val="1"/>
    <w:qFormat/>
    <w:uiPriority w:val="0"/>
    <w:pPr>
      <w:spacing w:line="360" w:lineRule="auto"/>
      <w:ind w:firstLine="200" w:firstLineChars="200"/>
    </w:pPr>
  </w:style>
  <w:style w:type="character" w:customStyle="1" w:styleId="32">
    <w:name w:val="页脚 字符1"/>
    <w:link w:val="16"/>
    <w:qFormat/>
    <w:locked/>
    <w:uiPriority w:val="99"/>
    <w:rPr>
      <w:sz w:val="18"/>
    </w:rPr>
  </w:style>
  <w:style w:type="character" w:customStyle="1" w:styleId="33">
    <w:name w:val="日期 字符1"/>
    <w:link w:val="12"/>
    <w:qFormat/>
    <w:locked/>
    <w:uiPriority w:val="0"/>
    <w:rPr>
      <w:rFonts w:ascii="Times New Roman" w:hAnsi="Times New Roman" w:eastAsia="宋体"/>
      <w:sz w:val="24"/>
    </w:rPr>
  </w:style>
  <w:style w:type="character" w:customStyle="1" w:styleId="34">
    <w:name w:val="页脚 字符"/>
    <w:basedOn w:val="27"/>
    <w:qFormat/>
    <w:uiPriority w:val="99"/>
  </w:style>
  <w:style w:type="character" w:customStyle="1" w:styleId="35">
    <w:name w:val="普通(网站) 字符"/>
    <w:link w:val="21"/>
    <w:qFormat/>
    <w:locked/>
    <w:uiPriority w:val="0"/>
    <w:rPr>
      <w:rFonts w:ascii="宋体" w:hAnsi="宋体" w:eastAsia="宋体"/>
      <w:sz w:val="24"/>
    </w:rPr>
  </w:style>
  <w:style w:type="character" w:customStyle="1" w:styleId="36">
    <w:name w:val="正文文本 字符1"/>
    <w:semiHidden/>
    <w:qFormat/>
    <w:uiPriority w:val="0"/>
    <w:rPr>
      <w:rFonts w:ascii="Times New Roman" w:hAnsi="Times New Roman" w:eastAsia="宋体"/>
      <w:sz w:val="24"/>
    </w:rPr>
  </w:style>
  <w:style w:type="character" w:customStyle="1" w:styleId="37">
    <w:name w:val="正文文本 字符"/>
    <w:link w:val="2"/>
    <w:qFormat/>
    <w:locked/>
    <w:uiPriority w:val="0"/>
    <w:rPr>
      <w:sz w:val="18"/>
    </w:rPr>
  </w:style>
  <w:style w:type="character" w:customStyle="1" w:styleId="38">
    <w:name w:val="批注文字 字符"/>
    <w:link w:val="8"/>
    <w:qFormat/>
    <w:locked/>
    <w:uiPriority w:val="0"/>
    <w:rPr>
      <w:rFonts w:ascii="Times New Roman" w:hAnsi="Times New Roman" w:eastAsia="宋体"/>
      <w:sz w:val="24"/>
    </w:rPr>
  </w:style>
  <w:style w:type="character" w:customStyle="1" w:styleId="39">
    <w:name w:val="表格 Char"/>
    <w:link w:val="40"/>
    <w:qFormat/>
    <w:locked/>
    <w:uiPriority w:val="0"/>
    <w:rPr>
      <w:rFonts w:ascii="宋体"/>
      <w:sz w:val="21"/>
    </w:rPr>
  </w:style>
  <w:style w:type="paragraph" w:customStyle="1" w:styleId="40">
    <w:name w:val="表格"/>
    <w:basedOn w:val="18"/>
    <w:next w:val="1"/>
    <w:link w:val="39"/>
    <w:qFormat/>
    <w:uiPriority w:val="0"/>
    <w:pPr>
      <w:adjustRightInd w:val="0"/>
      <w:snapToGrid w:val="0"/>
      <w:spacing w:beforeLines="10" w:afterLines="10" w:line="259" w:lineRule="auto"/>
      <w:jc w:val="center"/>
    </w:pPr>
    <w:rPr>
      <w:rFonts w:ascii="宋体"/>
      <w:kern w:val="0"/>
    </w:rPr>
  </w:style>
  <w:style w:type="paragraph" w:customStyle="1" w:styleId="41">
    <w:name w:val="列表1"/>
    <w:basedOn w:val="1"/>
    <w:qFormat/>
    <w:uiPriority w:val="0"/>
    <w:pPr>
      <w:widowControl w:val="0"/>
      <w:spacing w:after="0" w:line="360" w:lineRule="auto"/>
      <w:ind w:left="200" w:hanging="200" w:hangingChars="200"/>
    </w:pPr>
    <w:rPr>
      <w:rFonts w:ascii="Times New Roman" w:hAnsi="Times New Roman" w:eastAsia="宋体" w:cs="宋体"/>
      <w:kern w:val="2"/>
      <w:sz w:val="24"/>
      <w:szCs w:val="24"/>
    </w:rPr>
  </w:style>
  <w:style w:type="character" w:customStyle="1" w:styleId="42">
    <w:name w:val="日期 字符"/>
    <w:semiHidden/>
    <w:qFormat/>
    <w:uiPriority w:val="0"/>
    <w:rPr>
      <w:rFonts w:ascii="Times New Roman" w:hAnsi="Times New Roman" w:eastAsia="宋体"/>
      <w:sz w:val="24"/>
    </w:rPr>
  </w:style>
  <w:style w:type="character" w:customStyle="1" w:styleId="43">
    <w:name w:val="批注框文本 字符"/>
    <w:link w:val="15"/>
    <w:semiHidden/>
    <w:qFormat/>
    <w:locked/>
    <w:uiPriority w:val="0"/>
    <w:rPr>
      <w:rFonts w:ascii="Times New Roman" w:hAnsi="Times New Roman" w:eastAsia="宋体"/>
      <w:sz w:val="18"/>
    </w:rPr>
  </w:style>
  <w:style w:type="character" w:customStyle="1" w:styleId="44">
    <w:name w:val="批注主题 字符"/>
    <w:link w:val="23"/>
    <w:semiHidden/>
    <w:qFormat/>
    <w:locked/>
    <w:uiPriority w:val="0"/>
    <w:rPr>
      <w:rFonts w:ascii="Times New Roman" w:hAnsi="Times New Roman" w:eastAsia="宋体"/>
      <w:b/>
      <w:kern w:val="2"/>
      <w:sz w:val="24"/>
    </w:rPr>
  </w:style>
  <w:style w:type="character" w:customStyle="1" w:styleId="45">
    <w:name w:val="页眉 字符"/>
    <w:link w:val="17"/>
    <w:qFormat/>
    <w:locked/>
    <w:uiPriority w:val="0"/>
    <w:rPr>
      <w:sz w:val="18"/>
    </w:rPr>
  </w:style>
  <w:style w:type="character" w:customStyle="1" w:styleId="46">
    <w:name w:val="批注文字 字符1"/>
    <w:semiHidden/>
    <w:qFormat/>
    <w:uiPriority w:val="0"/>
    <w:rPr>
      <w:rFonts w:ascii="Times New Roman" w:hAnsi="Times New Roman" w:eastAsia="宋体"/>
      <w:sz w:val="24"/>
    </w:rPr>
  </w:style>
  <w:style w:type="character" w:customStyle="1" w:styleId="47">
    <w:name w:val="正文文本缩进 字符"/>
    <w:link w:val="10"/>
    <w:semiHidden/>
    <w:qFormat/>
    <w:locked/>
    <w:uiPriority w:val="0"/>
    <w:rPr>
      <w:rFonts w:ascii="Times New Roman" w:hAnsi="Times New Roman" w:eastAsia="宋体"/>
      <w:sz w:val="24"/>
    </w:rPr>
  </w:style>
  <w:style w:type="paragraph" w:customStyle="1" w:styleId="4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0">
    <w:name w:val="标题 2 Char"/>
    <w:basedOn w:val="27"/>
    <w:qFormat/>
    <w:uiPriority w:val="0"/>
    <w:rPr>
      <w:rFonts w:ascii="Cambria" w:hAnsi="Cambria" w:eastAsia="宋体" w:cs="Times New Roman"/>
      <w:b/>
      <w:bCs/>
      <w:kern w:val="2"/>
      <w:sz w:val="32"/>
      <w:szCs w:val="32"/>
    </w:rPr>
  </w:style>
  <w:style w:type="character" w:customStyle="1" w:styleId="51">
    <w:name w:val="标题 3 Char"/>
    <w:basedOn w:val="27"/>
    <w:qFormat/>
    <w:uiPriority w:val="0"/>
    <w:rPr>
      <w:b/>
      <w:bCs/>
      <w:kern w:val="2"/>
      <w:sz w:val="32"/>
      <w:szCs w:val="32"/>
    </w:rPr>
  </w:style>
  <w:style w:type="character" w:customStyle="1" w:styleId="52">
    <w:name w:val="标题 3 字符"/>
    <w:link w:val="5"/>
    <w:qFormat/>
    <w:uiPriority w:val="0"/>
    <w:rPr>
      <w:b/>
      <w:bCs/>
      <w:kern w:val="2"/>
      <w:sz w:val="32"/>
      <w:szCs w:val="32"/>
    </w:rPr>
  </w:style>
  <w:style w:type="character" w:customStyle="1" w:styleId="53">
    <w:name w:val="标题 2 字符"/>
    <w:link w:val="4"/>
    <w:qFormat/>
    <w:uiPriority w:val="0"/>
    <w:rPr>
      <w:rFonts w:ascii="等线 Light" w:hAnsi="等线 Light" w:eastAsia="等线 Light"/>
      <w:b/>
      <w:bCs/>
      <w:kern w:val="2"/>
      <w:sz w:val="32"/>
      <w:szCs w:val="32"/>
    </w:rPr>
  </w:style>
  <w:style w:type="paragraph" w:customStyle="1" w:styleId="54">
    <w:name w:val="sopZW"/>
    <w:basedOn w:val="1"/>
    <w:qFormat/>
    <w:uiPriority w:val="0"/>
    <w:pPr>
      <w:spacing w:line="360" w:lineRule="auto"/>
      <w:ind w:firstLine="482"/>
    </w:pPr>
    <w:rPr>
      <w:rFonts w:ascii="宋体" w:hAnsi="宋体" w:cs="黑体"/>
      <w:sz w:val="24"/>
      <w:szCs w:val="22"/>
    </w:rPr>
  </w:style>
  <w:style w:type="paragraph" w:customStyle="1" w:styleId="55">
    <w:name w:val="p0"/>
    <w:basedOn w:val="1"/>
    <w:qFormat/>
    <w:uiPriority w:val="0"/>
    <w:pPr>
      <w:widowControl/>
      <w:adjustRightInd w:val="0"/>
      <w:snapToGrid w:val="0"/>
      <w:spacing w:line="360" w:lineRule="auto"/>
      <w:ind w:firstLine="562" w:firstLineChars="200"/>
    </w:pPr>
    <w:rPr>
      <w:kern w:val="0"/>
      <w:sz w:val="24"/>
      <w:szCs w:val="21"/>
    </w:rPr>
  </w:style>
  <w:style w:type="paragraph" w:customStyle="1" w:styleId="56">
    <w:name w:val="Table Paragraph"/>
    <w:basedOn w:val="1"/>
    <w:next w:val="1"/>
    <w:qFormat/>
    <w:uiPriority w:val="0"/>
    <w:pPr>
      <w:adjustRightInd w:val="0"/>
      <w:snapToGrid w:val="0"/>
      <w:spacing w:line="360" w:lineRule="auto"/>
      <w:ind w:firstLine="562" w:firstLineChars="200"/>
      <w:jc w:val="left"/>
    </w:pPr>
    <w:rPr>
      <w:rFonts w:ascii="Calibri" w:hAnsi="Calibri"/>
      <w:kern w:val="0"/>
      <w:sz w:val="22"/>
      <w:szCs w:val="22"/>
      <w:lang w:eastAsia="en-US"/>
    </w:rPr>
  </w:style>
  <w:style w:type="character" w:customStyle="1" w:styleId="57">
    <w:name w:val="表格 Char Char"/>
    <w:qFormat/>
    <w:uiPriority w:val="0"/>
    <w:rPr>
      <w:sz w:val="24"/>
    </w:rPr>
  </w:style>
  <w:style w:type="paragraph" w:customStyle="1" w:styleId="58">
    <w:name w:val="正文0.5"/>
    <w:basedOn w:val="1"/>
    <w:next w:val="1"/>
    <w:qFormat/>
    <w:uiPriority w:val="0"/>
    <w:pPr>
      <w:spacing w:beforeLines="50" w:line="360" w:lineRule="auto"/>
      <w:ind w:firstLine="200" w:firstLineChars="200"/>
    </w:pPr>
    <w:rPr>
      <w:sz w:val="24"/>
      <w:szCs w:val="21"/>
    </w:rPr>
  </w:style>
  <w:style w:type="paragraph" w:customStyle="1" w:styleId="59">
    <w:name w:val="报告表格文字"/>
    <w:basedOn w:val="1"/>
    <w:qFormat/>
    <w:uiPriority w:val="0"/>
    <w:pPr>
      <w:jc w:val="center"/>
    </w:pPr>
    <w:rPr>
      <w:rFonts w:eastAsia="仿宋"/>
    </w:rPr>
  </w:style>
  <w:style w:type="paragraph" w:customStyle="1" w:styleId="60">
    <w:name w:val="表格样式"/>
    <w:basedOn w:val="1"/>
    <w:qFormat/>
    <w:uiPriority w:val="0"/>
    <w:pPr>
      <w:adjustRightInd w:val="0"/>
      <w:snapToGrid w:val="0"/>
      <w:spacing w:line="360" w:lineRule="auto"/>
      <w:ind w:firstLine="562" w:firstLineChars="200"/>
      <w:jc w:val="center"/>
      <w:textAlignment w:val="center"/>
    </w:pPr>
    <w:rPr>
      <w:sz w:val="28"/>
    </w:rPr>
  </w:style>
  <w:style w:type="paragraph" w:customStyle="1" w:styleId="61">
    <w:name w:val="列出段落1"/>
    <w:basedOn w:val="1"/>
    <w:qFormat/>
    <w:uiPriority w:val="1"/>
    <w:pPr>
      <w:autoSpaceDE w:val="0"/>
      <w:autoSpaceDN w:val="0"/>
      <w:adjustRightInd w:val="0"/>
      <w:jc w:val="left"/>
    </w:pPr>
    <w:rPr>
      <w:kern w:val="0"/>
      <w:sz w:val="24"/>
    </w:rPr>
  </w:style>
  <w:style w:type="paragraph" w:customStyle="1" w:styleId="6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63">
    <w:name w:val="图例表例"/>
    <w:basedOn w:val="1"/>
    <w:next w:val="1"/>
    <w:qFormat/>
    <w:uiPriority w:val="0"/>
    <w:pPr>
      <w:jc w:val="center"/>
    </w:pPr>
    <w:rPr>
      <w:b/>
      <w:sz w:val="24"/>
      <w:szCs w:val="21"/>
    </w:rPr>
  </w:style>
  <w:style w:type="character" w:customStyle="1" w:styleId="64">
    <w:name w:val="表格内容 Char"/>
    <w:link w:val="65"/>
    <w:qFormat/>
    <w:locked/>
    <w:uiPriority w:val="0"/>
    <w:rPr>
      <w:kern w:val="2"/>
      <w:sz w:val="21"/>
      <w:szCs w:val="21"/>
    </w:rPr>
  </w:style>
  <w:style w:type="paragraph" w:customStyle="1" w:styleId="65">
    <w:name w:val="表格内容"/>
    <w:link w:val="64"/>
    <w:qFormat/>
    <w:uiPriority w:val="0"/>
    <w:pPr>
      <w:adjustRightInd w:val="0"/>
      <w:snapToGrid w:val="0"/>
      <w:spacing w:line="360" w:lineRule="auto"/>
      <w:ind w:firstLine="562" w:firstLineChars="200"/>
      <w:jc w:val="center"/>
    </w:pPr>
    <w:rPr>
      <w:rFonts w:ascii="Times New Roman" w:hAnsi="Times New Roman" w:eastAsia="宋体" w:cs="Times New Roman"/>
      <w:szCs w:val="21"/>
      <w:lang w:val="en-US" w:eastAsia="zh-CN" w:bidi="ar-SA"/>
    </w:rPr>
  </w:style>
  <w:style w:type="character" w:customStyle="1" w:styleId="66">
    <w:name w:val="纯文本 字符"/>
    <w:basedOn w:val="27"/>
    <w:link w:val="11"/>
    <w:qFormat/>
    <w:uiPriority w:val="99"/>
    <w:rPr>
      <w:rFonts w:ascii="宋体" w:hAnsi="Courier New" w:cs="Courier New"/>
      <w:kern w:val="2"/>
      <w:sz w:val="21"/>
      <w:szCs w:val="21"/>
    </w:rPr>
  </w:style>
  <w:style w:type="paragraph" w:customStyle="1" w:styleId="67">
    <w:name w:val="0表格"/>
    <w:basedOn w:val="1"/>
    <w:qFormat/>
    <w:uiPriority w:val="0"/>
    <w:pPr>
      <w:widowControl/>
      <w:adjustRightInd w:val="0"/>
      <w:snapToGrid w:val="0"/>
      <w:spacing w:line="360" w:lineRule="auto"/>
      <w:ind w:firstLine="562" w:firstLineChars="200"/>
      <w:jc w:val="center"/>
    </w:pPr>
    <w:rPr>
      <w:spacing w:val="4"/>
      <w:kern w:val="0"/>
      <w:sz w:val="24"/>
      <w:szCs w:val="21"/>
    </w:rPr>
  </w:style>
  <w:style w:type="paragraph" w:customStyle="1" w:styleId="68">
    <w:name w:val="Char11"/>
    <w:basedOn w:val="1"/>
    <w:qFormat/>
    <w:uiPriority w:val="0"/>
    <w:pPr>
      <w:adjustRightInd w:val="0"/>
      <w:snapToGrid w:val="0"/>
      <w:spacing w:line="360" w:lineRule="auto"/>
      <w:ind w:firstLine="562" w:firstLineChars="200"/>
    </w:pPr>
  </w:style>
  <w:style w:type="character" w:customStyle="1" w:styleId="69">
    <w:name w:val="正文文本缩进 2 字符"/>
    <w:basedOn w:val="27"/>
    <w:link w:val="13"/>
    <w:qFormat/>
    <w:uiPriority w:val="0"/>
    <w:rPr>
      <w:rFonts w:ascii="Calibri" w:hAnsi="Calibri"/>
      <w:kern w:val="2"/>
      <w:sz w:val="21"/>
      <w:szCs w:val="24"/>
    </w:rPr>
  </w:style>
  <w:style w:type="paragraph" w:customStyle="1" w:styleId="70">
    <w:name w:val="表头"/>
    <w:basedOn w:val="1"/>
    <w:next w:val="1"/>
    <w:link w:val="71"/>
    <w:qFormat/>
    <w:uiPriority w:val="0"/>
    <w:pPr>
      <w:tabs>
        <w:tab w:val="left" w:pos="7380"/>
      </w:tabs>
      <w:adjustRightInd w:val="0"/>
      <w:snapToGrid w:val="0"/>
      <w:spacing w:line="480" w:lineRule="exact"/>
      <w:ind w:firstLine="562" w:firstLineChars="200"/>
      <w:jc w:val="center"/>
    </w:pPr>
    <w:rPr>
      <w:b/>
      <w:sz w:val="24"/>
      <w:szCs w:val="20"/>
    </w:rPr>
  </w:style>
  <w:style w:type="character" w:customStyle="1" w:styleId="71">
    <w:name w:val="表头 Char"/>
    <w:link w:val="70"/>
    <w:qFormat/>
    <w:locked/>
    <w:uiPriority w:val="0"/>
    <w:rPr>
      <w:b/>
      <w:kern w:val="2"/>
      <w:sz w:val="24"/>
    </w:rPr>
  </w:style>
  <w:style w:type="paragraph" w:customStyle="1" w:styleId="72">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styleId="73">
    <w:name w:val="List Paragraph"/>
    <w:basedOn w:val="1"/>
    <w:qFormat/>
    <w:uiPriority w:val="99"/>
    <w:pPr>
      <w:ind w:firstLine="420" w:firstLineChars="200"/>
    </w:pPr>
  </w:style>
  <w:style w:type="paragraph" w:customStyle="1" w:styleId="74">
    <w:name w:val="报告"/>
    <w:basedOn w:val="1"/>
    <w:qFormat/>
    <w:uiPriority w:val="0"/>
    <w:pPr>
      <w:adjustRightInd w:val="0"/>
      <w:spacing w:line="360" w:lineRule="auto"/>
      <w:ind w:firstLine="505"/>
      <w:jc w:val="left"/>
      <w:textAlignment w:val="baseline"/>
    </w:pPr>
    <w:rPr>
      <w:kern w:val="0"/>
      <w:sz w:val="24"/>
      <w:szCs w:val="20"/>
    </w:rPr>
  </w:style>
  <w:style w:type="paragraph" w:customStyle="1" w:styleId="75">
    <w:name w:val="++++++++正文"/>
    <w:basedOn w:val="1"/>
    <w:qFormat/>
    <w:uiPriority w:val="0"/>
    <w:pPr>
      <w:autoSpaceDE w:val="0"/>
      <w:autoSpaceDN w:val="0"/>
      <w:adjustRightInd w:val="0"/>
      <w:spacing w:line="360" w:lineRule="auto"/>
      <w:ind w:firstLine="200" w:firstLineChars="200"/>
    </w:pPr>
    <w:rPr>
      <w:sz w:val="24"/>
      <w:szCs w:val="20"/>
    </w:rPr>
  </w:style>
  <w:style w:type="paragraph" w:customStyle="1" w:styleId="76">
    <w:name w:val="正文 首行缩进:  2 字符 SL CON"/>
    <w:basedOn w:val="1"/>
    <w:qFormat/>
    <w:uiPriority w:val="0"/>
    <w:pPr>
      <w:widowControl/>
      <w:tabs>
        <w:tab w:val="left" w:pos="377"/>
      </w:tabs>
      <w:spacing w:line="360" w:lineRule="auto"/>
      <w:ind w:firstLine="200" w:firstLineChars="200"/>
      <w:jc w:val="left"/>
    </w:pPr>
    <w:rPr>
      <w:rFonts w:ascii="宋体" w:cs="宋体"/>
      <w:kern w:val="0"/>
      <w:sz w:val="24"/>
    </w:rPr>
  </w:style>
  <w:style w:type="paragraph" w:customStyle="1" w:styleId="77">
    <w:name w:val="应填表格"/>
    <w:basedOn w:val="78"/>
    <w:qFormat/>
    <w:uiPriority w:val="0"/>
    <w:pPr>
      <w:jc w:val="left"/>
    </w:pPr>
    <w:rPr>
      <w:b w:val="0"/>
    </w:rPr>
  </w:style>
  <w:style w:type="paragraph" w:customStyle="1" w:styleId="78">
    <w:name w:val="已有表格"/>
    <w:basedOn w:val="1"/>
    <w:qFormat/>
    <w:uiPriority w:val="0"/>
    <w:pPr>
      <w:adjustRightInd w:val="0"/>
      <w:spacing w:before="40" w:after="40"/>
      <w:jc w:val="center"/>
      <w:textAlignment w:val="baseline"/>
    </w:pPr>
    <w:rPr>
      <w:b/>
      <w:kern w:val="0"/>
      <w:sz w:val="24"/>
      <w:szCs w:val="20"/>
    </w:rPr>
  </w:style>
  <w:style w:type="paragraph" w:customStyle="1" w:styleId="79">
    <w:name w:val="样式1"/>
    <w:basedOn w:val="1"/>
    <w:qFormat/>
    <w:uiPriority w:val="0"/>
    <w:pPr>
      <w:adjustRightInd w:val="0"/>
      <w:spacing w:line="288" w:lineRule="auto"/>
      <w:jc w:val="left"/>
      <w:textAlignment w:val="baseline"/>
    </w:pPr>
    <w:rPr>
      <w:rFonts w:ascii="黑体" w:eastAsia="黑体"/>
      <w:b/>
      <w:kern w:val="0"/>
      <w:sz w:val="32"/>
      <w:szCs w:val="20"/>
    </w:rPr>
  </w:style>
  <w:style w:type="paragraph" w:customStyle="1" w:styleId="80">
    <w:name w:val="CM5"/>
    <w:basedOn w:val="62"/>
    <w:next w:val="62"/>
    <w:unhideWhenUsed/>
    <w:qFormat/>
    <w:uiPriority w:val="99"/>
    <w:pPr>
      <w:spacing w:line="466" w:lineRule="atLeast"/>
    </w:pPr>
  </w:style>
  <w:style w:type="paragraph" w:customStyle="1" w:styleId="81">
    <w:name w:val="CM6"/>
    <w:basedOn w:val="62"/>
    <w:next w:val="62"/>
    <w:unhideWhenUsed/>
    <w:qFormat/>
    <w:uiPriority w:val="99"/>
    <w:pPr>
      <w:spacing w:line="468" w:lineRule="atLeast"/>
    </w:pPr>
  </w:style>
  <w:style w:type="paragraph" w:customStyle="1" w:styleId="82">
    <w:name w:val="CM46"/>
    <w:basedOn w:val="62"/>
    <w:next w:val="62"/>
    <w:unhideWhenUsed/>
    <w:qFormat/>
    <w:uiPriority w:val="99"/>
  </w:style>
  <w:style w:type="paragraph" w:customStyle="1" w:styleId="83">
    <w:name w:val="报告表格"/>
    <w:basedOn w:val="1"/>
    <w:qFormat/>
    <w:uiPriority w:val="0"/>
    <w:pPr>
      <w:autoSpaceDE w:val="0"/>
      <w:autoSpaceDN w:val="0"/>
      <w:adjustRightInd w:val="0"/>
      <w:spacing w:before="40" w:after="40"/>
      <w:jc w:val="center"/>
    </w:pPr>
    <w:rPr>
      <w:kern w:val="0"/>
      <w:szCs w:val="20"/>
    </w:rPr>
  </w:style>
  <w:style w:type="paragraph" w:customStyle="1" w:styleId="84">
    <w:name w:val="表头1111"/>
    <w:basedOn w:val="1"/>
    <w:qFormat/>
    <w:uiPriority w:val="0"/>
    <w:pPr>
      <w:jc w:val="center"/>
      <w:textAlignment w:val="baseline"/>
    </w:pPr>
    <w:rPr>
      <w:rFonts w:hAnsi="宋体"/>
      <w:b/>
      <w:bCs/>
      <w:szCs w:val="21"/>
    </w:rPr>
  </w:style>
  <w:style w:type="character" w:customStyle="1" w:styleId="85">
    <w:name w:val="font21"/>
    <w:qFormat/>
    <w:uiPriority w:val="0"/>
    <w:rPr>
      <w:rFonts w:ascii="等线" w:hAnsi="等线" w:eastAsia="等线" w:cs="等线"/>
      <w:color w:val="000000"/>
      <w:sz w:val="21"/>
      <w:szCs w:val="21"/>
      <w:u w:val="none"/>
    </w:rPr>
  </w:style>
  <w:style w:type="character" w:customStyle="1" w:styleId="86">
    <w:name w:val="font51"/>
    <w:qFormat/>
    <w:uiPriority w:val="0"/>
    <w:rPr>
      <w:rFonts w:hint="default" w:ascii="Times New Roman" w:hAnsi="Times New Roman" w:cs="Times New Roman"/>
      <w:color w:val="000000"/>
      <w:sz w:val="21"/>
      <w:szCs w:val="21"/>
      <w:u w:val="none"/>
    </w:rPr>
  </w:style>
  <w:style w:type="paragraph" w:customStyle="1" w:styleId="87">
    <w:name w:val="+正文"/>
    <w:basedOn w:val="1"/>
    <w:qFormat/>
    <w:uiPriority w:val="0"/>
    <w:pPr>
      <w:spacing w:line="360" w:lineRule="auto"/>
      <w:ind w:firstLine="200" w:firstLineChars="200"/>
    </w:pPr>
    <w:rPr>
      <w:sz w:val="24"/>
      <w:szCs w:val="28"/>
    </w:rPr>
  </w:style>
  <w:style w:type="character" w:customStyle="1" w:styleId="88">
    <w:name w:val="样式 (符号) 宋体 小四 Char"/>
    <w:link w:val="89"/>
    <w:qFormat/>
    <w:uiPriority w:val="0"/>
    <w:rPr>
      <w:rFonts w:hAnsi="宋体" w:eastAsia="Times New Roman"/>
      <w:bCs/>
      <w:kern w:val="0"/>
      <w:sz w:val="24"/>
    </w:rPr>
  </w:style>
  <w:style w:type="paragraph" w:customStyle="1" w:styleId="89">
    <w:name w:val="样式 (符号) 宋体 小四"/>
    <w:basedOn w:val="1"/>
    <w:link w:val="88"/>
    <w:qFormat/>
    <w:uiPriority w:val="0"/>
    <w:pPr>
      <w:spacing w:line="360" w:lineRule="auto"/>
      <w:ind w:firstLine="200" w:firstLineChars="200"/>
    </w:pPr>
    <w:rPr>
      <w:rFonts w:hAnsi="宋体" w:eastAsia="Times New Roman"/>
      <w:bCs/>
      <w:kern w:val="0"/>
      <w:sz w:val="24"/>
    </w:rPr>
  </w:style>
  <w:style w:type="paragraph" w:customStyle="1" w:styleId="90">
    <w:name w:val="样式 加粗 黑色 居中 行距: 1.5 倍行距"/>
    <w:basedOn w:val="1"/>
    <w:qFormat/>
    <w:uiPriority w:val="0"/>
    <w:pPr>
      <w:spacing w:line="360" w:lineRule="auto"/>
      <w:jc w:val="center"/>
    </w:pPr>
    <w:rPr>
      <w:rFonts w:ascii="Calibri" w:hAnsi="Calibri" w:cs="宋体"/>
      <w:b/>
      <w:bCs/>
      <w:color w:val="000000"/>
      <w:sz w:val="22"/>
      <w:szCs w:val="20"/>
    </w:rPr>
  </w:style>
  <w:style w:type="paragraph" w:customStyle="1" w:styleId="91">
    <w:name w:val="CM91"/>
    <w:basedOn w:val="62"/>
    <w:next w:val="62"/>
    <w:unhideWhenUsed/>
    <w:qFormat/>
    <w:uiPriority w:val="99"/>
    <w:pPr>
      <w:spacing w:after="353"/>
    </w:pPr>
  </w:style>
  <w:style w:type="paragraph" w:customStyle="1" w:styleId="92">
    <w:name w:val="样式4"/>
    <w:basedOn w:val="1"/>
    <w:qFormat/>
    <w:uiPriority w:val="0"/>
    <w:pPr>
      <w:wordWrap w:val="0"/>
      <w:spacing w:line="360" w:lineRule="auto"/>
      <w:ind w:firstLine="560" w:firstLineChars="200"/>
      <w:jc w:val="left"/>
    </w:pPr>
    <w:rPr>
      <w:kern w:val="0"/>
    </w:rPr>
  </w:style>
  <w:style w:type="paragraph" w:customStyle="1" w:styleId="93">
    <w:name w:val="Normal_44"/>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94">
    <w:name w:val="正文文本缩进 3 字符"/>
    <w:link w:val="19"/>
    <w:qFormat/>
    <w:uiPriority w:val="0"/>
    <w:rPr>
      <w:sz w:val="16"/>
    </w:rPr>
  </w:style>
  <w:style w:type="paragraph" w:customStyle="1" w:styleId="95">
    <w:name w:val="BodyText"/>
    <w:basedOn w:val="1"/>
    <w:qFormat/>
    <w:uiPriority w:val="0"/>
    <w:pPr>
      <w:textAlignment w:val="baseline"/>
    </w:pPr>
  </w:style>
  <w:style w:type="character" w:customStyle="1" w:styleId="96">
    <w:name w:val="NormalCharacter"/>
    <w:qFormat/>
    <w:uiPriority w:val="0"/>
    <w:rPr>
      <w:rFonts w:ascii="Times New Roman" w:hAnsi="Times New Roman" w:eastAsia="宋体" w:cs="Times New Roman"/>
      <w:kern w:val="2"/>
      <w:sz w:val="21"/>
      <w:szCs w:val="24"/>
      <w:lang w:val="en-US" w:eastAsia="zh-CN" w:bidi="ar-SA"/>
    </w:rPr>
  </w:style>
  <w:style w:type="paragraph" w:customStyle="1" w:styleId="97">
    <w:name w:val="表格内"/>
    <w:basedOn w:val="1"/>
    <w:qFormat/>
    <w:uiPriority w:val="0"/>
    <w:pPr>
      <w:adjustRightInd w:val="0"/>
      <w:jc w:val="center"/>
    </w:pPr>
    <w:rPr>
      <w:rFonts w:cs="宋体"/>
    </w:rPr>
  </w:style>
  <w:style w:type="paragraph" w:customStyle="1" w:styleId="98">
    <w:name w:val="文"/>
    <w:basedOn w:val="1"/>
    <w:qFormat/>
    <w:uiPriority w:val="0"/>
    <w:pPr>
      <w:spacing w:line="360" w:lineRule="auto"/>
      <w:ind w:firstLine="200" w:firstLineChars="200"/>
      <w:jc w:val="left"/>
    </w:pPr>
    <w:rPr>
      <w:sz w:val="24"/>
    </w:rPr>
  </w:style>
  <w:style w:type="paragraph" w:customStyle="1" w:styleId="99">
    <w:name w:val="CM9"/>
    <w:basedOn w:val="62"/>
    <w:next w:val="62"/>
    <w:qFormat/>
    <w:uiPriority w:val="99"/>
    <w:pPr>
      <w:spacing w:line="468" w:lineRule="atLeast"/>
    </w:pPr>
  </w:style>
  <w:style w:type="paragraph" w:customStyle="1" w:styleId="100">
    <w:name w:val="8"/>
    <w:basedOn w:val="1"/>
    <w:qFormat/>
    <w:uiPriority w:val="0"/>
    <w:pPr>
      <w:spacing w:line="360" w:lineRule="auto"/>
      <w:ind w:firstLine="480" w:firstLineChars="200"/>
    </w:pPr>
    <w:rPr>
      <w:rFonts w:asciiTheme="minorHAnsi" w:hAnsiTheme="minorHAnsi" w:eastAsiaTheme="minorEastAsia" w:cstheme="minorBidi"/>
      <w:kern w:val="10"/>
      <w:sz w:val="24"/>
    </w:rPr>
  </w:style>
  <w:style w:type="character" w:customStyle="1" w:styleId="101">
    <w:name w:val="font11"/>
    <w:basedOn w:val="27"/>
    <w:qFormat/>
    <w:uiPriority w:val="0"/>
    <w:rPr>
      <w:rFonts w:hint="default" w:ascii="Times New Roman" w:hAnsi="Times New Roman" w:cs="Times New Roman"/>
      <w:color w:val="000000"/>
      <w:sz w:val="21"/>
      <w:szCs w:val="21"/>
      <w:u w:val="none"/>
    </w:rPr>
  </w:style>
  <w:style w:type="paragraph" w:customStyle="1" w:styleId="102">
    <w:name w:val="环评正文"/>
    <w:basedOn w:val="3"/>
    <w:qFormat/>
    <w:uiPriority w:val="0"/>
    <w:pPr>
      <w:keepNext w:val="0"/>
      <w:widowControl/>
      <w:tabs>
        <w:tab w:val="left" w:pos="360"/>
      </w:tabs>
      <w:overflowPunct/>
      <w:adjustRightInd w:val="0"/>
      <w:spacing w:before="60" w:after="60" w:line="400" w:lineRule="exact"/>
      <w:ind w:left="0" w:firstLine="484"/>
      <w:jc w:val="left"/>
      <w:outlineLvl w:val="9"/>
    </w:pPr>
    <w:rPr>
      <w:rFonts w:eastAsia="仿宋_GB2312"/>
      <w:b w:val="0"/>
      <w:color w:val="auto"/>
      <w:sz w:val="24"/>
      <w:szCs w:val="44"/>
    </w:rPr>
  </w:style>
  <w:style w:type="paragraph" w:customStyle="1" w:styleId="103">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04">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105">
    <w:name w:val="Table Grid_0"/>
    <w:basedOn w:val="25"/>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6">
    <w:name w:val="A-表格标题"/>
    <w:basedOn w:val="1"/>
    <w:qFormat/>
    <w:uiPriority w:val="0"/>
    <w:pPr>
      <w:spacing w:line="360" w:lineRule="auto"/>
      <w:jc w:val="center"/>
    </w:pPr>
    <w:rPr>
      <w:rFonts w:ascii="Times New Roman" w:hAnsi="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wmf"/><Relationship Id="rId22" Type="http://schemas.openxmlformats.org/officeDocument/2006/relationships/oleObject" Target="embeddings/oleObject4.bin"/><Relationship Id="rId21" Type="http://schemas.openxmlformats.org/officeDocument/2006/relationships/image" Target="media/image12.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2.bin"/><Relationship Id="rId17" Type="http://schemas.openxmlformats.org/officeDocument/2006/relationships/image" Target="media/image10.wmf"/><Relationship Id="rId16" Type="http://schemas.openxmlformats.org/officeDocument/2006/relationships/oleObject" Target="embeddings/oleObject1.bin"/><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5240">
          <a:tailEnd type="triangle"/>
        </a:ln>
      </a:spPr>
      <a:bodyPr/>
      <a:lstStyle/>
      <a:style>
        <a:lnRef idx="2">
          <a:schemeClr val="accent1"/>
        </a:lnRef>
        <a:fillRef idx="0">
          <a:srgbClr val="FFFFFF"/>
        </a:fillRef>
        <a:effectRef idx="0">
          <a:srgbClr val="FFFFFF"/>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87</Pages>
  <Words>59282</Words>
  <Characters>65579</Characters>
  <Lines>1</Lines>
  <Paragraphs>1</Paragraphs>
  <TotalTime>17</TotalTime>
  <ScaleCrop>false</ScaleCrop>
  <LinksUpToDate>false</LinksUpToDate>
  <CharactersWithSpaces>65872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2021-03-24T11:41:00Z</dcterms:created>
  <dc:creator>lhj</dc:creator>
  <cp:lastModifiedBy>Liuliu</cp:lastModifiedBy>
  <cp:lastPrinted>2021-12-03T11:25:00Z</cp:lastPrinted>
  <dcterms:modified xsi:type="dcterms:W3CDTF">2024-05-23T08:57:46Z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AEEF718A35584EAF9319A6BF970A47FC_13</vt:lpwstr>
  </property>
</Properties>
</file>